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ind w:left="2260" w:hanging="537"/>
        <w:spacing w:after="0"/>
        <w:tabs>
          <w:tab w:leader="none" w:pos="2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634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2011</w:t>
      </w:r>
    </w:p>
    <w:p>
      <w:pPr>
        <w:spacing w:after="0" w:line="225" w:lineRule="exact"/>
        <w:rPr>
          <w:sz w:val="24"/>
          <w:szCs w:val="24"/>
          <w:color w:val="auto"/>
        </w:rPr>
      </w:pPr>
    </w:p>
    <w:p>
      <w:pPr>
        <w:ind w:left="1720"/>
        <w:spacing w:after="0"/>
        <w:tabs>
          <w:tab w:leader="none" w:pos="22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Transition Report pursuant to 13 or 15(d) of the Securities Exchange Act of 1934</w:t>
      </w:r>
    </w:p>
    <w:p>
      <w:pPr>
        <w:spacing w:after="0" w:line="225"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ind w:left="69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000-53605</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206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480" w:type="dxa"/>
            <w:vAlign w:val="bottom"/>
            <w:gridSpan w:val="2"/>
          </w:tcPr>
          <w:p>
            <w:pPr>
              <w:jc w:val="center"/>
              <w:ind w:right="192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800"/>
              <w:spacing w:after="0"/>
              <w:rPr>
                <w:sz w:val="20"/>
                <w:szCs w:val="20"/>
                <w:color w:val="auto"/>
              </w:rPr>
            </w:pPr>
            <w:r>
              <w:rPr>
                <w:rFonts w:ascii="Arial" w:cs="Arial" w:eastAsia="Arial" w:hAnsi="Arial"/>
                <w:sz w:val="18"/>
                <w:szCs w:val="18"/>
                <w:color w:val="auto"/>
              </w:rPr>
              <w:t>26-1265381</w:t>
            </w:r>
          </w:p>
        </w:tc>
      </w:tr>
      <w:tr>
        <w:trPr>
          <w:trHeight w:val="20"/>
        </w:trPr>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86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 or</w:t>
            </w:r>
          </w:p>
        </w:tc>
        <w:tc>
          <w:tcPr>
            <w:tcW w:w="3020" w:type="dxa"/>
            <w:vAlign w:val="bottom"/>
            <w:gridSpan w:val="3"/>
          </w:tcPr>
          <w:p>
            <w:pPr>
              <w:jc w:val="center"/>
              <w:ind w:left="450"/>
              <w:spacing w:after="0"/>
              <w:rPr>
                <w:sz w:val="20"/>
                <w:szCs w:val="20"/>
                <w:color w:val="auto"/>
              </w:rPr>
            </w:pPr>
            <w:r>
              <w:rPr>
                <w:rFonts w:ascii="Arial" w:cs="Arial" w:eastAsia="Arial" w:hAnsi="Arial"/>
                <w:sz w:val="18"/>
                <w:szCs w:val="18"/>
                <w:color w:val="auto"/>
                <w:w w:val="94"/>
              </w:rPr>
              <w:t>(IRS Employer Identification No.)</w:t>
            </w:r>
          </w:p>
        </w:tc>
      </w:tr>
    </w:tbl>
    <w:p>
      <w:pPr>
        <w:ind w:left="3240"/>
        <w:spacing w:after="0"/>
        <w:rPr>
          <w:sz w:val="20"/>
          <w:szCs w:val="20"/>
          <w:color w:val="auto"/>
        </w:rPr>
      </w:pPr>
      <w:r>
        <w:rPr>
          <w:rFonts w:ascii="Arial" w:cs="Arial" w:eastAsia="Arial" w:hAnsi="Arial"/>
          <w:sz w:val="18"/>
          <w:szCs w:val="18"/>
          <w:color w:val="auto"/>
        </w:rPr>
        <w:t>organization)</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407 6th Street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Rochester, MI, 48307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248-651-6568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64" w:lineRule="exact"/>
        <w:rPr>
          <w:sz w:val="24"/>
          <w:szCs w:val="24"/>
          <w:color w:val="auto"/>
        </w:rPr>
      </w:pPr>
    </w:p>
    <w:p>
      <w:pPr>
        <w:ind w:right="190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90" w:lineRule="exact"/>
        <w:rPr>
          <w:sz w:val="24"/>
          <w:szCs w:val="24"/>
          <w:color w:val="auto"/>
        </w:rPr>
      </w:pPr>
    </w:p>
    <w:p>
      <w:pPr>
        <w:sectPr>
          <w:pgSz w:w="11900" w:h="16838" w:orient="portrait"/>
          <w:cols w:equalWidth="0" w:num="2">
            <w:col w:w="4980" w:space="720"/>
            <w:col w:w="566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5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13,869,202 shares as of April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5"/>
          </w:tcPr>
          <w:p>
            <w:pPr>
              <w:jc w:val="center"/>
              <w:ind w:right="60"/>
              <w:spacing w:after="0"/>
              <w:rPr>
                <w:sz w:val="20"/>
                <w:szCs w:val="20"/>
                <w:color w:val="auto"/>
              </w:rPr>
            </w:pPr>
            <w:r>
              <w:rPr>
                <w:rFonts w:ascii="Arial" w:cs="Arial" w:eastAsia="Arial" w:hAnsi="Arial"/>
                <w:sz w:val="18"/>
                <w:szCs w:val="18"/>
                <w:color w:val="auto"/>
                <w:w w:val="80"/>
              </w:rPr>
              <w:t>Page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9"/>
          </w:tcPr>
          <w:p>
            <w:pPr>
              <w:jc w:val="center"/>
              <w:ind w:right="1540"/>
              <w:spacing w:after="0"/>
              <w:rPr>
                <w:sz w:val="20"/>
                <w:szCs w:val="20"/>
                <w:color w:val="auto"/>
              </w:rPr>
            </w:pPr>
            <w:r>
              <w:rPr>
                <w:rFonts w:ascii="Arial" w:cs="Arial" w:eastAsia="Arial" w:hAnsi="Arial"/>
                <w:sz w:val="18"/>
                <w:szCs w:val="18"/>
                <w:color w:val="auto"/>
                <w:w w:val="98"/>
              </w:rPr>
              <w:t>PART I – FINANCIAL INFORMATION</w:t>
            </w: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vMerge w:val="restart"/>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0" w:type="dxa"/>
            <w:vAlign w:val="bottom"/>
            <w:gridSpan w:val="2"/>
            <w:shd w:val="clear" w:color="auto" w:fill="CCEEFF"/>
          </w:tcPr>
          <w:p>
            <w:pPr>
              <w:spacing w:after="0"/>
              <w:rPr>
                <w:sz w:val="15"/>
                <w:szCs w:val="15"/>
                <w:color w:val="auto"/>
              </w:rPr>
            </w:pPr>
          </w:p>
        </w:tc>
        <w:tc>
          <w:tcPr>
            <w:tcW w:w="590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0" w:type="dxa"/>
            <w:vAlign w:val="bottom"/>
            <w:gridSpan w:val="4"/>
            <w:shd w:val="clear" w:color="auto" w:fill="CCEEFF"/>
          </w:tcPr>
          <w:p>
            <w:pPr>
              <w:jc w:val="center"/>
              <w:ind w:left="1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tcPr>
          <w:p>
            <w:pPr>
              <w:spacing w:after="0" w:line="176" w:lineRule="exact"/>
              <w:rPr>
                <w:sz w:val="20"/>
                <w:szCs w:val="20"/>
                <w:color w:val="auto"/>
              </w:rPr>
            </w:pPr>
            <w:r>
              <w:rPr>
                <w:rFonts w:ascii="Arial" w:cs="Arial" w:eastAsia="Arial" w:hAnsi="Arial"/>
                <w:sz w:val="18"/>
                <w:szCs w:val="18"/>
                <w:color w:val="0000EE"/>
                <w:w w:val="90"/>
              </w:rPr>
              <w:t>Item 2:</w:t>
            </w:r>
          </w:p>
        </w:tc>
        <w:tc>
          <w:tcPr>
            <w:tcW w:w="600" w:type="dxa"/>
            <w:vAlign w:val="bottom"/>
            <w:gridSpan w:val="2"/>
          </w:tcPr>
          <w:p>
            <w:pPr>
              <w:spacing w:after="0"/>
              <w:rPr>
                <w:sz w:val="15"/>
                <w:szCs w:val="15"/>
                <w:color w:val="auto"/>
              </w:rPr>
            </w:pPr>
          </w:p>
        </w:tc>
        <w:tc>
          <w:tcPr>
            <w:tcW w:w="5900" w:type="dxa"/>
            <w:vAlign w:val="bottom"/>
            <w:gridSpan w:val="15"/>
          </w:tcPr>
          <w:p>
            <w:pPr>
              <w:spacing w:after="0" w:line="176" w:lineRule="exact"/>
              <w:rPr>
                <w:sz w:val="20"/>
                <w:szCs w:val="20"/>
                <w:color w:val="auto"/>
              </w:rPr>
            </w:pPr>
            <w:r>
              <w:rPr>
                <w:rFonts w:ascii="Arial" w:cs="Arial" w:eastAsia="Arial" w:hAnsi="Arial"/>
                <w:sz w:val="18"/>
                <w:szCs w:val="18"/>
                <w:color w:val="0000EE"/>
                <w:w w:val="95"/>
              </w:rPr>
              <w:t>Management’s Discussion and Analysis of Financial Condition and Results of</w:t>
            </w:r>
          </w:p>
        </w:tc>
        <w:tc>
          <w:tcPr>
            <w:tcW w:w="620" w:type="dxa"/>
            <w:vAlign w:val="bottom"/>
            <w:gridSpan w:val="4"/>
          </w:tcPr>
          <w:p>
            <w:pPr>
              <w:jc w:val="center"/>
              <w:ind w:left="190"/>
              <w:spacing w:after="0" w:line="176" w:lineRule="exact"/>
              <w:rPr>
                <w:sz w:val="20"/>
                <w:szCs w:val="20"/>
                <w:color w:val="auto"/>
              </w:rPr>
            </w:pPr>
            <w:r>
              <w:rPr>
                <w:rFonts w:ascii="Arial" w:cs="Arial" w:eastAsia="Arial" w:hAnsi="Arial"/>
                <w:sz w:val="18"/>
                <w:szCs w:val="18"/>
                <w:color w:val="0000EE"/>
                <w:w w:val="99"/>
              </w:rPr>
              <w:t>4</w:t>
            </w: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Operations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00" w:type="dxa"/>
            <w:vAlign w:val="bottom"/>
            <w:gridSpan w:val="2"/>
            <w:shd w:val="clear" w:color="auto" w:fill="CCEEFF"/>
          </w:tcPr>
          <w:p>
            <w:pPr>
              <w:spacing w:after="0"/>
              <w:rPr>
                <w:sz w:val="17"/>
                <w:szCs w:val="17"/>
                <w:color w:val="auto"/>
              </w:rPr>
            </w:pPr>
          </w:p>
        </w:tc>
        <w:tc>
          <w:tcPr>
            <w:tcW w:w="590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620" w:type="dxa"/>
            <w:vAlign w:val="bottom"/>
            <w:gridSpan w:val="4"/>
            <w:shd w:val="clear" w:color="auto" w:fill="CCEEFF"/>
          </w:tcPr>
          <w:p>
            <w:pPr>
              <w:jc w:val="center"/>
              <w:ind w:left="190"/>
              <w:spacing w:after="0" w:line="17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7</w:t>
              </w:r>
            </w:hyperlink>
          </w:p>
        </w:tc>
        <w:tc>
          <w:tcPr>
            <w:tcW w:w="34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top w:val="single" w:sz="8" w:color="0000EE"/>
              <w:bottom w:val="single" w:sz="8" w:color="0000EE"/>
            </w:tcBorders>
          </w:tcPr>
          <w:p>
            <w:pPr>
              <w:spacing w:after="0" w:line="176" w:lineRule="exact"/>
              <w:rPr>
                <w:sz w:val="20"/>
                <w:szCs w:val="20"/>
                <w:color w:val="auto"/>
              </w:rPr>
            </w:pPr>
            <w:r>
              <w:rPr>
                <w:rFonts w:ascii="Arial" w:cs="Arial" w:eastAsia="Arial" w:hAnsi="Arial"/>
                <w:sz w:val="18"/>
                <w:szCs w:val="18"/>
                <w:color w:val="0000EE"/>
                <w:w w:val="90"/>
              </w:rPr>
              <w:t>Item 4:</w:t>
            </w:r>
          </w:p>
        </w:tc>
        <w:tc>
          <w:tcPr>
            <w:tcW w:w="600" w:type="dxa"/>
            <w:vAlign w:val="bottom"/>
            <w:tcBorders>
              <w:top w:val="single" w:sz="8" w:color="CCEEFF"/>
            </w:tcBorders>
            <w:gridSpan w:val="2"/>
          </w:tcPr>
          <w:p>
            <w:pPr>
              <w:spacing w:after="0"/>
              <w:rPr>
                <w:sz w:val="15"/>
                <w:szCs w:val="15"/>
                <w:color w:val="auto"/>
              </w:rPr>
            </w:pPr>
          </w:p>
        </w:tc>
        <w:tc>
          <w:tcPr>
            <w:tcW w:w="1780" w:type="dxa"/>
            <w:vAlign w:val="bottom"/>
            <w:tcBorders>
              <w:top w:val="single" w:sz="8" w:color="0000EE"/>
              <w:bottom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2580" w:type="dxa"/>
            <w:vAlign w:val="bottom"/>
            <w:tcBorders>
              <w:top w:val="single" w:sz="8" w:color="0000EE"/>
            </w:tcBorders>
            <w:gridSpan w:val="3"/>
          </w:tcPr>
          <w:p>
            <w:pPr>
              <w:spacing w:after="0"/>
              <w:rPr>
                <w:sz w:val="15"/>
                <w:szCs w:val="15"/>
                <w:color w:val="auto"/>
              </w:rPr>
            </w:pPr>
          </w:p>
        </w:tc>
        <w:tc>
          <w:tcPr>
            <w:tcW w:w="1540" w:type="dxa"/>
            <w:vAlign w:val="bottom"/>
            <w:tcBorders>
              <w:top w:val="single" w:sz="8" w:color="CCEEFF"/>
            </w:tcBorders>
            <w:gridSpan w:val="2"/>
          </w:tcPr>
          <w:p>
            <w:pPr>
              <w:spacing w:after="0"/>
              <w:rPr>
                <w:sz w:val="15"/>
                <w:szCs w:val="15"/>
                <w:color w:val="auto"/>
              </w:rPr>
            </w:pPr>
          </w:p>
        </w:tc>
        <w:tc>
          <w:tcPr>
            <w:tcW w:w="40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bottom w:val="single" w:sz="8" w:color="0000EE"/>
            </w:tcBorders>
          </w:tcPr>
          <w:p>
            <w:pPr>
              <w:jc w:val="center"/>
              <w:spacing w:after="0" w:line="176" w:lineRule="exact"/>
              <w:rPr>
                <w:sz w:val="20"/>
                <w:szCs w:val="20"/>
                <w:color w:val="auto"/>
              </w:rPr>
            </w:pPr>
            <w:r>
              <w:rPr>
                <w:rFonts w:ascii="Arial" w:cs="Arial" w:eastAsia="Arial" w:hAnsi="Arial"/>
                <w:sz w:val="18"/>
                <w:szCs w:val="18"/>
                <w:color w:val="0000EE"/>
                <w:w w:val="99"/>
              </w:rPr>
              <w:t>8</w:t>
            </w: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8"/>
          </w:tcPr>
          <w:p>
            <w:pPr>
              <w:jc w:val="center"/>
              <w:ind w:right="1660"/>
              <w:spacing w:after="0"/>
              <w:rPr>
                <w:sz w:val="20"/>
                <w:szCs w:val="20"/>
                <w:color w:val="auto"/>
              </w:rPr>
            </w:pPr>
            <w:r>
              <w:rPr>
                <w:rFonts w:ascii="Arial" w:cs="Arial" w:eastAsia="Arial" w:hAnsi="Arial"/>
                <w:sz w:val="18"/>
                <w:szCs w:val="18"/>
                <w:color w:val="auto"/>
                <w:w w:val="95"/>
              </w:rPr>
              <w:t>PART II – OTHER INFORMATION</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vMerge w:val="restart"/>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4560" w:type="dxa"/>
            <w:vAlign w:val="bottom"/>
            <w:tcBorders>
              <w:bottom w:val="single" w:sz="8" w:color="CCEEFF"/>
            </w:tcBorders>
            <w:gridSpan w:val="10"/>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120" w:type="dxa"/>
            <w:vAlign w:val="bottom"/>
            <w:gridSpan w:val="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59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20" w:type="dxa"/>
            <w:vAlign w:val="bottom"/>
            <w:gridSpan w:val="4"/>
          </w:tcPr>
          <w:p>
            <w:pPr>
              <w:jc w:val="center"/>
              <w:ind w:left="190"/>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120" w:type="dxa"/>
            <w:vAlign w:val="bottom"/>
            <w:gridSpan w:val="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59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20" w:type="dxa"/>
            <w:vAlign w:val="bottom"/>
            <w:gridSpan w:val="4"/>
          </w:tcPr>
          <w:p>
            <w:pPr>
              <w:jc w:val="center"/>
              <w:ind w:left="190"/>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17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Removed and Reserved</w:t>
              </w:r>
            </w:hyperlink>
          </w:p>
        </w:tc>
        <w:tc>
          <w:tcPr>
            <w:tcW w:w="4180" w:type="dxa"/>
            <w:vAlign w:val="bottom"/>
            <w:tcBorders>
              <w:bottom w:val="single" w:sz="8" w:color="CCEEFF"/>
            </w:tcBorders>
            <w:gridSpan w:val="6"/>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120" w:type="dxa"/>
            <w:vAlign w:val="bottom"/>
            <w:gridSpan w:val="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59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620" w:type="dxa"/>
            <w:vAlign w:val="bottom"/>
            <w:gridSpan w:val="4"/>
          </w:tcPr>
          <w:p>
            <w:pPr>
              <w:jc w:val="center"/>
              <w:ind w:left="190"/>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00" w:type="dxa"/>
            <w:vAlign w:val="bottom"/>
            <w:gridSpan w:val="2"/>
            <w:shd w:val="clear" w:color="auto" w:fill="CCEEFF"/>
          </w:tcPr>
          <w:p>
            <w:pPr>
              <w:spacing w:after="0"/>
              <w:rPr>
                <w:sz w:val="17"/>
                <w:szCs w:val="17"/>
                <w:color w:val="auto"/>
              </w:rPr>
            </w:pPr>
          </w:p>
        </w:tc>
        <w:tc>
          <w:tcPr>
            <w:tcW w:w="590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20" w:type="dxa"/>
            <w:vAlign w:val="bottom"/>
            <w:gridSpan w:val="4"/>
            <w:shd w:val="clear" w:color="auto" w:fill="CCEEFF"/>
          </w:tcPr>
          <w:p>
            <w:pPr>
              <w:jc w:val="center"/>
              <w:ind w:left="190"/>
              <w:spacing w:after="0" w:line="17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9</w:t>
              </w:r>
            </w:hyperlink>
          </w:p>
        </w:tc>
        <w:tc>
          <w:tcPr>
            <w:tcW w:w="34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7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0" w:type="dxa"/>
            <w:vAlign w:val="bottom"/>
            <w:tcBorders>
              <w:top w:val="single" w:sz="8" w:color="CCEEFF"/>
            </w:tcBorders>
            <w:gridSpan w:val="11"/>
          </w:tcPr>
          <w:p>
            <w:pPr>
              <w:jc w:val="center"/>
              <w:ind w:left="850"/>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52"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F-1 Consolidated Balance Sheets as of March 31, 2011 (unaudited) and December 31, 2010 (unaudited)</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F-2 Consolidated Statements of Operations for the three months ended March 31, 2011 (unaudited) and 2010 (unaudited)</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F-3 Consolidated Statement of Stockholders’ Equity as of March 31, 2011 (unaudited)</w:t>
        </w:r>
      </w:hyperlink>
    </w:p>
    <w:p>
      <w:pPr>
        <w:spacing w:after="0" w:line="252"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F-4 Consolidated Statements of Cash Flow for the three months ended March 31, 2011 (unaudited) and 2010 (unaudited)</w:t>
        </w:r>
      </w:hyperlink>
    </w:p>
    <w:p>
      <w:pPr>
        <w:spacing w:after="0" w:line="252"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F-5 Notes to Consolidated Financial Statements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2011 are not necessarily indicative of the results that can be expected for the full year.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MARCH 31, 2011 (UNAUDITED) AND DECEMBER 31, 2010 (UNAUDITED)</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0" w:type="dxa"/>
            <w:vAlign w:val="bottom"/>
          </w:tcPr>
          <w:p>
            <w:pPr>
              <w:ind w:left="362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6"/>
              </w:rPr>
              <w:t>December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March 31,</w:t>
            </w:r>
          </w:p>
        </w:tc>
        <w:tc>
          <w:tcPr>
            <w:tcW w:w="100" w:type="dxa"/>
            <w:vAlign w:val="bottom"/>
          </w:tcPr>
          <w:p>
            <w:pPr>
              <w:spacing w:after="0"/>
              <w:rPr>
                <w:sz w:val="18"/>
                <w:szCs w:val="18"/>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7"/>
              </w:rPr>
              <w:t>(unaudited)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(unaudited)</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$ 1,148,923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$ 1,278,095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338,911</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Debt discount-current portion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2,006,417</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2,084,145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(5,510)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NET PROPERTY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12,608</w:t>
            </w: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Patent rights,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888,970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Website and development costs,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353,797</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332,108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discount-net of current portion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291,667</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1,534,434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$ 3,553,459</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$ 3,748,627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800" w:type="dxa"/>
            <w:vAlign w:val="bottom"/>
            <w:tcBorders>
              <w:top w:val="single" w:sz="8" w:color="CCEEFF"/>
            </w:tcBorders>
          </w:tcPr>
          <w:p>
            <w:pPr>
              <w:ind w:left="2100"/>
              <w:spacing w:after="0"/>
              <w:rPr>
                <w:sz w:val="20"/>
                <w:szCs w:val="20"/>
                <w:color w:val="auto"/>
              </w:rPr>
            </w:pPr>
            <w:r>
              <w:rPr>
                <w:rFonts w:ascii="Arial" w:cs="Arial" w:eastAsia="Arial" w:hAnsi="Arial"/>
                <w:sz w:val="18"/>
                <w:szCs w:val="18"/>
                <w:color w:val="auto"/>
                <w:w w:val="99"/>
              </w:rPr>
              <w:t>LIABILITIES AND STOCKHOLDERS' EQUITY</w:t>
            </w: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 trade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99,143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Accounts payable - 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175,450</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874,593</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854,829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Notes payable - investor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1,000,000</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TOTAL LONG TERM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1,000,000</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1,874,593</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1,854,829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300"/>
              <w:spacing w:after="0" w:line="201" w:lineRule="exact"/>
              <w:rPr>
                <w:sz w:val="20"/>
                <w:szCs w:val="20"/>
                <w:color w:val="auto"/>
              </w:rPr>
            </w:pPr>
            <w:r>
              <w:rPr>
                <w:rFonts w:ascii="Arial" w:cs="Arial" w:eastAsia="Arial" w:hAnsi="Arial"/>
                <w:sz w:val="18"/>
                <w:szCs w:val="18"/>
                <w:color w:val="auto"/>
              </w:rPr>
              <w:t>Common stock, $.001 par value, 500,000,000 shares authorized,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13,869,202 shares issued and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jc w:val="right"/>
              <w:ind w:right="3730"/>
              <w:spacing w:after="0"/>
              <w:rPr>
                <w:sz w:val="20"/>
                <w:szCs w:val="20"/>
                <w:color w:val="auto"/>
              </w:rPr>
            </w:pPr>
            <w:r>
              <w:rPr>
                <w:rFonts w:ascii="Arial" w:cs="Arial" w:eastAsia="Arial" w:hAnsi="Arial"/>
                <w:sz w:val="18"/>
                <w:szCs w:val="18"/>
                <w:color w:val="auto"/>
              </w:rPr>
              <w:t>(13,606,676 - 2010)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13,869</w:t>
            </w:r>
          </w:p>
        </w:tc>
        <w:tc>
          <w:tcPr>
            <w:tcW w:w="1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Preferred stock, $.001 par value, 10,000,000 shares authorized, 50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(50 - 2010)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Stock warrants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20,281,328</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20,281,328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3,605,353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(22,221,684)</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0"/>
              </w:rPr>
              <w:t>(21,756,752)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1,678,866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1,893,798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LIABILITY AND STOCKHOLDERS' EQUITY</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w w:val="87"/>
              </w:rPr>
              <w:t>3,553,459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3,748,627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gridSpan w:val="2"/>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6920" w:type="dxa"/>
            <w:vAlign w:val="bottom"/>
            <w:gridSpan w:val="6"/>
          </w:tcPr>
          <w:p>
            <w:pPr>
              <w:ind w:left="1300"/>
              <w:spacing w:after="0"/>
              <w:rPr>
                <w:sz w:val="20"/>
                <w:szCs w:val="20"/>
                <w:color w:val="auto"/>
              </w:rPr>
            </w:pPr>
            <w:r>
              <w:rPr>
                <w:rFonts w:ascii="Arial" w:cs="Arial" w:eastAsia="Arial" w:hAnsi="Arial"/>
                <w:sz w:val="18"/>
                <w:szCs w:val="18"/>
                <w:color w:val="auto"/>
                <w:w w:val="94"/>
              </w:rPr>
              <w:t>The accompanying notes are an integral part of these financial statements.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2" w:right="1440" w:bottom="138" w:gutter="0" w:footer="0" w:header="0"/>
        </w:sect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38" w:gutter="0" w:footer="0" w:header="0"/>
          <w:type w:val="continuous"/>
        </w:sectPr>
      </w:pPr>
    </w:p>
    <w:bookmarkStart w:id="4" w:name="page5"/>
    <w:bookmarkEnd w:id="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For the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three months</w:t>
            </w: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7"/>
              </w:rPr>
              <w:t>three months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ended</w:t>
            </w:r>
          </w:p>
        </w:tc>
        <w:tc>
          <w:tcPr>
            <w:tcW w:w="1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7"/>
              </w:rPr>
              <w:t>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March 31, 2011</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5"/>
              </w:rPr>
              <w:t>March 31, 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2"/>
              </w:rPr>
              <w:t>(unaudited)</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17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393,843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393,843</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469,281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263,094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tcPr>
          <w:p>
            <w:pPr>
              <w:ind w:left="130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469,281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263,094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tcPr>
          <w:p>
            <w:pPr>
              <w:ind w:left="1300"/>
              <w:spacing w:after="0"/>
              <w:rPr>
                <w:sz w:val="20"/>
                <w:szCs w:val="20"/>
                <w:color w:val="auto"/>
              </w:rPr>
            </w:pPr>
            <w:r>
              <w:rPr>
                <w:rFonts w:ascii="Arial" w:cs="Arial" w:eastAsia="Arial" w:hAnsi="Arial"/>
                <w:sz w:val="18"/>
                <w:szCs w:val="18"/>
                <w:color w:val="auto"/>
              </w:rPr>
              <w:t>NET OPERATING LOSS</w:t>
            </w: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(75,438)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(261,811)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(139,494)</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(214,932)</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5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(260,967)</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SHARESOUTSTANDING:</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20" w:type="dxa"/>
            <w:vAlign w:val="bottom"/>
          </w:tcPr>
          <w:p>
            <w:pPr>
              <w:spacing w:after="0"/>
              <w:rPr>
                <w:sz w:val="23"/>
                <w:szCs w:val="2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13,628,067</w:t>
            </w:r>
          </w:p>
        </w:tc>
        <w:tc>
          <w:tcPr>
            <w:tcW w:w="120" w:type="dxa"/>
            <w:vAlign w:val="bottom"/>
            <w:shd w:val="clear" w:color="auto" w:fill="CCEEFF"/>
          </w:tcPr>
          <w:p>
            <w:pPr>
              <w:spacing w:after="0"/>
              <w:rPr>
                <w:sz w:val="23"/>
                <w:szCs w:val="23"/>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12,853,190</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vMerge w:val="continue"/>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6720" w:type="dxa"/>
            <w:vAlign w:val="bottom"/>
            <w:gridSpan w:val="4"/>
          </w:tcPr>
          <w:p>
            <w:pPr>
              <w:ind w:left="1320"/>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720" w:type="dxa"/>
            <w:vAlign w:val="bottom"/>
          </w:tcPr>
          <w:p>
            <w:pPr>
              <w:spacing w:after="0"/>
              <w:rPr>
                <w:sz w:val="24"/>
                <w:szCs w:val="24"/>
                <w:color w:val="auto"/>
              </w:rPr>
            </w:pPr>
          </w:p>
        </w:tc>
        <w:tc>
          <w:tcPr>
            <w:tcW w:w="5360" w:type="dxa"/>
            <w:vAlign w:val="bottom"/>
          </w:tcPr>
          <w:p>
            <w:pPr>
              <w:ind w:left="3860"/>
              <w:spacing w:after="0"/>
              <w:rPr>
                <w:sz w:val="20"/>
                <w:szCs w:val="20"/>
                <w:color w:val="auto"/>
              </w:rPr>
            </w:pPr>
            <w:r>
              <w:rPr>
                <w:rFonts w:ascii="Arial" w:cs="Arial" w:eastAsia="Arial" w:hAnsi="Arial"/>
                <w:sz w:val="18"/>
                <w:szCs w:val="18"/>
                <w:color w:val="auto"/>
              </w:rPr>
              <w:t>F-2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7"/>
              </w:rPr>
              <w:t>Preferred Stock</w:t>
            </w: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Stock</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Paid-in</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Accumulated</w:t>
            </w:r>
          </w:p>
        </w:tc>
        <w:tc>
          <w:tcPr>
            <w:tcW w:w="1120" w:type="dxa"/>
            <w:vAlign w:val="bottom"/>
            <w:gridSpan w:val="4"/>
          </w:tcPr>
          <w:p>
            <w:pPr>
              <w:ind w:left="60"/>
              <w:spacing w:after="0"/>
              <w:rPr>
                <w:sz w:val="20"/>
                <w:szCs w:val="20"/>
                <w:color w:val="auto"/>
              </w:rPr>
            </w:pPr>
            <w:r>
              <w:rPr>
                <w:rFonts w:ascii="Arial" w:cs="Arial" w:eastAsia="Arial" w:hAnsi="Arial"/>
                <w:sz w:val="18"/>
                <w:szCs w:val="18"/>
                <w:color w:val="auto"/>
                <w:w w:val="96"/>
              </w:rPr>
              <w:t>Stockholders'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Warrants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12,826,117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$ 12,826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$18,139,252</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$ 1,747,962</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$(19,047,728)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852,312</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common stock:</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tcPr>
          <w:p>
            <w:pPr>
              <w:ind w:left="300"/>
              <w:spacing w:after="0"/>
              <w:rPr>
                <w:sz w:val="20"/>
                <w:szCs w:val="20"/>
                <w:color w:val="auto"/>
              </w:rPr>
            </w:pPr>
            <w:r>
              <w:rPr>
                <w:rFonts w:ascii="Arial" w:cs="Arial" w:eastAsia="Arial" w:hAnsi="Arial"/>
                <w:sz w:val="18"/>
                <w:szCs w:val="18"/>
                <w:color w:val="auto"/>
              </w:rPr>
              <w:t>for services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200,460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preferred dividends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699,589</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tcPr>
          <w:p>
            <w:pPr>
              <w:ind w:left="300"/>
              <w:spacing w:after="0"/>
              <w:rPr>
                <w:sz w:val="20"/>
                <w:szCs w:val="20"/>
                <w:color w:val="auto"/>
              </w:rPr>
            </w:pPr>
            <w:r>
              <w:rPr>
                <w:rFonts w:ascii="Arial" w:cs="Arial" w:eastAsia="Arial" w:hAnsi="Arial"/>
                <w:sz w:val="18"/>
                <w:szCs w:val="18"/>
                <w:color w:val="auto"/>
              </w:rPr>
              <w:t>to board of directors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130,614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130,680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7"/>
              </w:rPr>
              <w:t>Issuance of preferred stock</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1,500,000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Preferred stock issuance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860"/>
              <w:spacing w:after="0"/>
              <w:rPr>
                <w:sz w:val="20"/>
                <w:szCs w:val="20"/>
                <w:color w:val="auto"/>
              </w:rPr>
            </w:pPr>
            <w:r>
              <w:rPr>
                <w:rFonts w:ascii="Arial" w:cs="Arial" w:eastAsia="Arial" w:hAnsi="Arial"/>
                <w:sz w:val="18"/>
                <w:szCs w:val="18"/>
                <w:color w:val="auto"/>
              </w:rPr>
              <w:t>costs</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Issuance of stock options: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patent rights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tcPr>
          <w:p>
            <w:pPr>
              <w:ind w:left="300"/>
              <w:spacing w:after="0"/>
              <w:rPr>
                <w:sz w:val="20"/>
                <w:szCs w:val="20"/>
                <w:color w:val="auto"/>
              </w:rPr>
            </w:pPr>
            <w:r>
              <w:rPr>
                <w:rFonts w:ascii="Arial" w:cs="Arial" w:eastAsia="Arial" w:hAnsi="Arial"/>
                <w:sz w:val="18"/>
                <w:szCs w:val="18"/>
                <w:color w:val="auto"/>
              </w:rPr>
              <w:t>to employees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6,203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7"/>
              </w:rPr>
              <w:t>Issuance of stock warrants: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services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186,425</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186,425</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2140" w:type="dxa"/>
            <w:vAlign w:val="bottom"/>
          </w:tcPr>
          <w:p>
            <w:pPr>
              <w:ind w:left="300"/>
              <w:spacing w:after="0" w:line="201" w:lineRule="exact"/>
              <w:rPr>
                <w:sz w:val="20"/>
                <w:szCs w:val="20"/>
                <w:color w:val="auto"/>
              </w:rPr>
            </w:pPr>
            <w:r>
              <w:rPr>
                <w:rFonts w:ascii="Arial" w:cs="Arial" w:eastAsia="Arial" w:hAnsi="Arial"/>
                <w:sz w:val="18"/>
                <w:szCs w:val="18"/>
                <w:color w:val="auto"/>
              </w:rPr>
              <w:t>in connection with</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860"/>
              <w:spacing w:after="0"/>
              <w:rPr>
                <w:sz w:val="20"/>
                <w:szCs w:val="20"/>
                <w:color w:val="auto"/>
              </w:rPr>
            </w:pPr>
            <w:r>
              <w:rPr>
                <w:rFonts w:ascii="Arial" w:cs="Arial" w:eastAsia="Arial" w:hAnsi="Arial"/>
                <w:sz w:val="18"/>
                <w:szCs w:val="18"/>
                <w:color w:val="auto"/>
              </w:rPr>
              <w:t>preferred stock issuance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1,158,900</w:t>
            </w: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(1,158,900)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w w:val="99"/>
              </w:rPr>
              <w:t>Issuance of stock warrants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860"/>
              <w:spacing w:after="0"/>
              <w:rPr>
                <w:sz w:val="20"/>
                <w:szCs w:val="20"/>
                <w:color w:val="auto"/>
              </w:rPr>
            </w:pPr>
            <w:r>
              <w:rPr>
                <w:rFonts w:ascii="Arial" w:cs="Arial" w:eastAsia="Arial" w:hAnsi="Arial"/>
                <w:sz w:val="18"/>
                <w:szCs w:val="18"/>
                <w:color w:val="auto"/>
              </w:rPr>
              <w:t>and contingent stock</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ind w:left="86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tcPr>
          <w:p>
            <w:pPr>
              <w:ind w:left="340"/>
              <w:spacing w:after="0"/>
              <w:rPr>
                <w:sz w:val="20"/>
                <w:szCs w:val="20"/>
                <w:color w:val="auto"/>
              </w:rPr>
            </w:pPr>
            <w:r>
              <w:rPr>
                <w:rFonts w:ascii="Arial" w:cs="Arial" w:eastAsia="Arial" w:hAnsi="Arial"/>
                <w:sz w:val="18"/>
                <w:szCs w:val="18"/>
                <w:color w:val="auto"/>
                <w:w w:val="97"/>
              </w:rPr>
              <w:t>in connection with debt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860"/>
              <w:spacing w:after="0"/>
              <w:rPr>
                <w:sz w:val="20"/>
                <w:szCs w:val="20"/>
                <w:color w:val="auto"/>
              </w:rPr>
            </w:pPr>
            <w:r>
              <w:rPr>
                <w:rFonts w:ascii="Arial" w:cs="Arial" w:eastAsia="Arial" w:hAnsi="Arial"/>
                <w:sz w:val="18"/>
                <w:szCs w:val="18"/>
                <w:color w:val="auto"/>
              </w:rPr>
              <w:t>financing</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1,007,992</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1,007,992</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w w:val="91"/>
              </w:rPr>
              <w:t>Conversion of stock warrants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860"/>
              <w:spacing w:after="0"/>
              <w:rPr>
                <w:sz w:val="20"/>
                <w:szCs w:val="20"/>
                <w:color w:val="auto"/>
              </w:rPr>
            </w:pPr>
            <w:r>
              <w:rPr>
                <w:rFonts w:ascii="Arial" w:cs="Arial" w:eastAsia="Arial" w:hAnsi="Arial"/>
                <w:sz w:val="18"/>
                <w:szCs w:val="18"/>
                <w:color w:val="auto"/>
              </w:rPr>
              <w:t>to common stock</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68,039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(211,241)</w:t>
            </w:r>
          </w:p>
        </w:tc>
        <w:tc>
          <w:tcPr>
            <w:tcW w:w="880" w:type="dxa"/>
            <w:vAlign w:val="bottom"/>
          </w:tcPr>
          <w:p>
            <w:pPr>
              <w:jc w:val="right"/>
              <w:spacing w:after="0"/>
              <w:rPr>
                <w:sz w:val="20"/>
                <w:szCs w:val="20"/>
                <w:color w:val="auto"/>
              </w:rPr>
            </w:pPr>
            <w:r>
              <w:rPr>
                <w:rFonts w:ascii="Arial" w:cs="Arial" w:eastAsia="Arial" w:hAnsi="Arial"/>
                <w:sz w:val="18"/>
                <w:szCs w:val="18"/>
                <w:color w:val="auto"/>
              </w:rPr>
              <w:t>219,923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88"/>
              </w:rPr>
              <w:t>Outstanding share adjustment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vMerge w:val="continue"/>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Net loss for the year</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(2,009,024)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(2,009,024)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0"/>
              </w:rPr>
              <w:t>Balance, December 31, 2010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13,606,676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13,607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20,281,328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3,355,615</w:t>
            </w:r>
          </w:p>
        </w:tc>
        <w:tc>
          <w:tcPr>
            <w:tcW w:w="1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(21,756,752)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1,893,798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88"/>
              </w:rPr>
              <w:t>Outstanding share adjustment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7"/>
              </w:rPr>
              <w:t>Issuance of common stock:</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preferred dividends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252,526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249,748</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vMerge w:val="continue"/>
          </w:tcPr>
          <w:p>
            <w:pPr>
              <w:spacing w:after="0"/>
              <w:rPr>
                <w:sz w:val="19"/>
                <w:szCs w:val="19"/>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(214,932)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(214,932)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13,869,202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$ 13,869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20,281,328</w:t>
            </w:r>
          </w:p>
        </w:tc>
        <w:tc>
          <w:tcPr>
            <w:tcW w:w="18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$ 3,605,353</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(22,221,684)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1,678,866</w:t>
            </w:r>
          </w:p>
        </w:tc>
        <w:tc>
          <w:tcPr>
            <w:tcW w:w="8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20" w:type="dxa"/>
            <w:vAlign w:val="bottom"/>
            <w:gridSpan w:val="17"/>
          </w:tcPr>
          <w:p>
            <w:pPr>
              <w:jc w:val="right"/>
              <w:ind w:right="106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w w:val="96"/>
              </w:rPr>
              <w:t>F-3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THREE MONTHS ENDED MARCH 31, 2011 AND MARCH 31, 2010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three</w:t>
            </w: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87"/>
              </w:rPr>
              <w:t>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months</w:t>
            </w:r>
          </w:p>
        </w:tc>
        <w:tc>
          <w:tcPr>
            <w:tcW w:w="120" w:type="dxa"/>
            <w:vAlign w:val="bottom"/>
          </w:tcPr>
          <w:p>
            <w:pPr>
              <w:spacing w:after="0"/>
              <w:rPr>
                <w:sz w:val="18"/>
                <w:szCs w:val="18"/>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color w:val="auto"/>
                <w:w w:val="88"/>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ended</w:t>
            </w: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87"/>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March 31,</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89"/>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3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900" w:type="dxa"/>
            <w:vAlign w:val="bottom"/>
            <w:gridSpan w:val="2"/>
          </w:tcPr>
          <w:p>
            <w:pPr>
              <w:spacing w:after="0"/>
              <w:rPr>
                <w:sz w:val="20"/>
                <w:szCs w:val="20"/>
                <w:color w:val="auto"/>
              </w:rPr>
            </w:pPr>
            <w:r>
              <w:rPr>
                <w:rFonts w:ascii="Arial" w:cs="Arial" w:eastAsia="Arial" w:hAnsi="Arial"/>
                <w:sz w:val="18"/>
                <w:szCs w:val="18"/>
                <w:color w:val="auto"/>
                <w:w w:val="94"/>
              </w:rPr>
              <w:t>(unaudited)</w:t>
            </w:r>
          </w:p>
        </w:tc>
        <w:tc>
          <w:tcPr>
            <w:tcW w:w="0" w:type="dxa"/>
            <w:vAlign w:val="bottom"/>
          </w:tcPr>
          <w:p>
            <w:pPr>
              <w:spacing w:after="0"/>
              <w:rPr>
                <w:sz w:val="1"/>
                <w:szCs w:val="1"/>
                <w:color w:val="auto"/>
              </w:rPr>
            </w:pPr>
          </w:p>
        </w:tc>
      </w:tr>
      <w:tr>
        <w:trPr>
          <w:trHeight w:val="216"/>
        </w:trPr>
        <w:tc>
          <w:tcPr>
            <w:tcW w:w="6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(214,932) $</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30,050</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00"/>
              <w:spacing w:after="0"/>
              <w:rPr>
                <w:sz w:val="20"/>
                <w:szCs w:val="20"/>
                <w:color w:val="auto"/>
              </w:rPr>
            </w:pPr>
            <w:r>
              <w:rPr>
                <w:rFonts w:ascii="Arial" w:cs="Arial" w:eastAsia="Arial" w:hAnsi="Arial"/>
                <w:sz w:val="18"/>
                <w:szCs w:val="18"/>
                <w:color w:val="auto"/>
              </w:rPr>
              <w:t>Stock issued for services</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(112,911)</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61,467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60,735</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00"/>
              <w:spacing w:after="0"/>
              <w:rPr>
                <w:sz w:val="20"/>
                <w:szCs w:val="20"/>
                <w:color w:val="auto"/>
              </w:rPr>
            </w:pPr>
            <w:r>
              <w:rPr>
                <w:rFonts w:ascii="Arial" w:cs="Arial" w:eastAsia="Arial" w:hAnsi="Arial"/>
                <w:sz w:val="18"/>
                <w:szCs w:val="18"/>
                <w:color w:val="auto"/>
              </w:rPr>
              <w:t>Payroll taxes payable</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(50,270)</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123,371</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(91,561)</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(240,322)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Website site development costs</w:t>
            </w: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(37,610)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(37,610)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(129,171)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(284,982)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1,278,094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1,148,923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371,412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 DISCLOSURE OF NONCASH INVESTING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satisfy dividends related to preferred stock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warrants to common stock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warrants issued in connection with debt financing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060" w:type="dxa"/>
            <w:vAlign w:val="bottom"/>
            <w:gridSpan w:val="4"/>
          </w:tcPr>
          <w:p>
            <w:pPr>
              <w:jc w:val="right"/>
              <w:ind w:right="42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NATURE OF BUSINESS</w:t>
      </w:r>
    </w:p>
    <w:p>
      <w:pPr>
        <w:spacing w:after="0" w:line="252"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9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 SUMMARY OF SIGNIFICANT ACCOUNTING POLICIES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14"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660" w:right="5280" w:hanging="391"/>
        <w:spacing w:after="0" w:line="524" w:lineRule="auto"/>
        <w:tabs>
          <w:tab w:leader="none" w:pos="49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Basis of Presentation</w:t>
      </w:r>
    </w:p>
    <w:p>
      <w:pPr>
        <w:jc w:val="both"/>
        <w:ind w:left="660"/>
        <w:spacing w:after="0" w:line="297" w:lineRule="auto"/>
        <w:rPr>
          <w:sz w:val="20"/>
          <w:szCs w:val="20"/>
          <w:color w:val="auto"/>
        </w:rPr>
      </w:pPr>
      <w:r>
        <w:rPr>
          <w:rFonts w:ascii="Arial" w:cs="Arial" w:eastAsia="Arial" w:hAnsi="Arial"/>
          <w:sz w:val="16"/>
          <w:szCs w:val="16"/>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2010.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Accounting Basis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Principles of Consolidation</w:t>
      </w:r>
    </w:p>
    <w:p>
      <w:pPr>
        <w:spacing w:after="0" w:line="252"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Development Stage in Prior Periods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OptimizeRx was in the development stage from October 3, 2008 to May 31, 2010. The year ending December 31, 2010 is the first year during which the Company is considered an operating company and is no longer in the development stage.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Reclassifications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accounts and financial statement captions in the prior periods have been reclassified to conform to the current period financial statements.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and Cash Equivalents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97"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 SUMMARY OF SIGNIFICANT ACCOUNTING POLICIES (CONTINUED)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Property and Equipment</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capital assets are being depreciated over their estimated useful lives, three to seven years using the straight-line method of depreciation for book purposes.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Research and Development</w:t>
      </w:r>
    </w:p>
    <w:p>
      <w:pPr>
        <w:spacing w:after="0" w:line="252"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51"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81"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211" w:lineRule="exact"/>
        <w:rPr>
          <w:sz w:val="20"/>
          <w:szCs w:val="20"/>
          <w:color w:val="auto"/>
        </w:rPr>
      </w:pPr>
    </w:p>
    <w:p>
      <w:pPr>
        <w:ind w:left="660" w:right="5280" w:hanging="391"/>
        <w:spacing w:after="0" w:line="532" w:lineRule="auto"/>
        <w:tabs>
          <w:tab w:leader="none" w:pos="49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Income Taxes</w:t>
      </w:r>
    </w:p>
    <w:p>
      <w:pPr>
        <w:spacing w:after="0" w:line="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Use of Estimates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52"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March 31, 2011 and 2010, respectively, since their effect is anti-dilutive.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Impairment of Long-Lived Assets</w:t>
      </w:r>
    </w:p>
    <w:p>
      <w:pPr>
        <w:spacing w:after="0" w:line="252"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5"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660" w:right="5280" w:hanging="391"/>
        <w:spacing w:after="0" w:line="524" w:lineRule="auto"/>
        <w:tabs>
          <w:tab w:leader="none" w:pos="49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Concentration of Credit Risks</w:t>
      </w:r>
    </w:p>
    <w:p>
      <w:pPr>
        <w:jc w:val="both"/>
        <w:ind w:left="660"/>
        <w:spacing w:after="0" w:line="264" w:lineRule="auto"/>
        <w:rPr>
          <w:sz w:val="20"/>
          <w:szCs w:val="20"/>
          <w:color w:val="auto"/>
        </w:rPr>
      </w:pPr>
      <w:r>
        <w:rPr>
          <w:rFonts w:ascii="Arial" w:cs="Arial" w:eastAsia="Arial" w:hAnsi="Arial"/>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24"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PREPAID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3/31/11</w:t>
            </w:r>
          </w:p>
        </w:tc>
        <w:tc>
          <w:tcPr>
            <w:tcW w:w="10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12/31/10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Web development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20,000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50,000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Employee advances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80,050</w:t>
            </w: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LLC owned equipment recorded at cost which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3/31/11</w:t>
            </w:r>
          </w:p>
        </w:tc>
        <w:tc>
          <w:tcPr>
            <w:tcW w:w="1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12/31/10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13,824</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4,294</w:t>
            </w: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18,118</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(5,510)</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(5,058)</w:t>
            </w: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13,060</w:t>
            </w: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was $452 and $1,751 for the three months ended March 31, 2011 and for the year ended December 31, 2010,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22"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WEBSITE DEVELOPMENT COSTS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developing their website and web-based products, which consisted of the following:</w:t>
      </w:r>
    </w:p>
    <w:p>
      <w:pPr>
        <w:spacing w:after="0" w:line="23" w:lineRule="exact"/>
        <w:rPr>
          <w:sz w:val="20"/>
          <w:szCs w:val="20"/>
          <w:color w:val="auto"/>
        </w:rPr>
      </w:pPr>
    </w:p>
    <w:p>
      <w:pPr>
        <w:ind w:left="3020"/>
        <w:spacing w:after="0"/>
        <w:tabs>
          <w:tab w:leader="none" w:pos="3800" w:val="left"/>
        </w:tabs>
        <w:rPr>
          <w:sz w:val="20"/>
          <w:szCs w:val="20"/>
          <w:color w:val="auto"/>
        </w:rPr>
      </w:pPr>
      <w:r>
        <w:rPr>
          <w:rFonts w:ascii="Arial" w:cs="Arial" w:eastAsia="Arial" w:hAnsi="Arial"/>
          <w:sz w:val="18"/>
          <w:szCs w:val="18"/>
          <w:color w:val="auto"/>
        </w:rPr>
        <w:t>3/31/11</w:t>
      </w:r>
      <w:r>
        <w:rPr>
          <w:sz w:val="20"/>
          <w:szCs w:val="20"/>
          <w:color w:val="auto"/>
        </w:rPr>
        <w:tab/>
      </w:r>
      <w:r>
        <w:rPr>
          <w:rFonts w:ascii="Arial" w:cs="Arial" w:eastAsia="Arial" w:hAnsi="Arial"/>
          <w:sz w:val="18"/>
          <w:szCs w:val="18"/>
          <w:color w:val="auto"/>
        </w:rPr>
        <w:t>12/31/10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OptimizeRx Web development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$ 154,133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87"/>
              </w:rPr>
              <w:t>$ 154,133</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SampleMD web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369,717</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332,107</w:t>
            </w:r>
          </w:p>
        </w:tc>
      </w:tr>
      <w:tr>
        <w:trPr>
          <w:trHeight w:val="27"/>
        </w:trPr>
        <w:tc>
          <w:tcPr>
            <w:tcW w:w="2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43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 web development costs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523,850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486,240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(110,970)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(95,050)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(59,083)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(59,083)</w:t>
            </w:r>
          </w:p>
        </w:tc>
      </w:tr>
      <w:tr>
        <w:trPr>
          <w:trHeight w:val="27"/>
        </w:trPr>
        <w:tc>
          <w:tcPr>
            <w:tcW w:w="29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432"/>
        </w:trPr>
        <w:tc>
          <w:tcPr>
            <w:tcW w:w="292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$ 353,797</w:t>
            </w: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$ 332,107</w:t>
            </w:r>
          </w:p>
        </w:tc>
      </w:tr>
      <w:tr>
        <w:trPr>
          <w:trHeight w:val="21"/>
        </w:trPr>
        <w:tc>
          <w:tcPr>
            <w:tcW w:w="2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have been capitalized, but not amortized, as of March 31, 2011. The Company determined that the original OptimizeRx website was no longer useful so the remaining unamortized balance of $59,083 was impaired as of December 31, 2010. Amortization expense was $15,920 for the three months ended March 31, 2011 and $30,827 for the year ended December 31, 2010, respectively.</w:t>
      </w:r>
    </w:p>
    <w:p>
      <w:pPr>
        <w:spacing w:after="0" w:line="233"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RIGHTS AND INTANGIBLE ASSETS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purchasing the SampleMD patent, which consisted of the following:</w:t>
      </w:r>
    </w:p>
    <w:p>
      <w:pPr>
        <w:spacing w:after="0" w:line="23" w:lineRule="exact"/>
        <w:rPr>
          <w:sz w:val="20"/>
          <w:szCs w:val="20"/>
          <w:color w:val="auto"/>
        </w:rPr>
      </w:pPr>
    </w:p>
    <w:p>
      <w:pPr>
        <w:ind w:left="3020"/>
        <w:spacing w:after="0"/>
        <w:tabs>
          <w:tab w:leader="none" w:pos="3800" w:val="left"/>
        </w:tabs>
        <w:rPr>
          <w:sz w:val="20"/>
          <w:szCs w:val="20"/>
          <w:color w:val="auto"/>
        </w:rPr>
      </w:pPr>
      <w:r>
        <w:rPr>
          <w:rFonts w:ascii="Arial" w:cs="Arial" w:eastAsia="Arial" w:hAnsi="Arial"/>
          <w:sz w:val="18"/>
          <w:szCs w:val="18"/>
          <w:color w:val="auto"/>
        </w:rPr>
        <w:t>3/31/11</w:t>
      </w:r>
      <w:r>
        <w:rPr>
          <w:sz w:val="20"/>
          <w:szCs w:val="20"/>
          <w:color w:val="auto"/>
        </w:rPr>
        <w:tab/>
      </w:r>
      <w:r>
        <w:rPr>
          <w:rFonts w:ascii="Arial" w:cs="Arial" w:eastAsia="Arial" w:hAnsi="Arial"/>
          <w:sz w:val="18"/>
          <w:szCs w:val="18"/>
          <w:color w:val="auto"/>
        </w:rPr>
        <w:t>12/31/10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Patent rights and intangible assets</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$ 930,000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87"/>
              </w:rPr>
              <w:t>$ 930,000</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(41,030)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(27,353)</w:t>
            </w:r>
          </w:p>
        </w:tc>
      </w:tr>
      <w:tr>
        <w:trPr>
          <w:trHeight w:val="418"/>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Patent rights and intangible assets,</w:t>
            </w: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5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$ 888,970</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$ 902,647</w:t>
            </w:r>
          </w:p>
        </w:tc>
      </w:tr>
      <w:tr>
        <w:trPr>
          <w:trHeight w:val="20"/>
        </w:trPr>
        <w:tc>
          <w:tcPr>
            <w:tcW w:w="29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22"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RIGHTS AND INTANGIBLE ASSETS (CONTINUED)</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Amortization expense was $13,677 for the three months ended March 31, 2011 and $27,353 for the year ended December 31, 2010, respectively.</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 ACCRUED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3/31/11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12/31/10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Accrued audit fees</w:t>
            </w:r>
          </w:p>
        </w:tc>
        <w:tc>
          <w:tcPr>
            <w:tcW w:w="5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73"/>
        </w:trPr>
        <w:tc>
          <w:tcPr>
            <w:tcW w:w="20" w:type="dxa"/>
            <w:vAlign w:val="bottom"/>
          </w:tcPr>
          <w:p>
            <w:pPr>
              <w:spacing w:after="0"/>
              <w:rPr>
                <w:sz w:val="24"/>
                <w:szCs w:val="2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5,700</w:t>
            </w:r>
          </w:p>
        </w:tc>
      </w:tr>
      <w:tr>
        <w:trPr>
          <w:trHeight w:val="453"/>
        </w:trPr>
        <w:tc>
          <w:tcPr>
            <w:tcW w:w="20" w:type="dxa"/>
            <w:vAlign w:val="bottom"/>
          </w:tcPr>
          <w:p>
            <w:pPr>
              <w:spacing w:after="0"/>
              <w:rPr>
                <w:sz w:val="24"/>
                <w:szCs w:val="24"/>
                <w:color w:val="auto"/>
              </w:rPr>
            </w:pPr>
          </w:p>
        </w:tc>
        <w:tc>
          <w:tcPr>
            <w:tcW w:w="28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8. DEFERRED REVENUE</w:t>
            </w: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Deferred revenue was $175,450 and $225,720 as of March 31, 2011 and December 31, 2010, respectively.</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 NOTE PAYABLE</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will be amortized over the life of the loan using the straight-line method and charged to interest expense. As of March 31, 2011 and December 31, 2010, $218,333 and $83,333, respectively, had been amortized with the remaining balance of $791,667 at March 31, 2011 to be amortized through October 5, 2012.</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COMMON STOCK</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2010. There were 13,869,202 and 13,606,676 common shares issued and outstanding at March 31, 2011 and December 31, 2010, respectively.</w:t>
      </w:r>
    </w:p>
    <w:p>
      <w:pPr>
        <w:spacing w:after="0" w:line="19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During 2009, 284,000 shares were issued as compensation for services valued at $1,008,240. There were 365,908 shares issued in a cashless exchange of common stock warrants during the year ended December 31, 2009.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11, 2010, the Company issued 12,000 shares of common stock for services valued at $27,960.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20, 2010, the Company issued 66,000 shares to board members for services valued at $130,680.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on May 27, 2010, the Company issued 25,000 for services valued at $42,500.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27, 2010, the Company issued 100,000 shares of common stock for services valued at $100,000.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14, 2010, the Company issued 24,000 shares to a board member or advisory services valued at $30,000.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2010, the Company issued 410,520 shares of common stock to satisfy $700,000 of preferred dividends.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19, 2010, 75,400 stock warrants were exercised for 43,039 shares of common stock in a cashless exchange.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19, 2010, 25,000 stock warrants were exercised for 25,000 shares of common stock for total proceeds of $8,750.</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During the quarter ended March 31, 2011, the Company issued 252,526 shares of common stock to satisfy $250,000 of preferred dividends.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660" w:right="9340" w:hanging="542"/>
        <w:spacing w:after="0" w:line="589" w:lineRule="auto"/>
        <w:tabs>
          <w:tab w:leader="none" w:pos="4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PREFERRED STOCK </w:t>
      </w:r>
      <w:r>
        <w:rPr>
          <w:rFonts w:ascii="Arial" w:cs="Arial" w:eastAsia="Arial" w:hAnsi="Arial"/>
          <w:sz w:val="16"/>
          <w:szCs w:val="16"/>
          <w:u w:val="single" w:color="auto"/>
          <w:color w:val="auto"/>
        </w:rPr>
        <w:t>Series A Preferred</w:t>
      </w:r>
    </w:p>
    <w:p>
      <w:pPr>
        <w:spacing w:after="0" w:line="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9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20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9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Series B Preferred</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20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660" w:right="8140" w:hanging="555"/>
        <w:spacing w:after="0" w:line="554" w:lineRule="auto"/>
        <w:tabs>
          <w:tab w:leader="none" w:pos="4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PREFERRED STOCK (CONTINUED) </w:t>
      </w:r>
      <w:r>
        <w:rPr>
          <w:rFonts w:ascii="Arial" w:cs="Arial" w:eastAsia="Arial" w:hAnsi="Arial"/>
          <w:sz w:val="17"/>
          <w:szCs w:val="17"/>
          <w:u w:val="single" w:color="auto"/>
          <w:color w:val="auto"/>
        </w:rPr>
        <w:t>Series B Preferred</w:t>
      </w:r>
    </w:p>
    <w:p>
      <w:pPr>
        <w:spacing w:after="0" w:line="2"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205"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w:t>
      </w:r>
    </w:p>
    <w:p>
      <w:pPr>
        <w:spacing w:after="0" w:line="19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the event the Company has added at least 1,750 active physicians to the system, and added 35 brands, the Company may issue and sell at its option, and the Purchaser agrees to purchase, up to 15 shares of the Company’s Series B Preferred Stock at a subsequent date, provided that the date cannot occur earlier than November 1, 2010. If the conditions have not been fulfilled prior to June 30, 2011, the Purchaser shall have no obligation to purchase any securities from the Company.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 STOCK OPTIONS AND WARRANTS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20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220" w:lineRule="exact"/>
        <w:rPr>
          <w:sz w:val="20"/>
          <w:szCs w:val="20"/>
          <w:color w:val="auto"/>
        </w:rPr>
      </w:pPr>
    </w:p>
    <w:p>
      <w:pPr>
        <w:ind w:left="1050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 STOCK OPTIONS AND WARRANTS (CONTINUED)</w:t>
      </w:r>
    </w:p>
    <w:p>
      <w:pPr>
        <w:spacing w:after="0" w:line="23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issued 300,000 stock warrants in connection with non-employee services. The Company also issued 750,000 warrants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warrants issued in connection with the non-employee services at $618,031, and the employment agreements at $1,321,226, as of December 31, 2009 using the Black-Scholes option pricing model.</w:t>
      </w:r>
    </w:p>
    <w:p>
      <w:pPr>
        <w:spacing w:after="0" w:line="19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each option and warrant granted in 2009 is estimated on the date of grant using the Black-Scholes option-pricing model with the following assumptions: dividend yield of 0%, expected volatility of 44% to 233%, risk-free interest rate of .04% to .15% and expected life of 60 months.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365,908 shares of common stock in a cashless exchange. This exchange has been reflected in the stockholders' equity for 2009.</w:t>
      </w:r>
    </w:p>
    <w:p>
      <w:pPr>
        <w:spacing w:after="0" w:line="20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19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21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The Company recognized consulting expense of $129,000.</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 STOCK OPTIONS AND WARRANTS (CONTINUED)</w:t>
      </w:r>
    </w:p>
    <w:p>
      <w:pPr>
        <w:spacing w:after="0" w:line="238"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$125,000 and $83,333 of the debt discount as interest expense in the three months ended March 31, 2011 and the year ended December 31, 2010 with the remaining balance of $791,667 to be amortized over the remaining term of the loan. See Note 9.</w:t>
      </w:r>
    </w:p>
    <w:p>
      <w:pPr>
        <w:spacing w:after="0" w:line="20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20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three months ended March 31, 2011.</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 COMMITMENTS AND 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their offices for $2,500 a month on a month-to-month rental.</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14. RELATED PARTY TRANSACTIONS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Notes 6, 11 and 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15. MAJOR CUSTOMERS</w:t>
      </w:r>
    </w:p>
    <w:p>
      <w:pPr>
        <w:spacing w:after="0" w:line="238"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Company has two major customers that accounted for approximately 76% and 55% of revenues for the three months ended March 31, 2011 and for the year ended December 31, 2010, respectively. The Company expects to continue to maintain these relationships with the customers.</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16. INCOME TAXES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the three months ended March 31, 2011, the Company incurred a net loss of approximately $215,000 and therefore has no tax liability. The Company began operations in 2007 and has previous net operating loss carry-forwards of $16,256,000 through December 31, 2010. The cumulative loss of $16,471,000 will be carried forward and can be used through the year 2030 to offset future taxable income. In the future, the cumulative net operating loss carry-forward for income tax purposes may differ from the cumulative financial statement loss due to timing differences between book and tax reporting.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Federal income tax consists of the following at March 31, 2011 and December 31,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86"/>
              </w:rPr>
              <w:t>3/31/11</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9"/>
              </w:rPr>
              <w:t>12/31/10</w:t>
            </w:r>
          </w:p>
        </w:tc>
        <w:tc>
          <w:tcPr>
            <w:tcW w:w="80" w:type="dxa"/>
            <w:vAlign w:val="bottom"/>
          </w:tcPr>
          <w:p>
            <w:pPr>
              <w:spacing w:after="0"/>
              <w:rPr>
                <w:sz w:val="20"/>
                <w:szCs w:val="20"/>
                <w:color w:val="auto"/>
              </w:rPr>
            </w:pPr>
          </w:p>
        </w:tc>
      </w:tr>
      <w:tr>
        <w:trPr>
          <w:trHeight w:val="202"/>
        </w:trPr>
        <w:tc>
          <w:tcPr>
            <w:tcW w:w="2920" w:type="dxa"/>
            <w:vAlign w:val="bottom"/>
          </w:tcPr>
          <w:p>
            <w:pPr>
              <w:ind w:left="340"/>
              <w:spacing w:after="0" w:line="201" w:lineRule="exact"/>
              <w:rPr>
                <w:sz w:val="20"/>
                <w:szCs w:val="20"/>
                <w:color w:val="auto"/>
              </w:rPr>
            </w:pPr>
            <w:r>
              <w:rPr>
                <w:rFonts w:ascii="Arial" w:cs="Arial" w:eastAsia="Arial" w:hAnsi="Arial"/>
                <w:sz w:val="18"/>
                <w:szCs w:val="18"/>
                <w:color w:val="auto"/>
              </w:rPr>
              <w:t>Federal income tax benefit</w:t>
            </w: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20" w:type="dxa"/>
            <w:vAlign w:val="bottom"/>
          </w:tcPr>
          <w:p>
            <w:pPr>
              <w:ind w:left="340"/>
              <w:spacing w:after="0"/>
              <w:rPr>
                <w:sz w:val="20"/>
                <w:szCs w:val="20"/>
                <w:color w:val="auto"/>
              </w:rPr>
            </w:pPr>
            <w:r>
              <w:rPr>
                <w:rFonts w:ascii="Arial" w:cs="Arial" w:eastAsia="Arial" w:hAnsi="Arial"/>
                <w:sz w:val="18"/>
                <w:szCs w:val="18"/>
                <w:color w:val="auto"/>
              </w:rPr>
              <w:t>attributable to:</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683,000</w:t>
            </w:r>
          </w:p>
        </w:tc>
      </w:tr>
      <w:tr>
        <w:trPr>
          <w:trHeight w:val="223"/>
        </w:trPr>
        <w:tc>
          <w:tcPr>
            <w:tcW w:w="292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(683,000)</w:t>
            </w:r>
          </w:p>
        </w:tc>
      </w:tr>
      <w:tr>
        <w:trPr>
          <w:trHeight w:val="216"/>
        </w:trPr>
        <w:tc>
          <w:tcPr>
            <w:tcW w:w="2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920" w:type="dxa"/>
            <w:vAlign w:val="bottom"/>
          </w:tcPr>
          <w:p>
            <w:pPr>
              <w:ind w:left="600"/>
              <w:spacing w:after="0" w:line="201" w:lineRule="exact"/>
              <w:rPr>
                <w:sz w:val="20"/>
                <w:szCs w:val="20"/>
                <w:color w:val="auto"/>
              </w:rPr>
            </w:pPr>
            <w:r>
              <w:rPr>
                <w:rFonts w:ascii="Arial" w:cs="Arial" w:eastAsia="Arial" w:hAnsi="Arial"/>
                <w:sz w:val="18"/>
                <w:szCs w:val="18"/>
                <w:color w:val="auto"/>
              </w:rPr>
              <w:t>Net provision for federal</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92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
        </w:trPr>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3/31/11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12/31/10</w:t>
            </w:r>
          </w:p>
        </w:tc>
        <w:tc>
          <w:tcPr>
            <w:tcW w:w="80" w:type="dxa"/>
            <w:vAlign w:val="bottom"/>
          </w:tcPr>
          <w:p>
            <w:pPr>
              <w:spacing w:after="0"/>
              <w:rPr>
                <w:sz w:val="20"/>
                <w:szCs w:val="20"/>
                <w:color w:val="auto"/>
              </w:rPr>
            </w:pPr>
          </w:p>
        </w:tc>
      </w:tr>
      <w:tr>
        <w:trPr>
          <w:trHeight w:val="202"/>
        </w:trPr>
        <w:tc>
          <w:tcPr>
            <w:tcW w:w="2620" w:type="dxa"/>
            <w:vAlign w:val="bottom"/>
          </w:tcPr>
          <w:p>
            <w:pPr>
              <w:ind w:left="340"/>
              <w:spacing w:after="0" w:line="201" w:lineRule="exact"/>
              <w:rPr>
                <w:sz w:val="20"/>
                <w:szCs w:val="20"/>
                <w:color w:val="auto"/>
              </w:rPr>
            </w:pPr>
            <w:r>
              <w:rPr>
                <w:rFonts w:ascii="Arial" w:cs="Arial" w:eastAsia="Arial" w:hAnsi="Arial"/>
                <w:sz w:val="18"/>
                <w:szCs w:val="18"/>
                <w:color w:val="auto"/>
                <w:w w:val="93"/>
              </w:rPr>
              <w:t>Deferred tax asset attributable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Net operating loss carryover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3,935,000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3,862,000</w:t>
            </w:r>
          </w:p>
        </w:tc>
        <w:tc>
          <w:tcPr>
            <w:tcW w:w="80" w:type="dxa"/>
            <w:vAlign w:val="bottom"/>
            <w:shd w:val="clear" w:color="auto" w:fill="CCEEFF"/>
          </w:tcPr>
          <w:p>
            <w:pPr>
              <w:spacing w:after="0"/>
              <w:rPr>
                <w:sz w:val="18"/>
                <w:szCs w:val="18"/>
                <w:color w:val="auto"/>
              </w:rPr>
            </w:pPr>
          </w:p>
        </w:tc>
      </w:tr>
      <w:tr>
        <w:trPr>
          <w:trHeight w:val="223"/>
        </w:trPr>
        <w:tc>
          <w:tcPr>
            <w:tcW w:w="262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(3,935,000)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(3,862,000)</w:t>
            </w:r>
          </w:p>
        </w:tc>
      </w:tr>
      <w:tr>
        <w:trPr>
          <w:trHeight w:val="216"/>
        </w:trPr>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20" w:type="dxa"/>
            <w:vAlign w:val="bottom"/>
          </w:tcPr>
          <w:p>
            <w:pPr>
              <w:ind w:left="600"/>
              <w:spacing w:after="0"/>
              <w:rPr>
                <w:sz w:val="20"/>
                <w:szCs w:val="20"/>
                <w:color w:val="auto"/>
              </w:rPr>
            </w:pPr>
            <w:r>
              <w:rPr>
                <w:rFonts w:ascii="Arial" w:cs="Arial" w:eastAsia="Arial" w:hAnsi="Arial"/>
                <w:sz w:val="18"/>
                <w:szCs w:val="18"/>
                <w:color w:val="auto"/>
              </w:rPr>
              <w:t>Net deferred tax asset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$11,359,000 for Federal income tax reporting purposes are subject to annual limitations. Should a change in ownership occur net operating loss carry forwards may be limited as to use in future years.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17. OPERATING EXPENSES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consisted of the following for the three months ended March 31, 2011 and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3/31/11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3/31/10</w:t>
            </w:r>
          </w:p>
        </w:tc>
        <w:tc>
          <w:tcPr>
            <w:tcW w:w="60" w:type="dxa"/>
            <w:vAlign w:val="bottom"/>
          </w:tcPr>
          <w:p>
            <w:pPr>
              <w:spacing w:after="0"/>
              <w:rPr>
                <w:sz w:val="20"/>
                <w:szCs w:val="20"/>
                <w:color w:val="auto"/>
              </w:rPr>
            </w:pPr>
          </w:p>
        </w:tc>
      </w:tr>
      <w:tr>
        <w:trPr>
          <w:trHeight w:val="432"/>
        </w:trPr>
        <w:tc>
          <w:tcPr>
            <w:tcW w:w="2960" w:type="dxa"/>
            <w:vAlign w:val="bottom"/>
          </w:tcPr>
          <w:p>
            <w:pPr>
              <w:ind w:left="660"/>
              <w:spacing w:after="0"/>
              <w:rPr>
                <w:sz w:val="20"/>
                <w:szCs w:val="20"/>
                <w:color w:val="auto"/>
              </w:rPr>
            </w:pPr>
            <w:r>
              <w:rPr>
                <w:rFonts w:ascii="Arial" w:cs="Arial" w:eastAsia="Arial" w:hAnsi="Arial"/>
                <w:sz w:val="18"/>
                <w:szCs w:val="18"/>
                <w:color w:val="auto"/>
              </w:rPr>
              <w:t>Advertising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34,105</w:t>
            </w:r>
          </w:p>
        </w:tc>
      </w:tr>
      <w:tr>
        <w:trPr>
          <w:trHeight w:val="216"/>
        </w:trPr>
        <w:tc>
          <w:tcPr>
            <w:tcW w:w="2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16,603</w:t>
            </w:r>
          </w:p>
        </w:tc>
      </w:tr>
      <w:tr>
        <w:trPr>
          <w:trHeight w:val="216"/>
        </w:trPr>
        <w:tc>
          <w:tcPr>
            <w:tcW w:w="2960" w:type="dxa"/>
            <w:vAlign w:val="bottom"/>
          </w:tcPr>
          <w:p>
            <w:pPr>
              <w:ind w:left="660"/>
              <w:spacing w:after="0"/>
              <w:rPr>
                <w:sz w:val="20"/>
                <w:szCs w:val="20"/>
                <w:color w:val="auto"/>
              </w:rPr>
            </w:pPr>
            <w:r>
              <w:rPr>
                <w:rFonts w:ascii="Arial" w:cs="Arial" w:eastAsia="Arial" w:hAnsi="Arial"/>
                <w:sz w:val="18"/>
                <w:szCs w:val="18"/>
                <w:color w:val="auto"/>
              </w:rPr>
              <w:t>Consulting</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31,644</w:t>
            </w:r>
          </w:p>
        </w:tc>
      </w:tr>
      <w:tr>
        <w:trPr>
          <w:trHeight w:val="216"/>
        </w:trPr>
        <w:tc>
          <w:tcPr>
            <w:tcW w:w="29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Salaries, wages and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137,224</w:t>
            </w:r>
          </w:p>
        </w:tc>
      </w:tr>
      <w:tr>
        <w:trPr>
          <w:trHeight w:val="216"/>
        </w:trPr>
        <w:tc>
          <w:tcPr>
            <w:tcW w:w="2960" w:type="dxa"/>
            <w:vAlign w:val="bottom"/>
          </w:tcPr>
          <w:p>
            <w:pPr>
              <w:ind w:left="660"/>
              <w:spacing w:after="0"/>
              <w:rPr>
                <w:sz w:val="20"/>
                <w:szCs w:val="20"/>
                <w:color w:val="auto"/>
              </w:rPr>
            </w:pPr>
            <w:r>
              <w:rPr>
                <w:rFonts w:ascii="Arial" w:cs="Arial" w:eastAsia="Arial" w:hAnsi="Arial"/>
                <w:sz w:val="18"/>
                <w:szCs w:val="18"/>
                <w:color w:val="auto"/>
              </w:rPr>
              <w:t>Rent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23"/>
        </w:trPr>
        <w:tc>
          <w:tcPr>
            <w:tcW w:w="2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32"/>
        </w:trPr>
        <w:tc>
          <w:tcPr>
            <w:tcW w:w="2960" w:type="dxa"/>
            <w:vAlign w:val="bottom"/>
          </w:tcPr>
          <w:p>
            <w:pPr>
              <w:ind w:left="8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469,281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263,904</w:t>
            </w:r>
          </w:p>
        </w:tc>
      </w:tr>
      <w:tr>
        <w:trPr>
          <w:trHeight w:val="21"/>
        </w:trPr>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18. GOING CONCERN</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 SUBSEQUENT EVENTS</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SFAS 165 (ASC 855-10) the Company has analyzed its operations subsequent to March 31, 2011 through May 10, 2011 and has determined that it does not have any material subsequent events to disclose in these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2011 and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reported for three months ended March 31, 2011 was $393,843, an increase from $1,283 for the three months ended March 31, 2010.</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increased revenue for the three months ended March 31, 2011 as compared with the prior year period is a result of our SampleMD solution and the setup and integration fees for pharmaceutical manufacturers whom are participating within this offering.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increased to $469,281 for the three months ended March 31, 2011 from $263,094 for the same period ended 2010. A detail of the significant expenses for the three months ended March 31, 2011 as compared to the prior year period is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34,105</w:t>
            </w: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Auto expense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18,701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2,889</w:t>
            </w:r>
          </w:p>
        </w:tc>
      </w:tr>
      <w:tr>
        <w:trPr>
          <w:trHeight w:val="216"/>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Consulting</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46,775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31,644</w:t>
            </w: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3"/>
              </w:rPr>
              <w:t>Depreciation and amortization</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30,050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8,129</w:t>
            </w:r>
          </w:p>
        </w:tc>
      </w:tr>
      <w:tr>
        <w:trPr>
          <w:trHeight w:val="216"/>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costs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22,237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3,570</w:t>
            </w: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106,214</w:t>
            </w:r>
          </w:p>
        </w:tc>
        <w:tc>
          <w:tcPr>
            <w:tcW w:w="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17,353</w:t>
            </w:r>
          </w:p>
        </w:tc>
      </w:tr>
      <w:tr>
        <w:trPr>
          <w:trHeight w:val="216"/>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Repairs and maintenance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Salaries, Wages and Benefits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137,224</w:t>
            </w: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Website maintenance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2,480</w:t>
            </w: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operating expenses are higher on all categories as a result of ramping up operations, as we have transformed from a development stage company to an operating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expenses were $140,000 for the three months ended March 31, 2011 as compared with other income of $844 for same period ended 2010. Interest expenses was the major factor for other expenses for the period ended March 31, 2011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March 31, 2011 was $214,932, compared to net loss of $260,967 for the same period 2010.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2011, we had total current assets of $2,006,417 and total assets in the amount of $3,553,459. Our total current liabilities as of March 31, 2011 were $874,593. We had working capital of $1,131,824 as of March 31, 2011.</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activities used $91,561 in cash for the three months ended March 31, 2011. Our net loss of $214,932 and accounts receivable of $112,911 were the primary components of our negative operating cash flow, offset mainly by $125,000 in amortization of debt discount, $61467 in prepared expenses, and $60,735 in accounts payable. Investing activities used $37,610 during the three months ended March 31, 2011 as a result of website development costs. Financing activities provided $1,508,750 for the nine months ended March 31, 2011 largely as a result of the sale of our Series B Preferred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5, 2010, we issued a secured promissory note (the “Note”) in the principal amount of $1,000,000 to Physicians Interactive, Inc., a Delaware corporation (the “Investor”). The Investor also received a seven year warrant to purchase up to 1,000,000 shares of our common stock at an initial exercise price of $2.25 per share and a contingent seven year warrant to purchase up to an aggregate of 1,000,000 shares of our common stock at an initial exercise price of $2.00 based on royalties we may receive under a Strategic Partnering Agreement we entered into with Physicians Interactive Holdings, LLC (together the “Warrants”).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 accrues interest at a rate of 6% per annum, compounded on April and October each year, which will be paid together with the repayment of the principal amount at the earliest of (i) September 12, 2012; (ii) prepayment of the Note at our option (iii) the occurrence of an Event of Default (as defined in the Note); or (iv) the “Maturity Date” as defined in our Certificate of Designation for our Series B Convertible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Notes and Warrants were issued pursuant to a Securities Purchase Agreement (the “Purchase Agreement”) dated as of October 5, 2010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The Investor is entitled to certain contractual benefits under the Purchase Agreement, which are summarized as follows:</w:t>
      </w:r>
    </w:p>
    <w:p>
      <w:pPr>
        <w:spacing w:after="0" w:line="238" w:lineRule="exact"/>
        <w:rPr>
          <w:sz w:val="20"/>
          <w:szCs w:val="20"/>
          <w:color w:val="auto"/>
        </w:rPr>
      </w:pPr>
    </w:p>
    <w:p>
      <w:pPr>
        <w:ind w:left="660" w:hanging="184"/>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Until June 4, 2012 or until prepayment in full of all obligations under the Note, the right, subject to certain exceptions, to participate in any subsequent sale of our common stock or any securities convertible into our common stock up to 30% of the amount of the financing;</w:t>
      </w:r>
    </w:p>
    <w:p>
      <w:pPr>
        <w:spacing w:after="0" w:line="173" w:lineRule="exact"/>
        <w:rPr>
          <w:rFonts w:ascii="Arial" w:cs="Arial" w:eastAsia="Arial" w:hAnsi="Arial"/>
          <w:sz w:val="17"/>
          <w:szCs w:val="17"/>
          <w:color w:val="auto"/>
        </w:rPr>
      </w:pPr>
    </w:p>
    <w:p>
      <w:pPr>
        <w:ind w:left="660" w:hanging="18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when the Note is outstanding, the right to nominate a designee of Investor for election to our Board of Directors and to provide such nominee with D&amp;O insurance coverage;</w:t>
      </w:r>
    </w:p>
    <w:p>
      <w:pPr>
        <w:spacing w:after="0" w:line="197" w:lineRule="exact"/>
        <w:rPr>
          <w:rFonts w:ascii="Arial" w:cs="Arial" w:eastAsia="Arial" w:hAnsi="Arial"/>
          <w:sz w:val="18"/>
          <w:szCs w:val="18"/>
          <w:color w:val="auto"/>
        </w:rPr>
      </w:pPr>
    </w:p>
    <w:p>
      <w:pPr>
        <w:jc w:val="both"/>
        <w:ind w:left="660" w:hanging="184"/>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any time when the Note is outstanding, we are prohibited from: issuing dividends or repurchasing our outstanding shares, incurring certain indebtedness, issuing securities that are senior to the Note; disposing of 20% of our assets; incurring a change in control; increasing the authorized size of our Board of Directors; entering into certain transactions with affiliates; or registering certain shares; and</w:t>
      </w:r>
    </w:p>
    <w:p>
      <w:pPr>
        <w:spacing w:after="0" w:line="192" w:lineRule="exact"/>
        <w:rPr>
          <w:rFonts w:ascii="Arial" w:cs="Arial" w:eastAsia="Arial" w:hAnsi="Arial"/>
          <w:sz w:val="17"/>
          <w:szCs w:val="17"/>
          <w:color w:val="auto"/>
        </w:rPr>
      </w:pPr>
    </w:p>
    <w:p>
      <w:pPr>
        <w:jc w:val="both"/>
        <w:ind w:left="660" w:right="20" w:hanging="184"/>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(as defined in the Purchase Agreement), the Investor may at any time (unless all defaults shall theretofore have been remedied) require us to pay immediately 125% of the sum of all unpaid principal on the Note plus all accrued but unpaid interest and other amounts payable thereunder.</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wholly-owned subsidiary, OptimizeRx Corporation, a Michigan corporation (the “Guarantor”), entered into a Guaranty Agreement (the “Guaranty”) with Investor to guarantee the prompt and complete payment when due of all principal, interest and other amounts under the Note. The obligations under the Guaranty are independent of our obligations under the Note and separate actions may be brought against the Guarantor.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Vicis Capital Master Fund, a sub-trust of Vicis Capital Series Master Trust, a unit trust organized and existing under the laws of the Cayman Islands (“Vicis”) was instrumental in facilitating our $1,000,000 financing transaction with Investor by participating and by making certain concessions in our transaction documents with the Investor. As previously reported, we entered into two financing transactions with Vicis. The first was a Securities Purchase Agreement for the sale of Series A Convertible Preferred Stock dated as of September 8, 2008 and the second was a Securities Purchase Agreement dated as of June 4, 2010 for the sale of Series B Convertible Preferred Stock (the “Vicis Financings”). In connection with the Vicis Financings, we granted Vicis a security interest in our assets and further agreed to register certain shares brought about by the financings. In order to induce the Investor to enter into an agreement with us, Vicis agreed to modify its security agreement and registration rights agreement.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Specifically, we entered into a Second Amended and Restated Security Agreement with Vicis and the Investor, which granted the parties a security interest in substantially all of our assets. The Guarantor also entered into a Second Amended and Restated Guarantor Security Agreement with Vicis and the Investor, which granted the parties a security interest in substantially all of the Guarantor’s assets.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further entered into an Amended and Restated Registration Rights Agreement with Vicis and the Investor to file a registration statement upon demand to cover the resale of the shares of our common stock issuable upon exercise of the Investor’s Warrants, the shares of our common stock issuable upon conversion of Vicis’ Series B Convertible Preferred Stock, and the shares of our common stock issuable as dividends on the Series B Convertible Preferred Stock.</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also a party to a Securityholders’ Agreement where Vicis and the Investor contracted over matters including, the maturity date for the Series A Convertible Preferred Stock and Series B Convertible Preferred Stock, preemptive rights for future financings, and voting rights for ominee directors. Finally, we were a party to an Intercreditor Agreement where Vicis and the Investor contracted over matters including, confirming the relative priority with respect to our collateral assets, providing for the orderly sharing of the proceeds of such assets, and agreeing upon the terms of the subordination of our obligations.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March 31, 2011, with the current level of financing and cash on hand, we have sufficient cash to operate our business at the current level for the next twelve months but insufficient cash to achieve our business goals unless we: a) realize cash revenues on sales generated; b) meet the milestones as defined in the second round of financing with Vicis and satisfy the conditions to secure the second tranche of funding;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there were no off balance sheet arrangements.</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March 31, 2011. This evaluation was carried out under the supervision and with the participation of our Chief Executive Officer and Chief Financial Officer, Mr. David Lester. Based upon that evaluation, our Chief Executive Officer and Chief Financial Officer concluded that, as of March 31, 2011, our disclosure controls and procedures are effective. There have been no significant changes in our internal controls over financial reporting during the quarter ended March 31, 2011 that have materially affected or are reasonably likely to materially affect such controls.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and we are not aware of any pending legal proceeding to which any of our officers, directors, or any beneficial holders of 5% or more of our voting securities are adverse to us or have a material interest adverse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2011, we commenced an action against Beringea, LLC (“Beringea”) in the Circuit Court for the County of Oakland in the State of Michigan. The action is based on a dispute between our company and Beringea surrounding a capital raising agreement that was entered into on October 15, 2009. We have alleged that Beringea has failed to perform under the agreement, misinformed us about “tail” liability, and is wrongfully withholding funds due to us. We are seeking $400,000 in damages.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Vicis on June 4, 2010.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Midtown Partners removed the action to the United States District Court for the Eastern District of Michigan. We are in the initial pleading stage of this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current reporting period, we issued the following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issued 252,526 shares of common stock to satisfy $255,051 of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issued 10,000 shares of common stock at $1.00 per share for total proceeds of $10,000.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Numberof Exhibit</w:t>
      </w:r>
    </w:p>
    <w:p>
      <w:pPr>
        <w:spacing w:after="0" w:line="9" w:lineRule="exact"/>
        <w:rPr>
          <w:sz w:val="20"/>
          <w:szCs w:val="20"/>
          <w:color w:val="auto"/>
        </w:rPr>
      </w:pPr>
    </w:p>
    <w:p>
      <w:pPr>
        <w:ind w:left="660" w:right="1480" w:hanging="647"/>
        <w:spacing w:after="0" w:line="250" w:lineRule="auto"/>
        <w:tabs>
          <w:tab w:leader="none" w:pos="64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8"/>
          <w:szCs w:val="18"/>
          <w:u w:val="single" w:color="auto"/>
          <w:color w:val="0000EE"/>
        </w:rPr>
        <w:t>Certification of Chief Executive Officer pursuant to 18 U.S.C. Section 1350,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ind w:left="660" w:right="1520" w:hanging="647"/>
        <w:spacing w:after="0" w:line="250" w:lineRule="auto"/>
        <w:tabs>
          <w:tab w:leader="none" w:pos="64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302 of the Sarbanes-Oxley Act of 2002</w:t>
      </w:r>
    </w:p>
    <w:p>
      <w:pPr>
        <w:spacing w:after="0" w:line="1" w:lineRule="exact"/>
        <w:rPr>
          <w:sz w:val="20"/>
          <w:szCs w:val="20"/>
          <w:color w:val="auto"/>
        </w:rPr>
      </w:pPr>
    </w:p>
    <w:p>
      <w:pPr>
        <w:ind w:left="660" w:right="1560" w:hanging="647"/>
        <w:spacing w:after="0" w:line="261" w:lineRule="auto"/>
        <w:tabs>
          <w:tab w:leader="none" w:pos="64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8"/>
          <w:szCs w:val="18"/>
          <w:u w:val="single" w:color="auto"/>
          <w:color w:val="0000EE"/>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51764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May 16, 2011</w:t>
            </w:r>
          </w:p>
        </w:tc>
      </w:tr>
      <w:tr>
        <w:trPr>
          <w:trHeight w:val="392"/>
        </w:trPr>
        <w:tc>
          <w:tcPr>
            <w:tcW w:w="70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 David Lester</w:t>
            </w:r>
          </w:p>
        </w:tc>
      </w:tr>
      <w:tr>
        <w:trPr>
          <w:trHeight w:val="218"/>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35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Chief Executive Officer, Chief Financial Officer, and Director</w:t>
            </w:r>
          </w:p>
        </w:tc>
      </w:tr>
    </w:tbl>
    <w:p>
      <w:pPr>
        <w:sectPr>
          <w:pgSz w:w="11900" w:h="16838" w:orient="portrait"/>
          <w:cols w:equalWidth="0" w:num="1">
            <w:col w:w="11400"/>
          </w:cols>
          <w:pgMar w:left="240" w:top="121"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160" w:hanging="533"/>
        <w:spacing w:after="0" w:line="264"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280" w:hanging="543"/>
        <w:spacing w:after="0" w:line="264"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40" w:right="460" w:hanging="533"/>
        <w:spacing w:after="0" w:line="342" w:lineRule="auto"/>
        <w:tabs>
          <w:tab w:leader="none" w:pos="12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40" w:right="180" w:hanging="543"/>
        <w:spacing w:after="0" w:line="264"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40" w:right="700" w:hanging="533"/>
        <w:spacing w:after="0" w:line="342" w:lineRule="auto"/>
        <w:tabs>
          <w:tab w:leader="none" w:pos="12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380" w:hanging="543"/>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160" w:hanging="533"/>
        <w:spacing w:after="0" w:line="264"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280" w:hanging="543"/>
        <w:spacing w:after="0" w:line="264"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40" w:right="460" w:hanging="533"/>
        <w:spacing w:after="0" w:line="342" w:lineRule="auto"/>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40" w:right="180" w:hanging="543"/>
        <w:spacing w:after="0" w:line="264"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40" w:right="700" w:hanging="533"/>
        <w:spacing w:after="0" w:line="342" w:lineRule="auto"/>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380" w:hanging="543"/>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2011 filed with the Securities and Exchange Commission (the “Report”), I, David Lester, Chief Executive Officer and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14" w:lineRule="exact"/>
        <w:rPr>
          <w:sz w:val="20"/>
          <w:szCs w:val="20"/>
          <w:color w:val="auto"/>
        </w:rPr>
      </w:pPr>
    </w:p>
    <w:p>
      <w:pPr>
        <w:ind w:left="8000"/>
        <w:spacing w:after="0"/>
        <w:tabs>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 David Lester</w:t>
      </w:r>
    </w:p>
    <w:p>
      <w:pPr>
        <w:spacing w:after="0" w:line="9" w:lineRule="exact"/>
        <w:rPr>
          <w:sz w:val="20"/>
          <w:szCs w:val="20"/>
          <w:color w:val="auto"/>
        </w:rPr>
      </w:pPr>
    </w:p>
    <w:p>
      <w:pPr>
        <w:ind w:left="8000"/>
        <w:spacing w:after="0"/>
        <w:tabs>
          <w:tab w:leader="none" w:pos="8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Principal Executive Officer,</w:t>
      </w:r>
    </w:p>
    <w:p>
      <w:pPr>
        <w:spacing w:after="0" w:line="9"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8000"/>
        <w:spacing w:after="0"/>
        <w:tabs>
          <w:tab w:leader="none" w:pos="8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16,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decimal"/>
      <w:start w:val="6"/>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2019-12-11T07:21:26Z</dcterms:created>
  <dcterms:modified xsi:type="dcterms:W3CDTF">2019-12-11T07:21:26Z</dcterms:modified>
</cp:coreProperties>
</file>