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9"/>
          </w:tcPr>
          <w:p>
            <w:pPr>
              <w:jc w:val="center"/>
              <w:ind w:left="110"/>
              <w:spacing w:after="0"/>
              <w:rPr>
                <w:sz w:val="20"/>
                <w:szCs w:val="20"/>
                <w:color w:val="auto"/>
              </w:rPr>
            </w:pPr>
            <w:r>
              <w:rPr>
                <w:rFonts w:ascii="Arial" w:cs="Arial" w:eastAsia="Arial" w:hAnsi="Arial"/>
                <w:sz w:val="18"/>
                <w:szCs w:val="18"/>
                <w:color w:val="auto"/>
                <w:w w:val="91"/>
              </w:rPr>
              <w:t>Date of Report (Date of earliest event reported): May 3, 2017</w:t>
            </w:r>
          </w:p>
        </w:tc>
        <w:tc>
          <w:tcPr>
            <w:tcW w:w="3340" w:type="dxa"/>
            <w:vAlign w:val="bottom"/>
          </w:tcPr>
          <w:p>
            <w:pPr>
              <w:spacing w:after="0"/>
              <w:rPr>
                <w:sz w:val="24"/>
                <w:szCs w:val="24"/>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39"/>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0"/>
              </w:rPr>
              <w:t>Nevada</w:t>
            </w:r>
          </w:p>
        </w:tc>
        <w:tc>
          <w:tcPr>
            <w:tcW w:w="3480" w:type="dxa"/>
            <w:vAlign w:val="bottom"/>
            <w:gridSpan w:val="6"/>
          </w:tcPr>
          <w:p>
            <w:pPr>
              <w:jc w:val="center"/>
              <w:ind w:left="16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center"/>
              <w:ind w:right="210"/>
              <w:spacing w:after="0"/>
              <w:rPr>
                <w:sz w:val="20"/>
                <w:szCs w:val="20"/>
                <w:color w:val="auto"/>
              </w:rPr>
            </w:pPr>
            <w:r>
              <w:rPr>
                <w:rFonts w:ascii="Arial" w:cs="Arial" w:eastAsia="Arial" w:hAnsi="Arial"/>
                <w:sz w:val="18"/>
                <w:szCs w:val="18"/>
                <w:color w:val="auto"/>
                <w:w w:val="91"/>
              </w:rPr>
              <w:t>26-1265381</w:t>
            </w:r>
          </w:p>
        </w:tc>
      </w:tr>
      <w:tr>
        <w:trPr>
          <w:trHeight w:val="202"/>
        </w:trPr>
        <w:tc>
          <w:tcPr>
            <w:tcW w:w="314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2"/>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80" w:type="dxa"/>
            <w:vAlign w:val="bottom"/>
            <w:gridSpan w:val="10"/>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May 3, 2017, we issued a press release announcing the results of operations for the three months ended March 31, 2017.</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3, 2017</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165735</wp:posOffset>
            </wp:positionV>
            <wp:extent cx="2787015"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70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11111"/>
        </w:rPr>
        <w:t>OptimizeRx Reports First Quarter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111111"/>
        </w:rPr>
        <w:t>Q1 2017 Net Revenue up 22% to $2.2 Million</w:t>
      </w:r>
    </w:p>
    <w:p>
      <w:pPr>
        <w:spacing w:after="0" w:line="221"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color w:val="auto"/>
        </w:rPr>
        <w:t xml:space="preserve">Rochester, MI (May 3, 2017) </w:t>
      </w:r>
      <w:r>
        <w:rPr>
          <w:rFonts w:ascii="Arial" w:cs="Arial" w:eastAsia="Arial" w:hAnsi="Arial"/>
          <w:sz w:val="17"/>
          <w:szCs w:val="17"/>
          <w:color w:val="auto"/>
        </w:rPr>
        <w:t>OptimizeRx Corp. (OTCQB: OPRX), the leading aggregator of pharmaceutical-sponsored services in electronic health record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(EHR) platforms, </w:t>
      </w:r>
      <w:r>
        <w:rPr>
          <w:rFonts w:ascii="Arial" w:cs="Arial" w:eastAsia="Arial" w:hAnsi="Arial"/>
          <w:sz w:val="17"/>
          <w:szCs w:val="17"/>
          <w:color w:val="333333"/>
        </w:rPr>
        <w:t>reported results for the first quarter ended March 31, 2017. All quarterly comparisons are to the same year-ago quarter.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Q1 2017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was up 22% to $2.2 million, driven by clinical and brand messaging growth from new and returning clients.</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EHR network of channel partners by 20%, which included the launch of the company’s financial messaging capability within the Allscripts Touchworks network, as well as with other new EHRs, like EyeCare Leaders.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Launched new brand messaging capability as a complement to existing financial messaging system, creating opportunity to access additional budget per brand. Coupled with the company’s exclusive relationship with Allscripts, this is expected to enhance brand revenue through 2017 and beyond.</w:t>
      </w:r>
    </w:p>
    <w:p>
      <w:pPr>
        <w:spacing w:after="0" w:line="123" w:lineRule="exact"/>
        <w:rPr>
          <w:rFonts w:ascii="Arial" w:cs="Arial" w:eastAsia="Arial" w:hAnsi="Arial"/>
          <w:sz w:val="16"/>
          <w:szCs w:val="16"/>
          <w:color w:val="auto"/>
        </w:rPr>
      </w:pPr>
    </w:p>
    <w:p>
      <w:pPr>
        <w:ind w:left="660" w:right="34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WPP, the largest marketing services company in the world, continued to integrate its pharmaceutical clients with OptimizeRx, resulting in a significant increase in activity in Q1 2017 related to more than 20 brands. The strategic relationship with WPP is expected to help add additional manufacturers, brands and products to the OptimizeRx platform in 2017.</w:t>
      </w:r>
    </w:p>
    <w:p>
      <w:pPr>
        <w:spacing w:after="0" w:line="181"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Added a fifth sales executive in Q1 to accelerate revenue growth, brand expansion and new product sales. Also, promoted Ed Berger to senior vice president of marketing, who will focus on increasing awareness of the company’s unique value proposition for network partners and clients.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Q1 2017 Financial Summary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333333"/>
        </w:rPr>
        <w:t>Net revenue in the first quarter of 2017 increased 22% to $2.2 million from $1.8 million in the same year-ago quarter. The increase was due to both increased distribution of pharmaceutical brands and expanded distribution channels.</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333333"/>
        </w:rPr>
        <w:t>Operating expenses in the first quarter of 2017 were $1.7 million, up from $1.2 million in the first quarter of 2016. The increase was primarily due to additional expenses related to growth initiatives, including investments in the company’s executive and sales team, as well as related marketing and travel. Since the beginning of the first quarter of 2016, the company has made several key appointments, including chief executive officer, senior vice president of strategy, vice president of information technology, two vice presidents of sales, and director of sales.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333333"/>
        </w:rPr>
        <w:t>Net loss for the first quarter of 2017 was $883,000 or $(0.03) per share, as compared to a net loss of $352,000 or $(0.01) per share in the first quarter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333333"/>
        </w:rPr>
        <w:t>This difference was mainly attributable to the increase in operating expenses which is funding the company’s growth initiatives.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333333"/>
        </w:rPr>
        <w:t>Cash and cash equivalents totaled $6.7 million at March 31, 2017, as compared to $7.0 million at December 31, 2016. The company continued to operate debt-free.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Management Commentary</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333333"/>
        </w:rPr>
        <w:t>“In Q1, our strong platform revenue was driven by growth in clinical and brand messaging products,” said OptimizeRx CEO, William Febbo. “Revenue related to our new brand messaging system has had a higher associated cost as communicated in our last call. However, we expect our margins to improve throughout the year by continuing to build out brand messaging and brand support. We also plan to implement new channels with lower percentages of revenue share expense and update our existing agreements to share third-party costs, with a goal of decreasing our overall percentage of revenue share expense by at least 10% from that achieved in Q1.</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333333"/>
        </w:rPr>
        <w:t>“During the quarter, we partnered with SingleCare to bring their prescription savings program to our EHR network. This relationship also allows us to increase prescription price transparency to patients with industry leading pricing tools and grow our core product of financial assistance. We also recently partnered with PARx Solutions to introduce their prior authorization services to our channel partners, as well as to distribute our core product of financial messages through their platform.</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333333"/>
        </w:rPr>
        <w:t>“In addition to enhancing our product offerings and expanding our partnerships, we have also been strengthening our internal teams to enhance our capability and expertise, and ultimately drive stronger revenue growth. We recently added another member to the sales team, and promoted Ed Berger to senior vice president of marketing, who will focus on further expanding awareness of our unique value proposition within the marketplace.</w:t>
      </w:r>
    </w:p>
    <w:p>
      <w:pPr>
        <w:spacing w:after="0" w:line="16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333333"/>
        </w:rPr>
        <w:t>“We expect to have continued success with expanding our network of EHR/eRx channel partners. For the remainder of 2017, we are planning to expand our reach to physicians, pharmacies and patients. We also expect utilization by our existing partners to increase, as they improve their e-prescribe workflow and reach into the smaller EHRs. With the growth of both our pharmaceutical products and our distribution network, we anticipate that our financial, brand and clinical messaging will show strong growth throughout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a conference call today to discuss the first quarter of 2017,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May 3,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1-888-280-4443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1-719-325-2170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2887343</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May 24,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2887343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Based in Rochester, Michigan, OptimizeRx Corporation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333333"/>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2017 AND DECEMBER 31,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400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6,721,265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2,807,322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3,060,396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9,590,668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10,175,863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182,295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755,422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391,803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1,152,274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1,129,247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10,925,237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530,442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57,293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1,948,787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2,622,517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1,329,774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3,866,296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$.001 par value, 500,000,000 shares authorized, 29,737,617 and 29,718,867 shares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29,738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33,876,562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33,747,137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(29,141,775)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(28,259,093)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7,058,941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10,925,237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60" w:type="dxa"/>
            <w:vAlign w:val="bottom"/>
            <w:vMerge w:val="restart"/>
          </w:tcPr>
          <w:p>
            <w:pPr>
              <w:ind w:left="56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86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8"/>
                <w:szCs w:val="18"/>
                <w:color w:val="auto"/>
                <w:w w:val="89"/>
              </w:rPr>
              <w:t>For the Three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71"/>
              <w:spacing w:after="0"/>
              <w:rPr>
                <w:sz w:val="20"/>
                <w:szCs w:val="20"/>
                <w:color w:val="auto"/>
              </w:rPr>
            </w:pPr>
            <w:r>
              <w:rPr>
                <w:rFonts w:ascii="Arial" w:cs="Arial" w:eastAsia="Arial" w:hAnsi="Arial"/>
                <w:sz w:val="18"/>
                <w:szCs w:val="18"/>
                <w:color w:val="auto"/>
                <w:w w:val="93"/>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2,152,073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1,381,733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770,340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1,660,778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4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(890,438)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7,756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4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(882,682)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(882,682</w:t>
            </w:r>
            <w:r>
              <w:rPr>
                <w:rFonts w:ascii="Arial" w:cs="Arial" w:eastAsia="Arial" w:hAnsi="Arial"/>
                <w:sz w:val="29"/>
                <w:szCs w:val="29"/>
                <w:color w:val="auto"/>
                <w:vertAlign w:val="superscript"/>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(351,916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29,718,867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29,030,925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970"/>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2019-12-29T06:24:14Z</dcterms:created>
  <dcterms:modified xsi:type="dcterms:W3CDTF">2019-12-29T06:24:14Z</dcterms:modified>
</cp:coreProperties>
</file>