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16" w:lineRule="exact"/>
        <w:rPr>
          <w:sz w:val="24"/>
          <w:szCs w:val="24"/>
          <w:color w:val="auto"/>
        </w:rPr>
      </w:pPr>
    </w:p>
    <w:p>
      <w:pPr>
        <w:ind w:left="460" w:hanging="458"/>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w:t>
      </w:r>
    </w:p>
    <w:p>
      <w:pPr>
        <w:spacing w:after="0" w:line="212" w:lineRule="exact"/>
        <w:rPr>
          <w:sz w:val="24"/>
          <w:szCs w:val="24"/>
          <w:color w:val="auto"/>
        </w:rPr>
      </w:pPr>
    </w:p>
    <w:p>
      <w:pPr>
        <w:jc w:val="right"/>
        <w:spacing w:after="0"/>
        <w:rPr>
          <w:sz w:val="20"/>
          <w:szCs w:val="20"/>
          <w:color w:val="auto"/>
        </w:rPr>
      </w:pPr>
      <w:r>
        <w:rPr>
          <w:rFonts w:ascii="Arial" w:cs="Arial" w:eastAsia="Arial" w:hAnsi="Arial"/>
          <w:sz w:val="17"/>
          <w:szCs w:val="17"/>
          <w:color w:val="auto"/>
        </w:rPr>
        <w:t xml:space="preserve">For the quarterly period ended </w:t>
      </w:r>
      <w:r>
        <w:rPr>
          <w:rFonts w:ascii="Arial" w:cs="Arial" w:eastAsia="Arial" w:hAnsi="Arial"/>
          <w:sz w:val="17"/>
          <w:szCs w:val="17"/>
          <w:u w:val="single" w:color="auto"/>
          <w:color w:val="auto"/>
        </w:rPr>
        <w:t>June 30, 2011</w:t>
      </w:r>
    </w:p>
    <w:p>
      <w:pPr>
        <w:spacing w:after="0" w:line="212" w:lineRule="exact"/>
        <w:rPr>
          <w:sz w:val="24"/>
          <w:szCs w:val="24"/>
          <w:color w:val="auto"/>
        </w:rPr>
      </w:pPr>
    </w:p>
    <w:p>
      <w:pPr>
        <w:spacing w:after="0"/>
        <w:tabs>
          <w:tab w:leader="none" w:pos="440" w:val="left"/>
        </w:tabs>
        <w:rPr>
          <w:sz w:val="20"/>
          <w:szCs w:val="20"/>
          <w:color w:val="auto"/>
        </w:rPr>
      </w:pPr>
      <w:r>
        <w:rPr>
          <w:rFonts w:ascii="Arial" w:cs="Arial" w:eastAsia="Arial" w:hAnsi="Arial"/>
          <w:sz w:val="17"/>
          <w:szCs w:val="17"/>
          <w:color w:val="auto"/>
        </w:rPr>
        <w:t>[  ]</w:t>
      </w:r>
      <w:r>
        <w:rPr>
          <w:sz w:val="20"/>
          <w:szCs w:val="20"/>
          <w:color w:val="auto"/>
        </w:rPr>
        <w:tab/>
      </w:r>
      <w:r>
        <w:rPr>
          <w:rFonts w:ascii="Arial" w:cs="Arial" w:eastAsia="Arial" w:hAnsi="Arial"/>
          <w:sz w:val="15"/>
          <w:szCs w:val="15"/>
          <w:color w:val="auto"/>
        </w:rPr>
        <w:t>Transition Report pursuant to 13 or 15(d) of the Securities Exchange Act of 1934</w:t>
      </w:r>
    </w:p>
    <w:p>
      <w:pPr>
        <w:spacing w:after="0" w:line="212" w:lineRule="exact"/>
        <w:rPr>
          <w:sz w:val="24"/>
          <w:szCs w:val="24"/>
          <w:color w:val="auto"/>
        </w:rPr>
      </w:pPr>
    </w:p>
    <w:p>
      <w:pPr>
        <w:ind w:left="7460"/>
        <w:spacing w:after="0"/>
        <w:rPr>
          <w:sz w:val="20"/>
          <w:szCs w:val="20"/>
          <w:color w:val="auto"/>
        </w:rPr>
      </w:pPr>
      <w:r>
        <w:rPr>
          <w:rFonts w:ascii="Arial" w:cs="Arial" w:eastAsia="Arial" w:hAnsi="Arial"/>
          <w:sz w:val="15"/>
          <w:szCs w:val="15"/>
          <w:color w:val="auto"/>
        </w:rPr>
        <w:t>For the transition period from __________ to __________</w:t>
      </w:r>
    </w:p>
    <w:p>
      <w:pPr>
        <w:spacing w:after="0" w:line="235" w:lineRule="exact"/>
        <w:rPr>
          <w:sz w:val="24"/>
          <w:szCs w:val="24"/>
          <w:color w:val="auto"/>
        </w:rPr>
      </w:pPr>
    </w:p>
    <w:p>
      <w:pPr>
        <w:ind w:left="8800"/>
        <w:spacing w:after="0"/>
        <w:rPr>
          <w:sz w:val="20"/>
          <w:szCs w:val="20"/>
          <w:color w:val="auto"/>
        </w:rPr>
      </w:pPr>
      <w:r>
        <w:rPr>
          <w:rFonts w:ascii="Arial" w:cs="Arial" w:eastAsia="Arial" w:hAnsi="Arial"/>
          <w:sz w:val="15"/>
          <w:szCs w:val="15"/>
          <w:color w:val="auto"/>
        </w:rPr>
        <w:t xml:space="preserve">Commission File Number: </w:t>
      </w:r>
      <w:r>
        <w:rPr>
          <w:rFonts w:ascii="Arial" w:cs="Arial" w:eastAsia="Arial" w:hAnsi="Arial"/>
          <w:sz w:val="15"/>
          <w:szCs w:val="15"/>
          <w:u w:val="single" w:color="auto"/>
          <w:color w:val="auto"/>
        </w:rPr>
        <w:t>000-53605</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OptimizeRx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82" w:lineRule="exact"/>
        <w:rPr>
          <w:sz w:val="24"/>
          <w:szCs w:val="24"/>
          <w:color w:val="auto"/>
        </w:rPr>
      </w:pPr>
    </w:p>
    <w:tbl>
      <w:tblPr>
        <w:tblLayout w:type="fixed"/>
        <w:tblInd w:w="840" w:type="dxa"/>
        <w:tblCellMar>
          <w:top w:w="0" w:type="dxa"/>
          <w:left w:w="0" w:type="dxa"/>
          <w:bottom w:w="0" w:type="dxa"/>
          <w:right w:w="0" w:type="dxa"/>
        </w:tblCellMar>
      </w:tblPr>
      <w:tr>
        <w:trPr>
          <w:trHeight w:val="195"/>
        </w:trPr>
        <w:tc>
          <w:tcPr>
            <w:tcW w:w="174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Nevada</w:t>
            </w:r>
          </w:p>
        </w:tc>
        <w:tc>
          <w:tcPr>
            <w:tcW w:w="4100" w:type="dxa"/>
            <w:vAlign w:val="bottom"/>
            <w:gridSpan w:val="5"/>
          </w:tcPr>
          <w:p>
            <w:pPr>
              <w:spacing w:after="0"/>
              <w:rPr>
                <w:sz w:val="16"/>
                <w:szCs w:val="16"/>
                <w:color w:val="auto"/>
              </w:rPr>
            </w:pPr>
          </w:p>
        </w:tc>
        <w:tc>
          <w:tcPr>
            <w:tcW w:w="9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8"/>
              </w:rPr>
              <w:t>26-1265381</w:t>
            </w:r>
          </w:p>
        </w:tc>
        <w:tc>
          <w:tcPr>
            <w:tcW w:w="760" w:type="dxa"/>
            <w:vAlign w:val="bottom"/>
          </w:tcPr>
          <w:p>
            <w:pPr>
              <w:spacing w:after="0"/>
              <w:rPr>
                <w:sz w:val="16"/>
                <w:szCs w:val="16"/>
                <w:color w:val="auto"/>
              </w:rPr>
            </w:pPr>
          </w:p>
        </w:tc>
      </w:tr>
      <w:tr>
        <w:trPr>
          <w:trHeight w:val="221"/>
        </w:trPr>
        <w:tc>
          <w:tcPr>
            <w:tcW w:w="6400" w:type="dxa"/>
            <w:vAlign w:val="bottom"/>
            <w:gridSpan w:val="7"/>
          </w:tcPr>
          <w:p>
            <w:pPr>
              <w:jc w:val="center"/>
              <w:ind w:right="2360"/>
              <w:spacing w:after="0"/>
              <w:rPr>
                <w:sz w:val="20"/>
                <w:szCs w:val="20"/>
                <w:color w:val="auto"/>
              </w:rPr>
            </w:pPr>
            <w:r>
              <w:rPr>
                <w:rFonts w:ascii="Arial" w:cs="Arial" w:eastAsia="Arial" w:hAnsi="Arial"/>
                <w:sz w:val="17"/>
                <w:szCs w:val="17"/>
                <w:color w:val="auto"/>
                <w:w w:val="92"/>
              </w:rPr>
              <w:t>(State or other jurisdiction of incorporation or organization)</w:t>
            </w:r>
          </w:p>
        </w:tc>
        <w:tc>
          <w:tcPr>
            <w:tcW w:w="2500" w:type="dxa"/>
            <w:vAlign w:val="bottom"/>
            <w:gridSpan w:val="3"/>
          </w:tcPr>
          <w:p>
            <w:pPr>
              <w:jc w:val="center"/>
              <w:ind w:left="75"/>
              <w:spacing w:after="0"/>
              <w:rPr>
                <w:sz w:val="20"/>
                <w:szCs w:val="20"/>
                <w:color w:val="auto"/>
              </w:rPr>
            </w:pPr>
            <w:r>
              <w:rPr>
                <w:rFonts w:ascii="Arial" w:cs="Arial" w:eastAsia="Arial" w:hAnsi="Arial"/>
                <w:sz w:val="17"/>
                <w:szCs w:val="17"/>
                <w:color w:val="auto"/>
                <w:w w:val="94"/>
              </w:rPr>
              <w:t>(IRS Employer Identification No.)</w:t>
            </w:r>
          </w:p>
        </w:tc>
      </w:tr>
      <w:tr>
        <w:trPr>
          <w:trHeight w:val="392"/>
        </w:trPr>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300" w:type="dxa"/>
            <w:vAlign w:val="bottom"/>
            <w:gridSpan w:val="4"/>
          </w:tcPr>
          <w:p>
            <w:pPr>
              <w:jc w:val="center"/>
              <w:ind w:right="740"/>
              <w:spacing w:after="0"/>
              <w:rPr>
                <w:sz w:val="20"/>
                <w:szCs w:val="20"/>
                <w:color w:val="auto"/>
              </w:rPr>
            </w:pPr>
            <w:r>
              <w:rPr>
                <w:rFonts w:ascii="Arial" w:cs="Arial" w:eastAsia="Arial" w:hAnsi="Arial"/>
                <w:sz w:val="17"/>
                <w:szCs w:val="17"/>
                <w:b w:val="1"/>
                <w:bCs w:val="1"/>
                <w:color w:val="auto"/>
                <w:w w:val="89"/>
              </w:rPr>
              <w:t>407 6th Street</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2"/>
        </w:trPr>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54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7"/>
                <w:szCs w:val="17"/>
                <w:b w:val="1"/>
                <w:bCs w:val="1"/>
                <w:color w:val="auto"/>
                <w:w w:val="91"/>
              </w:rPr>
              <w:t>Rochester, MI, 48307</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92"/>
              </w:rPr>
              <w:t>(Address of principal executive offices)</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370"/>
        </w:trPr>
        <w:tc>
          <w:tcPr>
            <w:tcW w:w="5360" w:type="dxa"/>
            <w:vAlign w:val="bottom"/>
            <w:gridSpan w:val="5"/>
          </w:tcPr>
          <w:p>
            <w:pPr>
              <w:jc w:val="center"/>
              <w:ind w:left="4315"/>
              <w:spacing w:after="0"/>
              <w:rPr>
                <w:sz w:val="20"/>
                <w:szCs w:val="20"/>
                <w:color w:val="auto"/>
              </w:rPr>
            </w:pPr>
            <w:r>
              <w:rPr>
                <w:rFonts w:ascii="Arial" w:cs="Arial" w:eastAsia="Arial" w:hAnsi="Arial"/>
                <w:sz w:val="17"/>
                <w:szCs w:val="17"/>
                <w:b w:val="1"/>
                <w:bCs w:val="1"/>
                <w:color w:val="auto"/>
                <w:w w:val="90"/>
              </w:rPr>
              <w:t>248-651-6568</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0"/>
        </w:trPr>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21"/>
        </w:trPr>
        <w:tc>
          <w:tcPr>
            <w:tcW w:w="1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100" w:type="dxa"/>
            <w:vAlign w:val="bottom"/>
            <w:gridSpan w:val="5"/>
          </w:tcPr>
          <w:p>
            <w:pPr>
              <w:jc w:val="center"/>
              <w:ind w:left="955"/>
              <w:spacing w:after="0"/>
              <w:rPr>
                <w:sz w:val="20"/>
                <w:szCs w:val="20"/>
                <w:color w:val="auto"/>
              </w:rPr>
            </w:pPr>
            <w:r>
              <w:rPr>
                <w:rFonts w:ascii="Arial" w:cs="Arial" w:eastAsia="Arial" w:hAnsi="Arial"/>
                <w:sz w:val="17"/>
                <w:szCs w:val="17"/>
                <w:color w:val="auto"/>
                <w:w w:val="89"/>
              </w:rPr>
              <w:t>(Registrant's telephone number)</w:t>
            </w:r>
          </w:p>
        </w:tc>
        <w:tc>
          <w:tcPr>
            <w:tcW w:w="9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r>
    </w:tbl>
    <w:p>
      <w:pPr>
        <w:spacing w:after="0" w:line="192" w:lineRule="exact"/>
        <w:rPr>
          <w:sz w:val="24"/>
          <w:szCs w:val="24"/>
          <w:color w:val="auto"/>
        </w:rPr>
      </w:pPr>
    </w:p>
    <w:p>
      <w:pPr>
        <w:ind w:left="3040"/>
        <w:spacing w:after="0"/>
        <w:rPr>
          <w:sz w:val="20"/>
          <w:szCs w:val="20"/>
          <w:color w:val="auto"/>
        </w:rPr>
      </w:pPr>
      <w:r>
        <w:rPr>
          <w:rFonts w:ascii="Arial" w:cs="Arial" w:eastAsia="Arial" w:hAnsi="Arial"/>
          <w:sz w:val="17"/>
          <w:szCs w:val="17"/>
          <w:color w:val="auto"/>
        </w:rPr>
        <w:t>_______________________________________________________________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200" w:lineRule="exact"/>
        <w:rPr>
          <w:sz w:val="24"/>
          <w:szCs w:val="24"/>
          <w:color w:val="auto"/>
        </w:rPr>
      </w:pPr>
    </w:p>
    <w:p>
      <w:pPr>
        <w:ind w:right="60"/>
        <w:spacing w:after="0" w:line="26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 ] No</w:t>
      </w:r>
    </w:p>
    <w:p>
      <w:pPr>
        <w:spacing w:after="0" w:line="176" w:lineRule="exact"/>
        <w:rPr>
          <w:sz w:val="24"/>
          <w:szCs w:val="24"/>
          <w:color w:val="auto"/>
        </w:rPr>
      </w:pPr>
    </w:p>
    <w:p>
      <w:pPr>
        <w:ind w:right="80"/>
        <w:spacing w:after="0" w:line="26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preceeding 12 months (or for such shorter period that the registrant was required to submit and post such files). Yes [ ] No [X]</w:t>
      </w:r>
    </w:p>
    <w:p>
      <w:pPr>
        <w:spacing w:after="0" w:line="17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432" w:right="239" w:bottom="1440" w:gutter="0" w:footer="0" w:header="0"/>
        </w:sectPr>
      </w:pPr>
    </w:p>
    <w:p>
      <w:pPr>
        <w:spacing w:after="0" w:line="212" w:lineRule="exact"/>
        <w:rPr>
          <w:sz w:val="24"/>
          <w:szCs w:val="24"/>
          <w:color w:val="auto"/>
        </w:rPr>
      </w:pPr>
    </w:p>
    <w:p>
      <w:pPr>
        <w:ind w:right="2100"/>
        <w:spacing w:after="0" w:line="274" w:lineRule="auto"/>
        <w:rPr>
          <w:sz w:val="20"/>
          <w:szCs w:val="20"/>
          <w:color w:val="auto"/>
        </w:rPr>
      </w:pPr>
      <w:r>
        <w:rPr>
          <w:rFonts w:ascii="Arial" w:cs="Arial" w:eastAsia="Arial" w:hAnsi="Arial"/>
          <w:sz w:val="17"/>
          <w:szCs w:val="17"/>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5"/>
          <w:szCs w:val="15"/>
          <w:color w:val="auto"/>
        </w:rPr>
        <w:t>[ ] Non-accelerated filer</w:t>
      </w:r>
    </w:p>
    <w:p>
      <w:pPr>
        <w:spacing w:after="0" w:line="437" w:lineRule="exact"/>
        <w:rPr>
          <w:sz w:val="24"/>
          <w:szCs w:val="24"/>
          <w:color w:val="auto"/>
        </w:rPr>
      </w:pPr>
    </w:p>
    <w:p>
      <w:pPr>
        <w:sectPr>
          <w:pgSz w:w="11900" w:h="16838" w:orient="portrait"/>
          <w:cols w:equalWidth="0" w:num="2">
            <w:col w:w="5000" w:space="720"/>
            <w:col w:w="5700"/>
          </w:cols>
          <w:pgMar w:left="240" w:top="432" w:right="239" w:bottom="1440" w:gutter="0" w:footer="0" w:header="0"/>
          <w:type w:val="continuous"/>
        </w:sect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 ]  No [X]</w:t>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color w:val="auto"/>
        </w:rPr>
        <w:t>State the number of shares outstanding of each of the issuer’s classes of common stock, as of the latest practicable date: 13,969,202 shares as of June 30,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286385</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432" w:right="239" w:bottom="1440"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7"/>
          <w:szCs w:val="17"/>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2691130</wp:posOffset>
            </wp:positionH>
            <wp:positionV relativeFrom="paragraph">
              <wp:posOffset>142240</wp:posOffset>
            </wp:positionV>
            <wp:extent cx="1906270" cy="427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6270" cy="42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80" w:type="dxa"/>
            <w:vAlign w:val="bottom"/>
            <w:gridSpan w:val="2"/>
          </w:tcPr>
          <w:p>
            <w:pPr>
              <w:jc w:val="center"/>
              <w:ind w:right="340"/>
              <w:spacing w:after="0"/>
              <w:rPr>
                <w:sz w:val="20"/>
                <w:szCs w:val="20"/>
                <w:color w:val="auto"/>
              </w:rPr>
            </w:pPr>
            <w:r>
              <w:rPr>
                <w:rFonts w:ascii="Arial" w:cs="Arial" w:eastAsia="Arial" w:hAnsi="Arial"/>
                <w:sz w:val="17"/>
                <w:szCs w:val="17"/>
                <w:color w:val="auto"/>
                <w:w w:val="85"/>
              </w:rPr>
              <w:t>Page</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00" w:type="dxa"/>
            <w:vAlign w:val="bottom"/>
            <w:gridSpan w:val="8"/>
          </w:tcPr>
          <w:p>
            <w:pPr>
              <w:jc w:val="center"/>
              <w:ind w:right="1900"/>
              <w:spacing w:after="0"/>
              <w:rPr>
                <w:sz w:val="20"/>
                <w:szCs w:val="20"/>
                <w:color w:val="auto"/>
              </w:rPr>
            </w:pPr>
            <w:r>
              <w:rPr>
                <w:rFonts w:ascii="Arial" w:cs="Arial" w:eastAsia="Arial" w:hAnsi="Arial"/>
                <w:sz w:val="17"/>
                <w:szCs w:val="17"/>
                <w:color w:val="auto"/>
                <w:w w:val="97"/>
              </w:rPr>
              <w:t>PART I – FINANCIAL INFORMATION</w:t>
            </w:r>
          </w:p>
        </w:tc>
        <w:tc>
          <w:tcPr>
            <w:tcW w:w="3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1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720" w:type="dxa"/>
            <w:vAlign w:val="bottom"/>
            <w:vMerge w:val="continue"/>
          </w:tcPr>
          <w:p>
            <w:pPr>
              <w:spacing w:after="0"/>
              <w:rPr>
                <w:sz w:val="15"/>
                <w:szCs w:val="15"/>
                <w:color w:val="auto"/>
              </w:rPr>
            </w:pPr>
          </w:p>
        </w:tc>
        <w:tc>
          <w:tcPr>
            <w:tcW w:w="1120" w:type="dxa"/>
            <w:vAlign w:val="bottom"/>
            <w:tcBorders>
              <w:bottom w:val="single" w:sz="8" w:color="CCEECC"/>
            </w:tcBorders>
            <w:shd w:val="clear" w:color="auto" w:fill="CCEECC"/>
          </w:tcPr>
          <w:p>
            <w:pPr>
              <w:spacing w:after="0" w:line="166" w:lineRule="exact"/>
              <w:rPr>
                <w:sz w:val="20"/>
                <w:szCs w:val="20"/>
                <w:color w:val="auto"/>
              </w:rPr>
            </w:pPr>
            <w:r>
              <w:rPr>
                <w:rFonts w:ascii="Arial" w:cs="Arial" w:eastAsia="Arial" w:hAnsi="Arial"/>
                <w:sz w:val="17"/>
                <w:szCs w:val="17"/>
                <w:color w:val="auto"/>
              </w:rPr>
              <w:t>Item 1:</w:t>
            </w:r>
          </w:p>
        </w:tc>
        <w:tc>
          <w:tcPr>
            <w:tcW w:w="1420" w:type="dxa"/>
            <w:vAlign w:val="bottom"/>
            <w:tcBorders>
              <w:bottom w:val="single" w:sz="8" w:color="0000EE"/>
            </w:tcBorders>
            <w:gridSpan w:val="6"/>
            <w:shd w:val="clear" w:color="auto" w:fill="CCEECC"/>
          </w:tcPr>
          <w:p>
            <w:pPr>
              <w:spacing w:after="0" w:line="166" w:lineRule="exact"/>
              <w:rPr>
                <w:rFonts w:ascii="Arial" w:cs="Arial" w:eastAsia="Arial" w:hAnsi="Arial"/>
                <w:sz w:val="17"/>
                <w:szCs w:val="17"/>
                <w:color w:val="0000EE"/>
                <w:w w:val="88"/>
              </w:rPr>
            </w:pPr>
            <w:hyperlink w:anchor="page3">
              <w:r>
                <w:rPr>
                  <w:rFonts w:ascii="Arial" w:cs="Arial" w:eastAsia="Arial" w:hAnsi="Arial"/>
                  <w:sz w:val="17"/>
                  <w:szCs w:val="17"/>
                  <w:color w:val="0000EE"/>
                  <w:w w:val="88"/>
                </w:rPr>
                <w:t>Financial Statements</w:t>
              </w:r>
            </w:hyperlink>
          </w:p>
        </w:tc>
        <w:tc>
          <w:tcPr>
            <w:tcW w:w="4760" w:type="dxa"/>
            <w:vAlign w:val="bottom"/>
            <w:tcBorders>
              <w:bottom w:val="single" w:sz="8" w:color="CCEECC"/>
            </w:tcBorders>
            <w:gridSpan w:val="9"/>
            <w:shd w:val="clear" w:color="auto" w:fill="CCEECC"/>
          </w:tcPr>
          <w:p>
            <w:pPr>
              <w:spacing w:after="0"/>
              <w:rPr>
                <w:sz w:val="15"/>
                <w:szCs w:val="15"/>
                <w:color w:val="auto"/>
              </w:rPr>
            </w:pPr>
          </w:p>
        </w:tc>
        <w:tc>
          <w:tcPr>
            <w:tcW w:w="340" w:type="dxa"/>
            <w:vAlign w:val="bottom"/>
            <w:tcBorders>
              <w:bottom w:val="single" w:sz="8" w:color="CCEECC"/>
            </w:tcBorders>
            <w:shd w:val="clear" w:color="auto" w:fill="CCEECC"/>
          </w:tcPr>
          <w:p>
            <w:pPr>
              <w:jc w:val="center"/>
              <w:spacing w:after="0" w:line="166" w:lineRule="exact"/>
              <w:rPr>
                <w:sz w:val="20"/>
                <w:szCs w:val="20"/>
                <w:color w:val="auto"/>
              </w:rPr>
            </w:pPr>
            <w:r>
              <w:rPr>
                <w:rFonts w:ascii="Arial" w:cs="Arial" w:eastAsia="Arial" w:hAnsi="Arial"/>
                <w:sz w:val="17"/>
                <w:szCs w:val="17"/>
                <w:color w:val="auto"/>
                <w:w w:val="84"/>
              </w:rPr>
              <w:t>3</w:t>
            </w:r>
          </w:p>
        </w:tc>
        <w:tc>
          <w:tcPr>
            <w:tcW w:w="340" w:type="dxa"/>
            <w:vAlign w:val="bottom"/>
            <w:tcBorders>
              <w:bottom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120" w:type="dxa"/>
            <w:vAlign w:val="bottom"/>
          </w:tcPr>
          <w:p>
            <w:pPr>
              <w:spacing w:after="0" w:line="166" w:lineRule="exact"/>
              <w:rPr>
                <w:sz w:val="20"/>
                <w:szCs w:val="20"/>
                <w:color w:val="auto"/>
              </w:rPr>
            </w:pPr>
            <w:r>
              <w:rPr>
                <w:rFonts w:ascii="Arial" w:cs="Arial" w:eastAsia="Arial" w:hAnsi="Arial"/>
                <w:sz w:val="17"/>
                <w:szCs w:val="17"/>
                <w:color w:val="auto"/>
              </w:rPr>
              <w:t>Item 2:</w:t>
            </w:r>
          </w:p>
        </w:tc>
        <w:tc>
          <w:tcPr>
            <w:tcW w:w="5300" w:type="dxa"/>
            <w:vAlign w:val="bottom"/>
            <w:tcBorders>
              <w:bottom w:val="single" w:sz="8" w:color="0000EE"/>
            </w:tcBorders>
            <w:gridSpan w:val="14"/>
          </w:tcPr>
          <w:p>
            <w:pPr>
              <w:spacing w:after="0" w:line="166" w:lineRule="exact"/>
              <w:rPr>
                <w:rFonts w:ascii="Arial" w:cs="Arial" w:eastAsia="Arial" w:hAnsi="Arial"/>
                <w:sz w:val="17"/>
                <w:szCs w:val="17"/>
                <w:color w:val="0000EE"/>
                <w:w w:val="90"/>
              </w:rPr>
            </w:pPr>
            <w:hyperlink w:anchor="page19">
              <w:r>
                <w:rPr>
                  <w:rFonts w:ascii="Arial" w:cs="Arial" w:eastAsia="Arial" w:hAnsi="Arial"/>
                  <w:sz w:val="17"/>
                  <w:szCs w:val="17"/>
                  <w:color w:val="0000EE"/>
                  <w:w w:val="90"/>
                </w:rPr>
                <w:t>Management’s Discussion and Analysis of Financial Condition and Results of</w:t>
              </w:r>
            </w:hyperlink>
          </w:p>
        </w:tc>
        <w:tc>
          <w:tcPr>
            <w:tcW w:w="880" w:type="dxa"/>
            <w:vAlign w:val="bottom"/>
          </w:tcPr>
          <w:p>
            <w:pPr>
              <w:spacing w:after="0"/>
              <w:rPr>
                <w:sz w:val="14"/>
                <w:szCs w:val="14"/>
                <w:color w:val="auto"/>
              </w:rPr>
            </w:pPr>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4</w:t>
            </w: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180" w:type="dxa"/>
            <w:vAlign w:val="bottom"/>
            <w:gridSpan w:val="15"/>
          </w:tcPr>
          <w:p>
            <w:pPr>
              <w:spacing w:after="0" w:line="184" w:lineRule="exact"/>
              <w:rPr>
                <w:rFonts w:ascii="Arial" w:cs="Arial" w:eastAsia="Arial" w:hAnsi="Arial"/>
                <w:sz w:val="17"/>
                <w:szCs w:val="17"/>
                <w:color w:val="0000EE"/>
              </w:rPr>
            </w:pPr>
            <w:hyperlink w:anchor="page19">
              <w:r>
                <w:rPr>
                  <w:rFonts w:ascii="Arial" w:cs="Arial" w:eastAsia="Arial" w:hAnsi="Arial"/>
                  <w:sz w:val="17"/>
                  <w:szCs w:val="17"/>
                  <w:color w:val="0000EE"/>
                </w:rPr>
                <w:t>Operations</w:t>
              </w:r>
            </w:hyperlink>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tcPr>
          <w:p>
            <w:pPr>
              <w:spacing w:after="0"/>
              <w:rPr>
                <w:sz w:val="17"/>
                <w:szCs w:val="17"/>
                <w:color w:val="auto"/>
              </w:rPr>
            </w:pPr>
          </w:p>
        </w:tc>
        <w:tc>
          <w:tcPr>
            <w:tcW w:w="1120" w:type="dxa"/>
            <w:vAlign w:val="bottom"/>
            <w:shd w:val="clear" w:color="auto" w:fill="CCEECC"/>
          </w:tcPr>
          <w:p>
            <w:pPr>
              <w:spacing w:after="0" w:line="184" w:lineRule="exact"/>
              <w:rPr>
                <w:sz w:val="20"/>
                <w:szCs w:val="20"/>
                <w:color w:val="auto"/>
              </w:rPr>
            </w:pPr>
            <w:r>
              <w:rPr>
                <w:rFonts w:ascii="Arial" w:cs="Arial" w:eastAsia="Arial" w:hAnsi="Arial"/>
                <w:sz w:val="17"/>
                <w:szCs w:val="17"/>
                <w:color w:val="auto"/>
              </w:rPr>
              <w:t>Item 3:</w:t>
            </w:r>
          </w:p>
        </w:tc>
        <w:tc>
          <w:tcPr>
            <w:tcW w:w="6180" w:type="dxa"/>
            <w:vAlign w:val="bottom"/>
            <w:gridSpan w:val="15"/>
            <w:shd w:val="clear" w:color="auto" w:fill="CCEECC"/>
          </w:tcPr>
          <w:p>
            <w:pPr>
              <w:spacing w:after="0" w:line="184" w:lineRule="exact"/>
              <w:rPr>
                <w:rFonts w:ascii="Arial" w:cs="Arial" w:eastAsia="Arial" w:hAnsi="Arial"/>
                <w:sz w:val="17"/>
                <w:szCs w:val="17"/>
                <w:color w:val="0000EE"/>
              </w:rPr>
            </w:pPr>
            <w:hyperlink w:anchor="page21">
              <w:r>
                <w:rPr>
                  <w:rFonts w:ascii="Arial" w:cs="Arial" w:eastAsia="Arial" w:hAnsi="Arial"/>
                  <w:sz w:val="17"/>
                  <w:szCs w:val="17"/>
                  <w:color w:val="0000EE"/>
                </w:rPr>
                <w:t>Quantitative and Qualitative Disclosures About Market Risk</w:t>
              </w:r>
            </w:hyperlink>
          </w:p>
        </w:tc>
        <w:tc>
          <w:tcPr>
            <w:tcW w:w="340" w:type="dxa"/>
            <w:vAlign w:val="bottom"/>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6</w:t>
            </w:r>
          </w:p>
        </w:tc>
        <w:tc>
          <w:tcPr>
            <w:tcW w:w="34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120" w:type="dxa"/>
            <w:vAlign w:val="bottom"/>
            <w:tcBorders>
              <w:top w:val="single" w:sz="8" w:color="CCEECC"/>
            </w:tcBorders>
          </w:tcPr>
          <w:p>
            <w:pPr>
              <w:spacing w:after="0" w:line="166" w:lineRule="exact"/>
              <w:rPr>
                <w:sz w:val="20"/>
                <w:szCs w:val="20"/>
                <w:color w:val="auto"/>
              </w:rPr>
            </w:pPr>
            <w:r>
              <w:rPr>
                <w:rFonts w:ascii="Arial" w:cs="Arial" w:eastAsia="Arial" w:hAnsi="Arial"/>
                <w:sz w:val="17"/>
                <w:szCs w:val="17"/>
                <w:color w:val="auto"/>
              </w:rPr>
              <w:t>Item 4T:</w:t>
            </w:r>
          </w:p>
        </w:tc>
        <w:tc>
          <w:tcPr>
            <w:tcW w:w="4100" w:type="dxa"/>
            <w:vAlign w:val="bottom"/>
            <w:tcBorders>
              <w:top w:val="single" w:sz="8" w:color="0000EE"/>
            </w:tcBorders>
            <w:gridSpan w:val="11"/>
          </w:tcPr>
          <w:p>
            <w:pPr>
              <w:spacing w:after="0" w:line="166" w:lineRule="exact"/>
              <w:rPr>
                <w:rFonts w:ascii="Arial" w:cs="Arial" w:eastAsia="Arial" w:hAnsi="Arial"/>
                <w:sz w:val="17"/>
                <w:szCs w:val="17"/>
                <w:color w:val="0000EE"/>
              </w:rPr>
            </w:pPr>
            <w:hyperlink w:anchor="page21">
              <w:r>
                <w:rPr>
                  <w:rFonts w:ascii="Arial" w:cs="Arial" w:eastAsia="Arial" w:hAnsi="Arial"/>
                  <w:sz w:val="17"/>
                  <w:szCs w:val="17"/>
                  <w:color w:val="0000EE"/>
                </w:rPr>
                <w:t>Controls and Procedures</w:t>
              </w:r>
            </w:hyperlink>
          </w:p>
        </w:tc>
        <w:tc>
          <w:tcPr>
            <w:tcW w:w="2080" w:type="dxa"/>
            <w:vAlign w:val="bottom"/>
            <w:tcBorders>
              <w:top w:val="single" w:sz="8" w:color="CCEECC"/>
            </w:tcBorders>
            <w:gridSpan w:val="4"/>
          </w:tcPr>
          <w:p>
            <w:pPr>
              <w:spacing w:after="0"/>
              <w:rPr>
                <w:sz w:val="14"/>
                <w:szCs w:val="14"/>
                <w:color w:val="auto"/>
              </w:rPr>
            </w:pPr>
          </w:p>
        </w:tc>
        <w:tc>
          <w:tcPr>
            <w:tcW w:w="340" w:type="dxa"/>
            <w:vAlign w:val="bottom"/>
            <w:tcBorders>
              <w:top w:val="single" w:sz="8" w:color="CCEECC"/>
            </w:tcBorders>
          </w:tcPr>
          <w:p>
            <w:pPr>
              <w:jc w:val="center"/>
              <w:spacing w:after="0" w:line="166" w:lineRule="exact"/>
              <w:rPr>
                <w:sz w:val="20"/>
                <w:szCs w:val="20"/>
                <w:color w:val="auto"/>
              </w:rPr>
            </w:pPr>
            <w:r>
              <w:rPr>
                <w:rFonts w:ascii="Arial" w:cs="Arial" w:eastAsia="Arial" w:hAnsi="Arial"/>
                <w:sz w:val="17"/>
                <w:szCs w:val="17"/>
                <w:color w:val="auto"/>
                <w:w w:val="84"/>
              </w:rPr>
              <w:t>6</w:t>
            </w:r>
          </w:p>
        </w:tc>
        <w:tc>
          <w:tcPr>
            <w:tcW w:w="340" w:type="dxa"/>
            <w:vAlign w:val="bottom"/>
            <w:tcBorders>
              <w:top w:val="single" w:sz="8" w:color="CCEEC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6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5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1720" w:type="dxa"/>
            <w:vAlign w:val="bottom"/>
          </w:tcPr>
          <w:p>
            <w:pPr>
              <w:spacing w:after="0"/>
              <w:rPr>
                <w:sz w:val="24"/>
                <w:szCs w:val="24"/>
                <w:color w:val="auto"/>
              </w:rPr>
            </w:pPr>
          </w:p>
        </w:tc>
        <w:tc>
          <w:tcPr>
            <w:tcW w:w="1120" w:type="dxa"/>
            <w:vAlign w:val="bottom"/>
            <w:shd w:val="clear" w:color="auto" w:fill="CCEECC"/>
          </w:tcPr>
          <w:p>
            <w:pPr>
              <w:spacing w:after="0"/>
              <w:rPr>
                <w:sz w:val="24"/>
                <w:szCs w:val="24"/>
                <w:color w:val="auto"/>
              </w:rPr>
            </w:pPr>
          </w:p>
        </w:tc>
        <w:tc>
          <w:tcPr>
            <w:tcW w:w="560" w:type="dxa"/>
            <w:vAlign w:val="bottom"/>
            <w:shd w:val="clear" w:color="auto" w:fill="CCEECC"/>
          </w:tcPr>
          <w:p>
            <w:pPr>
              <w:spacing w:after="0"/>
              <w:rPr>
                <w:sz w:val="24"/>
                <w:szCs w:val="24"/>
                <w:color w:val="auto"/>
              </w:rPr>
            </w:pPr>
          </w:p>
        </w:tc>
        <w:tc>
          <w:tcPr>
            <w:tcW w:w="180" w:type="dxa"/>
            <w:vAlign w:val="bottom"/>
            <w:shd w:val="clear" w:color="auto" w:fill="CCEECC"/>
          </w:tcPr>
          <w:p>
            <w:pPr>
              <w:spacing w:after="0"/>
              <w:rPr>
                <w:sz w:val="24"/>
                <w:szCs w:val="24"/>
                <w:color w:val="auto"/>
              </w:rPr>
            </w:pPr>
          </w:p>
        </w:tc>
        <w:tc>
          <w:tcPr>
            <w:tcW w:w="120" w:type="dxa"/>
            <w:vAlign w:val="bottom"/>
            <w:shd w:val="clear" w:color="auto" w:fill="CCEECC"/>
          </w:tcPr>
          <w:p>
            <w:pPr>
              <w:spacing w:after="0"/>
              <w:rPr>
                <w:sz w:val="24"/>
                <w:szCs w:val="24"/>
                <w:color w:val="auto"/>
              </w:rPr>
            </w:pPr>
          </w:p>
        </w:tc>
        <w:tc>
          <w:tcPr>
            <w:tcW w:w="380" w:type="dxa"/>
            <w:vAlign w:val="bottom"/>
            <w:shd w:val="clear" w:color="auto" w:fill="CCEECC"/>
          </w:tcPr>
          <w:p>
            <w:pPr>
              <w:spacing w:after="0"/>
              <w:rPr>
                <w:sz w:val="24"/>
                <w:szCs w:val="24"/>
                <w:color w:val="auto"/>
              </w:rPr>
            </w:pPr>
          </w:p>
        </w:tc>
        <w:tc>
          <w:tcPr>
            <w:tcW w:w="20" w:type="dxa"/>
            <w:vAlign w:val="bottom"/>
            <w:shd w:val="clear" w:color="auto" w:fill="CCEECC"/>
          </w:tcPr>
          <w:p>
            <w:pPr>
              <w:spacing w:after="0"/>
              <w:rPr>
                <w:sz w:val="24"/>
                <w:szCs w:val="24"/>
                <w:color w:val="auto"/>
              </w:rPr>
            </w:pPr>
          </w:p>
        </w:tc>
        <w:tc>
          <w:tcPr>
            <w:tcW w:w="160" w:type="dxa"/>
            <w:vAlign w:val="bottom"/>
            <w:shd w:val="clear" w:color="auto" w:fill="CCEECC"/>
          </w:tcPr>
          <w:p>
            <w:pPr>
              <w:spacing w:after="0"/>
              <w:rPr>
                <w:sz w:val="24"/>
                <w:szCs w:val="24"/>
                <w:color w:val="auto"/>
              </w:rPr>
            </w:pPr>
          </w:p>
        </w:tc>
        <w:tc>
          <w:tcPr>
            <w:tcW w:w="60" w:type="dxa"/>
            <w:vAlign w:val="bottom"/>
            <w:shd w:val="clear" w:color="auto" w:fill="CCEECC"/>
          </w:tcPr>
          <w:p>
            <w:pPr>
              <w:spacing w:after="0"/>
              <w:rPr>
                <w:sz w:val="24"/>
                <w:szCs w:val="24"/>
                <w:color w:val="auto"/>
              </w:rPr>
            </w:pPr>
          </w:p>
        </w:tc>
        <w:tc>
          <w:tcPr>
            <w:tcW w:w="120" w:type="dxa"/>
            <w:vAlign w:val="bottom"/>
            <w:shd w:val="clear" w:color="auto" w:fill="CCEECC"/>
          </w:tcPr>
          <w:p>
            <w:pPr>
              <w:spacing w:after="0"/>
              <w:rPr>
                <w:sz w:val="24"/>
                <w:szCs w:val="24"/>
                <w:color w:val="auto"/>
              </w:rPr>
            </w:pPr>
          </w:p>
        </w:tc>
        <w:tc>
          <w:tcPr>
            <w:tcW w:w="60" w:type="dxa"/>
            <w:vAlign w:val="bottom"/>
            <w:tcBorders>
              <w:right w:val="single" w:sz="8" w:color="CCEECC"/>
            </w:tcBorders>
            <w:shd w:val="clear" w:color="auto" w:fill="CCEECC"/>
          </w:tcPr>
          <w:p>
            <w:pPr>
              <w:spacing w:after="0"/>
              <w:rPr>
                <w:sz w:val="24"/>
                <w:szCs w:val="24"/>
                <w:color w:val="auto"/>
              </w:rPr>
            </w:pPr>
          </w:p>
        </w:tc>
        <w:tc>
          <w:tcPr>
            <w:tcW w:w="4520" w:type="dxa"/>
            <w:vAlign w:val="bottom"/>
            <w:gridSpan w:val="6"/>
            <w:shd w:val="clear" w:color="auto" w:fill="CCEECC"/>
          </w:tcPr>
          <w:p>
            <w:pPr>
              <w:jc w:val="center"/>
              <w:ind w:right="2060"/>
              <w:spacing w:after="0"/>
              <w:rPr>
                <w:sz w:val="20"/>
                <w:szCs w:val="20"/>
                <w:color w:val="auto"/>
              </w:rPr>
            </w:pPr>
            <w:r>
              <w:rPr>
                <w:rFonts w:ascii="Arial" w:cs="Arial" w:eastAsia="Arial" w:hAnsi="Arial"/>
                <w:sz w:val="17"/>
                <w:szCs w:val="17"/>
                <w:color w:val="auto"/>
                <w:w w:val="93"/>
              </w:rPr>
              <w:t>PART II – OTHER INFORMATION</w:t>
            </w:r>
          </w:p>
        </w:tc>
        <w:tc>
          <w:tcPr>
            <w:tcW w:w="340" w:type="dxa"/>
            <w:vAlign w:val="bottom"/>
            <w:shd w:val="clear" w:color="auto" w:fill="CCEECC"/>
          </w:tcPr>
          <w:p>
            <w:pPr>
              <w:spacing w:after="0"/>
              <w:rPr>
                <w:sz w:val="24"/>
                <w:szCs w:val="24"/>
                <w:color w:val="auto"/>
              </w:rPr>
            </w:pPr>
          </w:p>
        </w:tc>
        <w:tc>
          <w:tcPr>
            <w:tcW w:w="340" w:type="dxa"/>
            <w:vAlign w:val="bottom"/>
            <w:shd w:val="clear" w:color="auto" w:fill="CCEECC"/>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720" w:type="dxa"/>
            <w:vAlign w:val="bottom"/>
          </w:tcPr>
          <w:p>
            <w:pPr>
              <w:spacing w:after="0"/>
              <w:rPr>
                <w:sz w:val="24"/>
                <w:szCs w:val="24"/>
                <w:color w:val="auto"/>
              </w:rPr>
            </w:pPr>
          </w:p>
        </w:tc>
        <w:tc>
          <w:tcPr>
            <w:tcW w:w="11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Item 1:</w:t>
            </w:r>
          </w:p>
        </w:tc>
        <w:tc>
          <w:tcPr>
            <w:tcW w:w="1260" w:type="dxa"/>
            <w:vAlign w:val="bottom"/>
            <w:tcBorders>
              <w:top w:val="single" w:sz="8" w:color="CCEECC"/>
              <w:bottom w:val="single" w:sz="8" w:color="0000EE"/>
            </w:tcBorders>
            <w:gridSpan w:val="5"/>
            <w:shd w:val="clear" w:color="auto" w:fill="CCEECC"/>
          </w:tcPr>
          <w:p>
            <w:pPr>
              <w:spacing w:after="0"/>
              <w:rPr>
                <w:rFonts w:ascii="Arial" w:cs="Arial" w:eastAsia="Arial" w:hAnsi="Arial"/>
                <w:sz w:val="17"/>
                <w:szCs w:val="17"/>
                <w:color w:val="0000EE"/>
                <w:w w:val="88"/>
              </w:rPr>
            </w:pPr>
            <w:hyperlink w:anchor="page23">
              <w:r>
                <w:rPr>
                  <w:rFonts w:ascii="Arial" w:cs="Arial" w:eastAsia="Arial" w:hAnsi="Arial"/>
                  <w:sz w:val="17"/>
                  <w:szCs w:val="17"/>
                  <w:color w:val="0000EE"/>
                  <w:w w:val="88"/>
                </w:rPr>
                <w:t>Legal Proceedings</w:t>
              </w:r>
            </w:hyperlink>
          </w:p>
        </w:tc>
        <w:tc>
          <w:tcPr>
            <w:tcW w:w="400" w:type="dxa"/>
            <w:vAlign w:val="bottom"/>
            <w:tcBorders>
              <w:top w:val="single" w:sz="8" w:color="CCEECC"/>
              <w:bottom w:val="single" w:sz="8" w:color="CCEECC"/>
              <w:right w:val="single" w:sz="8" w:color="CCEECC"/>
            </w:tcBorders>
            <w:gridSpan w:val="4"/>
            <w:shd w:val="clear" w:color="auto" w:fill="CCEECC"/>
          </w:tcPr>
          <w:p>
            <w:pPr>
              <w:spacing w:after="0"/>
              <w:rPr>
                <w:sz w:val="24"/>
                <w:szCs w:val="24"/>
                <w:color w:val="auto"/>
              </w:rPr>
            </w:pPr>
          </w:p>
        </w:tc>
        <w:tc>
          <w:tcPr>
            <w:tcW w:w="2460" w:type="dxa"/>
            <w:vAlign w:val="bottom"/>
            <w:tcBorders>
              <w:top w:val="single" w:sz="8" w:color="auto"/>
              <w:bottom w:val="single" w:sz="8" w:color="CCEECC"/>
            </w:tcBorders>
            <w:gridSpan w:val="3"/>
            <w:shd w:val="clear" w:color="auto" w:fill="CCEECC"/>
          </w:tcPr>
          <w:p>
            <w:pPr>
              <w:spacing w:after="0"/>
              <w:rPr>
                <w:sz w:val="24"/>
                <w:szCs w:val="24"/>
                <w:color w:val="auto"/>
              </w:rPr>
            </w:pPr>
          </w:p>
        </w:tc>
        <w:tc>
          <w:tcPr>
            <w:tcW w:w="2060" w:type="dxa"/>
            <w:vAlign w:val="bottom"/>
            <w:tcBorders>
              <w:top w:val="single" w:sz="8" w:color="CCEECC"/>
              <w:bottom w:val="single" w:sz="8" w:color="CCEECC"/>
            </w:tcBorders>
            <w:gridSpan w:val="3"/>
            <w:shd w:val="clear" w:color="auto" w:fill="CCEECC"/>
          </w:tcPr>
          <w:p>
            <w:pPr>
              <w:spacing w:after="0"/>
              <w:rPr>
                <w:sz w:val="24"/>
                <w:szCs w:val="24"/>
                <w:color w:val="auto"/>
              </w:rPr>
            </w:pPr>
          </w:p>
        </w:tc>
        <w:tc>
          <w:tcPr>
            <w:tcW w:w="340" w:type="dxa"/>
            <w:vAlign w:val="bottom"/>
            <w:tcBorders>
              <w:top w:val="single" w:sz="8" w:color="CCEECC"/>
              <w:bottom w:val="single" w:sz="8" w:color="CCEECC"/>
            </w:tcBorders>
            <w:shd w:val="clear" w:color="auto" w:fill="CCEECC"/>
          </w:tcPr>
          <w:p>
            <w:pPr>
              <w:jc w:val="center"/>
              <w:spacing w:after="0"/>
              <w:rPr>
                <w:sz w:val="20"/>
                <w:szCs w:val="20"/>
                <w:color w:val="auto"/>
              </w:rPr>
            </w:pPr>
            <w:r>
              <w:rPr>
                <w:rFonts w:ascii="Arial" w:cs="Arial" w:eastAsia="Arial" w:hAnsi="Arial"/>
                <w:sz w:val="17"/>
                <w:szCs w:val="17"/>
                <w:color w:val="auto"/>
                <w:w w:val="84"/>
              </w:rPr>
              <w:t>8</w:t>
            </w:r>
          </w:p>
        </w:tc>
        <w:tc>
          <w:tcPr>
            <w:tcW w:w="340" w:type="dxa"/>
            <w:vAlign w:val="bottom"/>
            <w:tcBorders>
              <w:top w:val="single" w:sz="8" w:color="CCEECC"/>
              <w:bottom w:val="single" w:sz="8" w:color="CCEECC"/>
            </w:tcBorders>
            <w:shd w:val="clear" w:color="auto" w:fill="CCEECC"/>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120" w:type="dxa"/>
            <w:vAlign w:val="bottom"/>
          </w:tcPr>
          <w:p>
            <w:pPr>
              <w:spacing w:after="0" w:line="166" w:lineRule="exact"/>
              <w:rPr>
                <w:sz w:val="20"/>
                <w:szCs w:val="20"/>
                <w:color w:val="auto"/>
              </w:rPr>
            </w:pPr>
            <w:r>
              <w:rPr>
                <w:rFonts w:ascii="Arial" w:cs="Arial" w:eastAsia="Arial" w:hAnsi="Arial"/>
                <w:sz w:val="17"/>
                <w:szCs w:val="17"/>
                <w:color w:val="auto"/>
              </w:rPr>
              <w:t>Item 1A:</w:t>
            </w:r>
          </w:p>
        </w:tc>
        <w:tc>
          <w:tcPr>
            <w:tcW w:w="860" w:type="dxa"/>
            <w:vAlign w:val="bottom"/>
            <w:tcBorders>
              <w:bottom w:val="single" w:sz="8" w:color="0000EE"/>
            </w:tcBorders>
            <w:gridSpan w:val="3"/>
          </w:tcPr>
          <w:p>
            <w:pPr>
              <w:spacing w:after="0" w:line="166" w:lineRule="exact"/>
              <w:rPr>
                <w:rFonts w:ascii="Arial" w:cs="Arial" w:eastAsia="Arial" w:hAnsi="Arial"/>
                <w:sz w:val="17"/>
                <w:szCs w:val="17"/>
                <w:color w:val="0000EE"/>
                <w:w w:val="88"/>
              </w:rPr>
            </w:pPr>
            <w:hyperlink w:anchor="page23">
              <w:r>
                <w:rPr>
                  <w:rFonts w:ascii="Arial" w:cs="Arial" w:eastAsia="Arial" w:hAnsi="Arial"/>
                  <w:sz w:val="17"/>
                  <w:szCs w:val="17"/>
                  <w:color w:val="0000EE"/>
                  <w:w w:val="88"/>
                </w:rPr>
                <w:t>Risk Factors</w:t>
              </w:r>
            </w:hyperlink>
          </w:p>
        </w:tc>
        <w:tc>
          <w:tcPr>
            <w:tcW w:w="5320" w:type="dxa"/>
            <w:vAlign w:val="bottom"/>
            <w:gridSpan w:val="12"/>
          </w:tcPr>
          <w:p>
            <w:pPr>
              <w:spacing w:after="0"/>
              <w:rPr>
                <w:sz w:val="14"/>
                <w:szCs w:val="14"/>
                <w:color w:val="auto"/>
              </w:rPr>
            </w:pPr>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8</w:t>
            </w: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120" w:type="dxa"/>
            <w:vAlign w:val="bottom"/>
            <w:tcBorders>
              <w:bottom w:val="single" w:sz="8" w:color="CCEECC"/>
            </w:tcBorders>
            <w:shd w:val="clear" w:color="auto" w:fill="CCEECC"/>
          </w:tcPr>
          <w:p>
            <w:pPr>
              <w:spacing w:after="0" w:line="184" w:lineRule="exact"/>
              <w:rPr>
                <w:sz w:val="20"/>
                <w:szCs w:val="20"/>
                <w:color w:val="auto"/>
              </w:rPr>
            </w:pPr>
            <w:r>
              <w:rPr>
                <w:rFonts w:ascii="Arial" w:cs="Arial" w:eastAsia="Arial" w:hAnsi="Arial"/>
                <w:sz w:val="17"/>
                <w:szCs w:val="17"/>
                <w:color w:val="auto"/>
              </w:rPr>
              <w:t>Item 2:</w:t>
            </w:r>
          </w:p>
        </w:tc>
        <w:tc>
          <w:tcPr>
            <w:tcW w:w="4100" w:type="dxa"/>
            <w:vAlign w:val="bottom"/>
            <w:tcBorders>
              <w:bottom w:val="single" w:sz="8" w:color="0000EE"/>
            </w:tcBorders>
            <w:gridSpan w:val="11"/>
            <w:shd w:val="clear" w:color="auto" w:fill="CCEECC"/>
          </w:tcPr>
          <w:p>
            <w:pPr>
              <w:spacing w:after="0" w:line="184" w:lineRule="exact"/>
              <w:rPr>
                <w:rFonts w:ascii="Arial" w:cs="Arial" w:eastAsia="Arial" w:hAnsi="Arial"/>
                <w:sz w:val="17"/>
                <w:szCs w:val="17"/>
                <w:color w:val="0000EE"/>
                <w:w w:val="89"/>
              </w:rPr>
            </w:pPr>
            <w:hyperlink w:anchor="page23">
              <w:r>
                <w:rPr>
                  <w:rFonts w:ascii="Arial" w:cs="Arial" w:eastAsia="Arial" w:hAnsi="Arial"/>
                  <w:sz w:val="17"/>
                  <w:szCs w:val="17"/>
                  <w:color w:val="0000EE"/>
                  <w:w w:val="89"/>
                </w:rPr>
                <w:t>Unregistered Sales of Equity Securities and Use of Proceeds</w:t>
              </w:r>
            </w:hyperlink>
          </w:p>
        </w:tc>
        <w:tc>
          <w:tcPr>
            <w:tcW w:w="2080" w:type="dxa"/>
            <w:vAlign w:val="bottom"/>
            <w:tcBorders>
              <w:bottom w:val="single" w:sz="8" w:color="CCEECC"/>
            </w:tcBorders>
            <w:gridSpan w:val="4"/>
            <w:shd w:val="clear" w:color="auto" w:fill="CCEECC"/>
          </w:tcPr>
          <w:p>
            <w:pPr>
              <w:spacing w:after="0"/>
              <w:rPr>
                <w:sz w:val="17"/>
                <w:szCs w:val="17"/>
                <w:color w:val="auto"/>
              </w:rPr>
            </w:pPr>
          </w:p>
        </w:tc>
        <w:tc>
          <w:tcPr>
            <w:tcW w:w="340" w:type="dxa"/>
            <w:vAlign w:val="bottom"/>
            <w:tcBorders>
              <w:bottom w:val="single" w:sz="8" w:color="CCEECC"/>
            </w:tcBorders>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8</w:t>
            </w:r>
          </w:p>
        </w:tc>
        <w:tc>
          <w:tcPr>
            <w:tcW w:w="34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120" w:type="dxa"/>
            <w:vAlign w:val="bottom"/>
          </w:tcPr>
          <w:p>
            <w:pPr>
              <w:spacing w:after="0" w:line="166" w:lineRule="exact"/>
              <w:rPr>
                <w:sz w:val="20"/>
                <w:szCs w:val="20"/>
                <w:color w:val="auto"/>
              </w:rPr>
            </w:pPr>
            <w:r>
              <w:rPr>
                <w:rFonts w:ascii="Arial" w:cs="Arial" w:eastAsia="Arial" w:hAnsi="Arial"/>
                <w:sz w:val="17"/>
                <w:szCs w:val="17"/>
                <w:color w:val="auto"/>
              </w:rPr>
              <w:t>Item 3:</w:t>
            </w:r>
          </w:p>
        </w:tc>
        <w:tc>
          <w:tcPr>
            <w:tcW w:w="6180" w:type="dxa"/>
            <w:vAlign w:val="bottom"/>
            <w:gridSpan w:val="15"/>
          </w:tcPr>
          <w:p>
            <w:pPr>
              <w:spacing w:after="0" w:line="166" w:lineRule="exact"/>
              <w:rPr>
                <w:rFonts w:ascii="Arial" w:cs="Arial" w:eastAsia="Arial" w:hAnsi="Arial"/>
                <w:sz w:val="17"/>
                <w:szCs w:val="17"/>
                <w:color w:val="0000EE"/>
              </w:rPr>
            </w:pPr>
            <w:hyperlink w:anchor="page23">
              <w:r>
                <w:rPr>
                  <w:rFonts w:ascii="Arial" w:cs="Arial" w:eastAsia="Arial" w:hAnsi="Arial"/>
                  <w:sz w:val="17"/>
                  <w:szCs w:val="17"/>
                  <w:color w:val="0000EE"/>
                </w:rPr>
                <w:t>Defaults Upon Senior Securities</w:t>
              </w:r>
            </w:hyperlink>
          </w:p>
        </w:tc>
        <w:tc>
          <w:tcPr>
            <w:tcW w:w="340" w:type="dxa"/>
            <w:vAlign w:val="bottom"/>
          </w:tcPr>
          <w:p>
            <w:pPr>
              <w:jc w:val="center"/>
              <w:spacing w:after="0" w:line="166" w:lineRule="exact"/>
              <w:rPr>
                <w:sz w:val="20"/>
                <w:szCs w:val="20"/>
                <w:color w:val="auto"/>
              </w:rPr>
            </w:pPr>
            <w:r>
              <w:rPr>
                <w:rFonts w:ascii="Arial" w:cs="Arial" w:eastAsia="Arial" w:hAnsi="Arial"/>
                <w:sz w:val="17"/>
                <w:szCs w:val="17"/>
                <w:color w:val="auto"/>
                <w:w w:val="84"/>
              </w:rPr>
              <w:t>8</w:t>
            </w:r>
          </w:p>
        </w:tc>
        <w:tc>
          <w:tcPr>
            <w:tcW w:w="3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120" w:type="dxa"/>
            <w:vAlign w:val="bottom"/>
            <w:shd w:val="clear" w:color="auto" w:fill="CCEECC"/>
          </w:tcPr>
          <w:p>
            <w:pPr>
              <w:spacing w:after="0" w:line="184" w:lineRule="exact"/>
              <w:rPr>
                <w:sz w:val="20"/>
                <w:szCs w:val="20"/>
                <w:color w:val="auto"/>
              </w:rPr>
            </w:pPr>
            <w:r>
              <w:rPr>
                <w:rFonts w:ascii="Arial" w:cs="Arial" w:eastAsia="Arial" w:hAnsi="Arial"/>
                <w:sz w:val="17"/>
                <w:szCs w:val="17"/>
                <w:color w:val="auto"/>
              </w:rPr>
              <w:t>Item 4:</w:t>
            </w:r>
          </w:p>
        </w:tc>
        <w:tc>
          <w:tcPr>
            <w:tcW w:w="2180" w:type="dxa"/>
            <w:vAlign w:val="bottom"/>
            <w:tcBorders>
              <w:top w:val="single" w:sz="8" w:color="0000EE"/>
            </w:tcBorders>
            <w:gridSpan w:val="10"/>
            <w:shd w:val="clear" w:color="auto" w:fill="CCEECC"/>
          </w:tcPr>
          <w:p>
            <w:pPr>
              <w:spacing w:after="0" w:line="184" w:lineRule="exact"/>
              <w:rPr>
                <w:rFonts w:ascii="Arial" w:cs="Arial" w:eastAsia="Arial" w:hAnsi="Arial"/>
                <w:sz w:val="17"/>
                <w:szCs w:val="17"/>
                <w:color w:val="0000EE"/>
              </w:rPr>
            </w:pPr>
            <w:hyperlink w:anchor="page23">
              <w:r>
                <w:rPr>
                  <w:rFonts w:ascii="Arial" w:cs="Arial" w:eastAsia="Arial" w:hAnsi="Arial"/>
                  <w:sz w:val="17"/>
                  <w:szCs w:val="17"/>
                  <w:color w:val="0000EE"/>
                </w:rPr>
                <w:t>Removed and Reserved</w:t>
              </w:r>
            </w:hyperlink>
          </w:p>
        </w:tc>
        <w:tc>
          <w:tcPr>
            <w:tcW w:w="4000" w:type="dxa"/>
            <w:vAlign w:val="bottom"/>
            <w:gridSpan w:val="5"/>
            <w:shd w:val="clear" w:color="auto" w:fill="CCEECC"/>
          </w:tcPr>
          <w:p>
            <w:pPr>
              <w:spacing w:after="0"/>
              <w:rPr>
                <w:sz w:val="17"/>
                <w:szCs w:val="17"/>
                <w:color w:val="auto"/>
              </w:rPr>
            </w:pPr>
          </w:p>
        </w:tc>
        <w:tc>
          <w:tcPr>
            <w:tcW w:w="340" w:type="dxa"/>
            <w:vAlign w:val="bottom"/>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8</w:t>
            </w:r>
          </w:p>
        </w:tc>
        <w:tc>
          <w:tcPr>
            <w:tcW w:w="34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720" w:type="dxa"/>
            <w:vAlign w:val="bottom"/>
          </w:tcPr>
          <w:p>
            <w:pPr>
              <w:spacing w:after="0"/>
              <w:rPr>
                <w:sz w:val="14"/>
                <w:szCs w:val="14"/>
                <w:color w:val="auto"/>
              </w:rPr>
            </w:pPr>
          </w:p>
        </w:tc>
        <w:tc>
          <w:tcPr>
            <w:tcW w:w="1120" w:type="dxa"/>
            <w:vAlign w:val="bottom"/>
            <w:tcBorders>
              <w:top w:val="single" w:sz="8" w:color="CCEECC"/>
            </w:tcBorders>
          </w:tcPr>
          <w:p>
            <w:pPr>
              <w:spacing w:after="0" w:line="166" w:lineRule="exact"/>
              <w:rPr>
                <w:sz w:val="20"/>
                <w:szCs w:val="20"/>
                <w:color w:val="auto"/>
              </w:rPr>
            </w:pPr>
            <w:r>
              <w:rPr>
                <w:rFonts w:ascii="Arial" w:cs="Arial" w:eastAsia="Arial" w:hAnsi="Arial"/>
                <w:sz w:val="17"/>
                <w:szCs w:val="17"/>
                <w:color w:val="auto"/>
              </w:rPr>
              <w:t>Item 5:</w:t>
            </w:r>
          </w:p>
        </w:tc>
        <w:tc>
          <w:tcPr>
            <w:tcW w:w="1240" w:type="dxa"/>
            <w:vAlign w:val="bottom"/>
            <w:tcBorders>
              <w:top w:val="single" w:sz="8" w:color="0000EE"/>
              <w:bottom w:val="single" w:sz="8" w:color="0000EE"/>
            </w:tcBorders>
            <w:gridSpan w:val="4"/>
          </w:tcPr>
          <w:p>
            <w:pPr>
              <w:spacing w:after="0" w:line="166" w:lineRule="exact"/>
              <w:rPr>
                <w:rFonts w:ascii="Arial" w:cs="Arial" w:eastAsia="Arial" w:hAnsi="Arial"/>
                <w:sz w:val="17"/>
                <w:szCs w:val="17"/>
                <w:color w:val="0000EE"/>
                <w:w w:val="92"/>
              </w:rPr>
            </w:pPr>
            <w:hyperlink w:anchor="page24">
              <w:r>
                <w:rPr>
                  <w:rFonts w:ascii="Arial" w:cs="Arial" w:eastAsia="Arial" w:hAnsi="Arial"/>
                  <w:sz w:val="17"/>
                  <w:szCs w:val="17"/>
                  <w:color w:val="0000EE"/>
                  <w:w w:val="92"/>
                </w:rPr>
                <w:t>Other Information</w:t>
              </w:r>
            </w:hyperlink>
          </w:p>
        </w:tc>
        <w:tc>
          <w:tcPr>
            <w:tcW w:w="360" w:type="dxa"/>
            <w:vAlign w:val="bottom"/>
            <w:tcBorders>
              <w:top w:val="single" w:sz="8" w:color="0000EE"/>
            </w:tcBorders>
            <w:gridSpan w:val="4"/>
          </w:tcPr>
          <w:p>
            <w:pPr>
              <w:spacing w:after="0"/>
              <w:rPr>
                <w:sz w:val="14"/>
                <w:szCs w:val="14"/>
                <w:color w:val="auto"/>
              </w:rPr>
            </w:pPr>
          </w:p>
        </w:tc>
        <w:tc>
          <w:tcPr>
            <w:tcW w:w="4580" w:type="dxa"/>
            <w:vAlign w:val="bottom"/>
            <w:tcBorders>
              <w:top w:val="single" w:sz="8" w:color="CCEECC"/>
            </w:tcBorders>
            <w:gridSpan w:val="7"/>
          </w:tcPr>
          <w:p>
            <w:pPr>
              <w:spacing w:after="0"/>
              <w:rPr>
                <w:sz w:val="14"/>
                <w:szCs w:val="14"/>
                <w:color w:val="auto"/>
              </w:rPr>
            </w:pPr>
          </w:p>
        </w:tc>
        <w:tc>
          <w:tcPr>
            <w:tcW w:w="340" w:type="dxa"/>
            <w:vAlign w:val="bottom"/>
            <w:tcBorders>
              <w:top w:val="single" w:sz="8" w:color="CCEECC"/>
            </w:tcBorders>
          </w:tcPr>
          <w:p>
            <w:pPr>
              <w:jc w:val="center"/>
              <w:spacing w:after="0" w:line="166" w:lineRule="exact"/>
              <w:rPr>
                <w:sz w:val="20"/>
                <w:szCs w:val="20"/>
                <w:color w:val="auto"/>
              </w:rPr>
            </w:pPr>
            <w:r>
              <w:rPr>
                <w:rFonts w:ascii="Arial" w:cs="Arial" w:eastAsia="Arial" w:hAnsi="Arial"/>
                <w:sz w:val="17"/>
                <w:szCs w:val="17"/>
                <w:color w:val="auto"/>
                <w:w w:val="84"/>
              </w:rPr>
              <w:t>9</w:t>
            </w:r>
          </w:p>
        </w:tc>
        <w:tc>
          <w:tcPr>
            <w:tcW w:w="340" w:type="dxa"/>
            <w:vAlign w:val="bottom"/>
            <w:tcBorders>
              <w:top w:val="single" w:sz="8" w:color="CCEECC"/>
            </w:tcBorders>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1120" w:type="dxa"/>
            <w:vAlign w:val="bottom"/>
            <w:shd w:val="clear" w:color="auto" w:fill="CCEECC"/>
          </w:tcPr>
          <w:p>
            <w:pPr>
              <w:spacing w:after="0" w:line="184" w:lineRule="exact"/>
              <w:rPr>
                <w:sz w:val="20"/>
                <w:szCs w:val="20"/>
                <w:color w:val="auto"/>
              </w:rPr>
            </w:pPr>
            <w:r>
              <w:rPr>
                <w:rFonts w:ascii="Arial" w:cs="Arial" w:eastAsia="Arial" w:hAnsi="Arial"/>
                <w:sz w:val="17"/>
                <w:szCs w:val="17"/>
                <w:color w:val="auto"/>
              </w:rPr>
              <w:t>Item 6:</w:t>
            </w:r>
          </w:p>
        </w:tc>
        <w:tc>
          <w:tcPr>
            <w:tcW w:w="6180" w:type="dxa"/>
            <w:vAlign w:val="bottom"/>
            <w:gridSpan w:val="15"/>
            <w:shd w:val="clear" w:color="auto" w:fill="CCEECC"/>
          </w:tcPr>
          <w:p>
            <w:pPr>
              <w:spacing w:after="0" w:line="184" w:lineRule="exact"/>
              <w:rPr>
                <w:rFonts w:ascii="Arial" w:cs="Arial" w:eastAsia="Arial" w:hAnsi="Arial"/>
                <w:sz w:val="17"/>
                <w:szCs w:val="17"/>
                <w:color w:val="0000EE"/>
              </w:rPr>
            </w:pPr>
            <w:hyperlink w:anchor="page24">
              <w:r>
                <w:rPr>
                  <w:rFonts w:ascii="Arial" w:cs="Arial" w:eastAsia="Arial" w:hAnsi="Arial"/>
                  <w:sz w:val="17"/>
                  <w:szCs w:val="17"/>
                  <w:color w:val="0000EE"/>
                </w:rPr>
                <w:t>Exhibits</w:t>
              </w:r>
            </w:hyperlink>
          </w:p>
        </w:tc>
        <w:tc>
          <w:tcPr>
            <w:tcW w:w="340" w:type="dxa"/>
            <w:vAlign w:val="bottom"/>
            <w:shd w:val="clear" w:color="auto" w:fill="CCEECC"/>
          </w:tcPr>
          <w:p>
            <w:pPr>
              <w:jc w:val="center"/>
              <w:spacing w:after="0" w:line="184" w:lineRule="exact"/>
              <w:rPr>
                <w:sz w:val="20"/>
                <w:szCs w:val="20"/>
                <w:color w:val="auto"/>
              </w:rPr>
            </w:pPr>
            <w:r>
              <w:rPr>
                <w:rFonts w:ascii="Arial" w:cs="Arial" w:eastAsia="Arial" w:hAnsi="Arial"/>
                <w:sz w:val="17"/>
                <w:szCs w:val="17"/>
                <w:color w:val="auto"/>
                <w:w w:val="84"/>
              </w:rPr>
              <w:t>9</w:t>
            </w:r>
          </w:p>
        </w:tc>
        <w:tc>
          <w:tcPr>
            <w:tcW w:w="34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0"/>
        </w:trPr>
        <w:tc>
          <w:tcPr>
            <w:tcW w:w="1720" w:type="dxa"/>
            <w:vAlign w:val="bottom"/>
            <w:tcBorders>
              <w:bottom w:val="single" w:sz="8" w:color="auto"/>
            </w:tcBorders>
          </w:tcPr>
          <w:p>
            <w:pPr>
              <w:spacing w:after="0"/>
              <w:rPr>
                <w:sz w:val="24"/>
                <w:szCs w:val="24"/>
                <w:color w:val="auto"/>
              </w:rPr>
            </w:pPr>
          </w:p>
        </w:tc>
        <w:tc>
          <w:tcPr>
            <w:tcW w:w="1120" w:type="dxa"/>
            <w:vAlign w:val="bottom"/>
            <w:tcBorders>
              <w:top w:val="single" w:sz="8" w:color="CCEECC"/>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3540" w:type="dxa"/>
            <w:vAlign w:val="bottom"/>
            <w:tcBorders>
              <w:top w:val="single" w:sz="8" w:color="CCEECC"/>
              <w:bottom w:val="single" w:sz="8" w:color="auto"/>
            </w:tcBorders>
            <w:gridSpan w:val="10"/>
          </w:tcPr>
          <w:p>
            <w:pPr>
              <w:jc w:val="center"/>
              <w:ind w:left="1015"/>
              <w:spacing w:after="0"/>
              <w:rPr>
                <w:sz w:val="20"/>
                <w:szCs w:val="20"/>
                <w:color w:val="auto"/>
              </w:rPr>
            </w:pPr>
            <w:r>
              <w:rPr>
                <w:rFonts w:ascii="Arial" w:cs="Arial" w:eastAsia="Arial" w:hAnsi="Arial"/>
                <w:sz w:val="17"/>
                <w:szCs w:val="17"/>
                <w:color w:val="auto"/>
                <w:w w:val="84"/>
              </w:rPr>
              <w:t>2</w:t>
            </w:r>
          </w:p>
        </w:tc>
        <w:tc>
          <w:tcPr>
            <w:tcW w:w="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1020" w:type="dxa"/>
            <w:vAlign w:val="bottom"/>
            <w:tcBorders>
              <w:top w:val="single" w:sz="8" w:color="CCEECC"/>
              <w:bottom w:val="single" w:sz="8" w:color="auto"/>
            </w:tcBorders>
          </w:tcPr>
          <w:p>
            <w:pPr>
              <w:spacing w:after="0"/>
              <w:rPr>
                <w:sz w:val="24"/>
                <w:szCs w:val="24"/>
                <w:color w:val="auto"/>
              </w:rPr>
            </w:pPr>
          </w:p>
        </w:tc>
        <w:tc>
          <w:tcPr>
            <w:tcW w:w="88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-1816735</wp:posOffset>
            </wp:positionV>
            <wp:extent cx="5073015" cy="516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73015" cy="516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 FINANCIAL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Our consolidated financial statements included in this Form 10-Q are as follows:</w:t>
      </w:r>
    </w:p>
    <w:p>
      <w:pPr>
        <w:spacing w:after="0" w:line="212"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7"/>
          <w:szCs w:val="17"/>
          <w:color w:val="auto"/>
        </w:rPr>
        <w:t>F-1</w:t>
      </w:r>
      <w:r>
        <w:rPr>
          <w:sz w:val="20"/>
          <w:szCs w:val="20"/>
          <w:color w:val="auto"/>
        </w:rPr>
        <w:tab/>
      </w:r>
      <w:hyperlink w:anchor="page4">
        <w:r>
          <w:rPr>
            <w:rFonts w:ascii="Arial" w:cs="Arial" w:eastAsia="Arial" w:hAnsi="Arial"/>
            <w:sz w:val="15"/>
            <w:szCs w:val="15"/>
            <w:u w:val="single" w:color="auto"/>
            <w:color w:val="0000EE"/>
          </w:rPr>
          <w:t>Consolidated Balance Sheets as of June 30, 2011 (unaudited) and December 31, 2009 (audited);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5073015" cy="129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73015" cy="129540"/>
                    </a:xfrm>
                    <a:prstGeom prst="rect">
                      <a:avLst/>
                    </a:prstGeom>
                    <a:noFill/>
                  </pic:spPr>
                </pic:pic>
              </a:graphicData>
            </a:graphic>
          </wp:anchor>
        </w:drawing>
      </w: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7"/>
          <w:szCs w:val="17"/>
          <w:color w:val="auto"/>
        </w:rPr>
        <w:t>F-2</w:t>
      </w:r>
      <w:r>
        <w:rPr>
          <w:sz w:val="20"/>
          <w:szCs w:val="20"/>
          <w:color w:val="auto"/>
        </w:rPr>
        <w:tab/>
      </w:r>
      <w:hyperlink w:anchor="page5">
        <w:r>
          <w:rPr>
            <w:rFonts w:ascii="Arial" w:cs="Arial" w:eastAsia="Arial" w:hAnsi="Arial"/>
            <w:sz w:val="15"/>
            <w:szCs w:val="15"/>
            <w:u w:val="single" w:color="auto"/>
            <w:color w:val="0000EE"/>
          </w:rPr>
          <w:t>Consolidated Statements of Operations for the three months ended June 30, 2011 and 2010 (unaudited);</w:t>
        </w:r>
      </w:hyperlink>
    </w:p>
    <w:p>
      <w:pPr>
        <w:spacing w:after="0" w:line="8"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7"/>
          <w:szCs w:val="17"/>
          <w:color w:val="auto"/>
        </w:rPr>
        <w:t>F-3</w:t>
      </w:r>
      <w:r>
        <w:rPr>
          <w:sz w:val="20"/>
          <w:szCs w:val="20"/>
          <w:color w:val="auto"/>
        </w:rPr>
        <w:tab/>
      </w:r>
      <w:hyperlink w:anchor="page6">
        <w:r>
          <w:rPr>
            <w:rFonts w:ascii="Arial" w:cs="Arial" w:eastAsia="Arial" w:hAnsi="Arial"/>
            <w:sz w:val="15"/>
            <w:szCs w:val="15"/>
            <w:u w:val="single" w:color="auto"/>
            <w:color w:val="0000EE"/>
          </w:rPr>
          <w:t>Consolidated Statements of Operations for the six months ended June 30, 2011 and 2010 (unaudited);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5073015" cy="129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73015" cy="129540"/>
                    </a:xfrm>
                    <a:prstGeom prst="rect">
                      <a:avLst/>
                    </a:prstGeom>
                    <a:noFill/>
                  </pic:spPr>
                </pic:pic>
              </a:graphicData>
            </a:graphic>
          </wp:anchor>
        </w:drawing>
      </w: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7"/>
          <w:szCs w:val="17"/>
          <w:color w:val="auto"/>
        </w:rPr>
        <w:t>F-4</w:t>
      </w:r>
      <w:r>
        <w:rPr>
          <w:sz w:val="20"/>
          <w:szCs w:val="20"/>
          <w:color w:val="auto"/>
        </w:rPr>
        <w:tab/>
      </w:r>
      <w:hyperlink w:anchor="page7">
        <w:r>
          <w:rPr>
            <w:rFonts w:ascii="Arial" w:cs="Arial" w:eastAsia="Arial" w:hAnsi="Arial"/>
            <w:sz w:val="15"/>
            <w:szCs w:val="15"/>
            <w:u w:val="single" w:color="auto"/>
            <w:color w:val="0000EE"/>
          </w:rPr>
          <w:t>Consolidated Statements of Cash Flow for the six months ended June 30, 2011 and 2010 (unaudited);</w:t>
        </w:r>
      </w:hyperlink>
    </w:p>
    <w:p>
      <w:pPr>
        <w:spacing w:after="0" w:line="8" w:lineRule="exact"/>
        <w:rPr>
          <w:sz w:val="20"/>
          <w:szCs w:val="20"/>
          <w:color w:val="auto"/>
        </w:rPr>
      </w:pPr>
    </w:p>
    <w:p>
      <w:pPr>
        <w:spacing w:after="0"/>
        <w:tabs>
          <w:tab w:leader="none" w:pos="600" w:val="left"/>
        </w:tabs>
        <w:rPr>
          <w:rFonts w:ascii="Arial" w:cs="Arial" w:eastAsia="Arial" w:hAnsi="Arial"/>
          <w:sz w:val="15"/>
          <w:szCs w:val="15"/>
          <w:u w:val="single" w:color="auto"/>
          <w:color w:val="0000EE"/>
        </w:rPr>
      </w:pPr>
      <w:r>
        <w:rPr>
          <w:rFonts w:ascii="Arial" w:cs="Arial" w:eastAsia="Arial" w:hAnsi="Arial"/>
          <w:sz w:val="17"/>
          <w:szCs w:val="17"/>
          <w:color w:val="auto"/>
        </w:rPr>
        <w:t>F-5</w:t>
      </w:r>
      <w:r>
        <w:rPr>
          <w:sz w:val="20"/>
          <w:szCs w:val="20"/>
          <w:color w:val="auto"/>
        </w:rPr>
        <w:tab/>
      </w:r>
      <w:hyperlink w:anchor="page8">
        <w:r>
          <w:rPr>
            <w:rFonts w:ascii="Arial" w:cs="Arial" w:eastAsia="Arial" w:hAnsi="Arial"/>
            <w:sz w:val="15"/>
            <w:szCs w:val="15"/>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-123190</wp:posOffset>
            </wp:positionV>
            <wp:extent cx="5073015" cy="129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73015" cy="129540"/>
                    </a:xfrm>
                    <a:prstGeom prst="rect">
                      <a:avLst/>
                    </a:prstGeom>
                    <a:noFill/>
                  </pic:spPr>
                </pic:pic>
              </a:graphicData>
            </a:graphic>
          </wp:anchor>
        </w:drawing>
      </w:r>
    </w:p>
    <w:p>
      <w:pPr>
        <w:spacing w:after="0" w:line="180"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2011 are not necessarily indicative of the results that can be expected for the full year.</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OF JUNE 31, 2011 (UNAUDITED) AND DECEMBER 31, 2010 (UNAUDITED)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4400" w:type="dxa"/>
            <w:vAlign w:val="bottom"/>
          </w:tcPr>
          <w:p>
            <w:pPr>
              <w:ind w:left="1860"/>
              <w:spacing w:after="0"/>
              <w:rPr>
                <w:sz w:val="20"/>
                <w:szCs w:val="20"/>
                <w:color w:val="auto"/>
              </w:rPr>
            </w:pPr>
            <w:r>
              <w:rPr>
                <w:rFonts w:ascii="Arial" w:cs="Arial" w:eastAsia="Arial" w:hAnsi="Arial"/>
                <w:sz w:val="17"/>
                <w:szCs w:val="17"/>
                <w:color w:val="auto"/>
              </w:rPr>
              <w:t>ASSETS</w:t>
            </w:r>
          </w:p>
        </w:tc>
        <w:tc>
          <w:tcPr>
            <w:tcW w:w="340" w:type="dxa"/>
            <w:vAlign w:val="bottom"/>
          </w:tcPr>
          <w:p>
            <w:pPr>
              <w:spacing w:after="0"/>
              <w:rPr>
                <w:sz w:val="18"/>
                <w:szCs w:val="18"/>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7"/>
                <w:szCs w:val="17"/>
                <w:color w:val="auto"/>
              </w:rPr>
              <w:t>June 30,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vMerge w:val="restart"/>
          </w:tcPr>
          <w:p>
            <w:pPr>
              <w:jc w:val="right"/>
              <w:ind w:right="315"/>
              <w:spacing w:after="0"/>
              <w:rPr>
                <w:sz w:val="20"/>
                <w:szCs w:val="20"/>
                <w:color w:val="auto"/>
              </w:rPr>
            </w:pPr>
            <w:r>
              <w:rPr>
                <w:rFonts w:ascii="Arial" w:cs="Arial" w:eastAsia="Arial" w:hAnsi="Arial"/>
                <w:sz w:val="17"/>
                <w:szCs w:val="17"/>
                <w:color w:val="auto"/>
                <w:w w:val="93"/>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2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400" w:type="dxa"/>
            <w:vAlign w:val="bottom"/>
            <w:shd w:val="clear" w:color="auto" w:fill="CCEECC"/>
          </w:tcPr>
          <w:p>
            <w:pPr>
              <w:spacing w:after="0"/>
              <w:rPr>
                <w:sz w:val="20"/>
                <w:szCs w:val="20"/>
                <w:color w:val="auto"/>
              </w:rPr>
            </w:pPr>
            <w:r>
              <w:rPr>
                <w:rFonts w:ascii="Arial" w:cs="Arial" w:eastAsia="Arial" w:hAnsi="Arial"/>
                <w:sz w:val="17"/>
                <w:szCs w:val="17"/>
                <w:color w:val="auto"/>
              </w:rPr>
              <w:t>Current Assets</w:t>
            </w: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Cash and cash equivalents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969,765</w:t>
            </w:r>
          </w:p>
        </w:tc>
        <w:tc>
          <w:tcPr>
            <w:tcW w:w="8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1,278,094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Accounts receivable</w:t>
            </w: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140,100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226,000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Prepaid expenses</w:t>
            </w:r>
          </w:p>
        </w:tc>
        <w:tc>
          <w:tcPr>
            <w:tcW w:w="3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114,863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80,051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7"/>
                <w:szCs w:val="17"/>
                <w:color w:val="auto"/>
              </w:rPr>
              <w:t>Debt discount-current portion</w:t>
            </w:r>
          </w:p>
        </w:tc>
        <w:tc>
          <w:tcPr>
            <w:tcW w:w="340" w:type="dxa"/>
            <w:vAlign w:val="bottom"/>
            <w:tcBorders>
              <w:bottom w:val="single" w:sz="8" w:color="auto"/>
            </w:tcBorders>
            <w:shd w:val="clear" w:color="auto" w:fill="CCEECC"/>
          </w:tcPr>
          <w:p>
            <w:pPr>
              <w:spacing w:after="0"/>
              <w:rPr>
                <w:sz w:val="17"/>
                <w:szCs w:val="17"/>
                <w:color w:val="auto"/>
              </w:rPr>
            </w:pPr>
          </w:p>
        </w:tc>
        <w:tc>
          <w:tcPr>
            <w:tcW w:w="13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500,000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20" w:type="dxa"/>
            <w:vAlign w:val="bottom"/>
            <w:tcBorders>
              <w:bottom w:val="single" w:sz="8" w:color="auto"/>
            </w:tcBorders>
            <w:shd w:val="clear" w:color="auto" w:fill="CCEECC"/>
          </w:tcPr>
          <w:p>
            <w:pPr>
              <w:spacing w:after="0"/>
              <w:rPr>
                <w:sz w:val="17"/>
                <w:szCs w:val="17"/>
                <w:color w:val="auto"/>
              </w:rPr>
            </w:pPr>
          </w:p>
        </w:tc>
        <w:tc>
          <w:tcPr>
            <w:tcW w:w="14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Current Assets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1,724,728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2,084,145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Property and equipment, net</w:t>
            </w:r>
          </w:p>
        </w:tc>
        <w:tc>
          <w:tcPr>
            <w:tcW w:w="3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12,155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13,061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tcBorders>
              <w:top w:val="single" w:sz="8" w:color="auto"/>
            </w:tcBorders>
            <w:shd w:val="clear" w:color="auto" w:fill="CCEECC"/>
          </w:tcPr>
          <w:p>
            <w:pPr>
              <w:spacing w:after="0"/>
              <w:rPr>
                <w:sz w:val="17"/>
                <w:szCs w:val="17"/>
                <w:color w:val="auto"/>
              </w:rPr>
            </w:pPr>
          </w:p>
        </w:tc>
        <w:tc>
          <w:tcPr>
            <w:tcW w:w="134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tcBorders>
              <w:top w:val="single" w:sz="8" w:color="auto"/>
            </w:tcBorders>
            <w:shd w:val="clear" w:color="auto" w:fill="CCEECC"/>
          </w:tcPr>
          <w:p>
            <w:pPr>
              <w:spacing w:after="0"/>
              <w:rPr>
                <w:sz w:val="17"/>
                <w:szCs w:val="17"/>
                <w:color w:val="auto"/>
              </w:rPr>
            </w:pPr>
          </w:p>
        </w:tc>
        <w:tc>
          <w:tcPr>
            <w:tcW w:w="142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Other Assets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Patent rights, net</w:t>
            </w: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875,294</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902,647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Website development costs, net</w:t>
            </w:r>
          </w:p>
        </w:tc>
        <w:tc>
          <w:tcPr>
            <w:tcW w:w="3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383,116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332,107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7"/>
                <w:szCs w:val="17"/>
                <w:color w:val="auto"/>
              </w:rPr>
              <w:t>Debt discount-net of current portion</w:t>
            </w:r>
          </w:p>
        </w:tc>
        <w:tc>
          <w:tcPr>
            <w:tcW w:w="340" w:type="dxa"/>
            <w:vAlign w:val="bottom"/>
            <w:tcBorders>
              <w:bottom w:val="single" w:sz="8" w:color="auto"/>
            </w:tcBorders>
            <w:shd w:val="clear" w:color="auto" w:fill="CCEECC"/>
          </w:tcPr>
          <w:p>
            <w:pPr>
              <w:spacing w:after="0"/>
              <w:rPr>
                <w:sz w:val="17"/>
                <w:szCs w:val="17"/>
                <w:color w:val="auto"/>
              </w:rPr>
            </w:pPr>
          </w:p>
        </w:tc>
        <w:tc>
          <w:tcPr>
            <w:tcW w:w="13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166,667</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20" w:type="dxa"/>
            <w:vAlign w:val="bottom"/>
            <w:tcBorders>
              <w:bottom w:val="single" w:sz="8" w:color="auto"/>
            </w:tcBorders>
            <w:shd w:val="clear" w:color="auto" w:fill="CCEECC"/>
          </w:tcPr>
          <w:p>
            <w:pPr>
              <w:spacing w:after="0"/>
              <w:rPr>
                <w:sz w:val="17"/>
                <w:szCs w:val="17"/>
                <w:color w:val="auto"/>
              </w:rPr>
            </w:pPr>
          </w:p>
        </w:tc>
        <w:tc>
          <w:tcPr>
            <w:tcW w:w="14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416,667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Other Assets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1,425,077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1,651,421</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ASSETS</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3,161,960</w:t>
            </w:r>
          </w:p>
        </w:tc>
        <w:tc>
          <w:tcPr>
            <w:tcW w:w="8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tcPr>
          <w:p>
            <w:pPr>
              <w:spacing w:after="0"/>
              <w:rPr>
                <w:sz w:val="15"/>
                <w:szCs w:val="15"/>
                <w:color w:val="auto"/>
              </w:rPr>
            </w:pPr>
          </w:p>
        </w:tc>
        <w:tc>
          <w:tcPr>
            <w:tcW w:w="4400" w:type="dxa"/>
            <w:vAlign w:val="bottom"/>
            <w:shd w:val="clear" w:color="auto" w:fill="CCEECC"/>
          </w:tcPr>
          <w:p>
            <w:pPr>
              <w:spacing w:after="0"/>
              <w:rPr>
                <w:sz w:val="15"/>
                <w:szCs w:val="15"/>
                <w:color w:val="auto"/>
              </w:rPr>
            </w:pPr>
          </w:p>
        </w:tc>
        <w:tc>
          <w:tcPr>
            <w:tcW w:w="340" w:type="dxa"/>
            <w:vAlign w:val="bottom"/>
            <w:shd w:val="clear" w:color="auto" w:fill="CCEECC"/>
          </w:tcPr>
          <w:p>
            <w:pPr>
              <w:spacing w:after="0"/>
              <w:rPr>
                <w:sz w:val="15"/>
                <w:szCs w:val="15"/>
                <w:color w:val="auto"/>
              </w:rPr>
            </w:pPr>
          </w:p>
        </w:tc>
        <w:tc>
          <w:tcPr>
            <w:tcW w:w="13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20" w:type="dxa"/>
            <w:vAlign w:val="bottom"/>
            <w:shd w:val="clear" w:color="auto" w:fill="CCEECC"/>
          </w:tcPr>
          <w:p>
            <w:pPr>
              <w:spacing w:after="0"/>
              <w:rPr>
                <w:sz w:val="15"/>
                <w:szCs w:val="15"/>
                <w:color w:val="auto"/>
              </w:rPr>
            </w:pPr>
          </w:p>
        </w:tc>
        <w:tc>
          <w:tcPr>
            <w:tcW w:w="142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440"/>
              <w:spacing w:after="0"/>
              <w:rPr>
                <w:sz w:val="20"/>
                <w:szCs w:val="20"/>
                <w:color w:val="auto"/>
              </w:rPr>
            </w:pPr>
            <w:r>
              <w:rPr>
                <w:rFonts w:ascii="Arial" w:cs="Arial" w:eastAsia="Arial" w:hAnsi="Arial"/>
                <w:sz w:val="17"/>
                <w:szCs w:val="17"/>
                <w:color w:val="auto"/>
              </w:rPr>
              <w:t>LIABILITIES AND STOCKHOLDERS' EQUITY</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Current Liabilities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Accounts payable - trade</w:t>
            </w:r>
          </w:p>
        </w:tc>
        <w:tc>
          <w:tcPr>
            <w:tcW w:w="340" w:type="dxa"/>
            <w:vAlign w:val="bottom"/>
            <w:shd w:val="clear" w:color="auto" w:fill="CCEECC"/>
          </w:tcPr>
          <w:p>
            <w:pPr>
              <w:jc w:val="right"/>
              <w:ind w:right="186"/>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37,460</w:t>
            </w:r>
          </w:p>
        </w:tc>
        <w:tc>
          <w:tcPr>
            <w:tcW w:w="400" w:type="dxa"/>
            <w:vAlign w:val="bottom"/>
            <w:gridSpan w:val="2"/>
            <w:shd w:val="clear" w:color="auto" w:fill="CCEECC"/>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38,409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Accounts payable - related party</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570,000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570,000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Accrued expenses</w:t>
            </w:r>
          </w:p>
        </w:tc>
        <w:tc>
          <w:tcPr>
            <w:tcW w:w="340" w:type="dxa"/>
            <w:vAlign w:val="bottom"/>
            <w:shd w:val="clear" w:color="auto" w:fill="CCEECC"/>
          </w:tcPr>
          <w:p>
            <w:pPr>
              <w:spacing w:after="0"/>
              <w:rPr>
                <w:sz w:val="17"/>
                <w:szCs w:val="17"/>
                <w:color w:val="auto"/>
              </w:rPr>
            </w:pPr>
          </w:p>
        </w:tc>
        <w:tc>
          <w:tcPr>
            <w:tcW w:w="14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57,500</w:t>
            </w: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Accrued interest</w:t>
            </w:r>
          </w:p>
        </w:tc>
        <w:tc>
          <w:tcPr>
            <w:tcW w:w="340" w:type="dxa"/>
            <w:vAlign w:val="bottom"/>
          </w:tcPr>
          <w:p>
            <w:pPr>
              <w:spacing w:after="0"/>
              <w:rPr>
                <w:sz w:val="17"/>
                <w:szCs w:val="17"/>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45,000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15,000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7"/>
                <w:szCs w:val="17"/>
                <w:color w:val="auto"/>
              </w:rPr>
              <w:t>Deferred revenue</w:t>
            </w:r>
          </w:p>
        </w:tc>
        <w:tc>
          <w:tcPr>
            <w:tcW w:w="340" w:type="dxa"/>
            <w:vAlign w:val="bottom"/>
            <w:tcBorders>
              <w:bottom w:val="single" w:sz="8" w:color="auto"/>
            </w:tcBorders>
            <w:shd w:val="clear" w:color="auto" w:fill="CCEECC"/>
          </w:tcPr>
          <w:p>
            <w:pPr>
              <w:spacing w:after="0"/>
              <w:rPr>
                <w:sz w:val="17"/>
                <w:szCs w:val="17"/>
                <w:color w:val="auto"/>
              </w:rPr>
            </w:pPr>
          </w:p>
        </w:tc>
        <w:tc>
          <w:tcPr>
            <w:tcW w:w="13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152,610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20" w:type="dxa"/>
            <w:vAlign w:val="bottom"/>
            <w:tcBorders>
              <w:bottom w:val="single" w:sz="8" w:color="auto"/>
            </w:tcBorders>
            <w:shd w:val="clear" w:color="auto" w:fill="CCEECC"/>
          </w:tcPr>
          <w:p>
            <w:pPr>
              <w:spacing w:after="0"/>
              <w:rPr>
                <w:sz w:val="17"/>
                <w:szCs w:val="17"/>
                <w:color w:val="auto"/>
              </w:rPr>
            </w:pPr>
          </w:p>
        </w:tc>
        <w:tc>
          <w:tcPr>
            <w:tcW w:w="14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225,720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862,570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Long-Term Liabilities</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Borders>
              <w:bottom w:val="single" w:sz="8" w:color="CCEECC"/>
            </w:tcBorders>
            <w:shd w:val="clear" w:color="auto" w:fill="CCEECC"/>
          </w:tcPr>
          <w:p>
            <w:pPr>
              <w:ind w:left="300"/>
              <w:spacing w:after="0"/>
              <w:rPr>
                <w:sz w:val="20"/>
                <w:szCs w:val="20"/>
                <w:color w:val="auto"/>
              </w:rPr>
            </w:pPr>
            <w:r>
              <w:rPr>
                <w:rFonts w:ascii="Arial" w:cs="Arial" w:eastAsia="Arial" w:hAnsi="Arial"/>
                <w:sz w:val="17"/>
                <w:szCs w:val="17"/>
                <w:color w:val="auto"/>
              </w:rPr>
              <w:t>Notes payable - investor</w:t>
            </w:r>
          </w:p>
        </w:tc>
        <w:tc>
          <w:tcPr>
            <w:tcW w:w="340" w:type="dxa"/>
            <w:vAlign w:val="bottom"/>
            <w:tcBorders>
              <w:bottom w:val="single" w:sz="8" w:color="auto"/>
            </w:tcBorders>
            <w:shd w:val="clear" w:color="auto" w:fill="CCEECC"/>
          </w:tcPr>
          <w:p>
            <w:pPr>
              <w:spacing w:after="0"/>
              <w:rPr>
                <w:sz w:val="17"/>
                <w:szCs w:val="17"/>
                <w:color w:val="auto"/>
              </w:rPr>
            </w:pPr>
          </w:p>
        </w:tc>
        <w:tc>
          <w:tcPr>
            <w:tcW w:w="13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1,000,000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20" w:type="dxa"/>
            <w:vAlign w:val="bottom"/>
            <w:tcBorders>
              <w:bottom w:val="single" w:sz="8" w:color="auto"/>
            </w:tcBorders>
            <w:shd w:val="clear" w:color="auto" w:fill="CCEECC"/>
          </w:tcPr>
          <w:p>
            <w:pPr>
              <w:spacing w:after="0"/>
              <w:rPr>
                <w:sz w:val="17"/>
                <w:szCs w:val="17"/>
                <w:color w:val="auto"/>
              </w:rPr>
            </w:pPr>
          </w:p>
        </w:tc>
        <w:tc>
          <w:tcPr>
            <w:tcW w:w="14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Long-Term Liabilities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1,000,000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1,862,570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1,854,829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Stockholders' Equity</w:t>
            </w: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shd w:val="clear" w:color="auto" w:fill="CCEECC"/>
          </w:tcPr>
          <w:p>
            <w:pPr>
              <w:ind w:left="300"/>
              <w:spacing w:after="0" w:line="191" w:lineRule="exact"/>
              <w:rPr>
                <w:sz w:val="20"/>
                <w:szCs w:val="20"/>
                <w:color w:val="auto"/>
              </w:rPr>
            </w:pPr>
            <w:r>
              <w:rPr>
                <w:rFonts w:ascii="Arial" w:cs="Arial" w:eastAsia="Arial" w:hAnsi="Arial"/>
                <w:sz w:val="17"/>
                <w:szCs w:val="17"/>
                <w:color w:val="auto"/>
              </w:rPr>
              <w:t>Common stock, $.001 par value, 500,000,000 shares</w:t>
            </w:r>
          </w:p>
        </w:tc>
        <w:tc>
          <w:tcPr>
            <w:tcW w:w="340" w:type="dxa"/>
            <w:vAlign w:val="bottom"/>
            <w:shd w:val="clear" w:color="auto" w:fill="CCEECC"/>
          </w:tcPr>
          <w:p>
            <w:pPr>
              <w:spacing w:after="0"/>
              <w:rPr>
                <w:sz w:val="16"/>
                <w:szCs w:val="16"/>
                <w:color w:val="auto"/>
              </w:rPr>
            </w:pPr>
          </w:p>
        </w:tc>
        <w:tc>
          <w:tcPr>
            <w:tcW w:w="134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20" w:type="dxa"/>
            <w:vAlign w:val="bottom"/>
            <w:shd w:val="clear" w:color="auto" w:fill="CCEECC"/>
          </w:tcPr>
          <w:p>
            <w:pPr>
              <w:spacing w:after="0"/>
              <w:rPr>
                <w:sz w:val="16"/>
                <w:szCs w:val="16"/>
                <w:color w:val="auto"/>
              </w:rPr>
            </w:pPr>
          </w:p>
        </w:tc>
        <w:tc>
          <w:tcPr>
            <w:tcW w:w="1420" w:type="dxa"/>
            <w:vAlign w:val="bottom"/>
            <w:tcBorders>
              <w:right w:val="single" w:sz="8" w:color="CCEECC"/>
            </w:tcBorders>
            <w:shd w:val="clear" w:color="auto" w:fill="CCEECC"/>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w w:val="99"/>
              </w:rPr>
              <w:t>authorized, 13,869,202 shares issued and outstanding</w:t>
            </w: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(13,606,676 - 2010)</w:t>
            </w:r>
          </w:p>
        </w:tc>
        <w:tc>
          <w:tcPr>
            <w:tcW w:w="340" w:type="dxa"/>
            <w:vAlign w:val="bottom"/>
            <w:shd w:val="clear" w:color="auto" w:fill="CCEECC"/>
          </w:tcPr>
          <w:p>
            <w:pPr>
              <w:spacing w:after="0"/>
              <w:rPr>
                <w:sz w:val="18"/>
                <w:szCs w:val="18"/>
                <w:color w:val="auto"/>
              </w:rPr>
            </w:pPr>
          </w:p>
        </w:tc>
        <w:tc>
          <w:tcPr>
            <w:tcW w:w="14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13,869</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13,607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720" w:type="dxa"/>
            <w:vAlign w:val="bottom"/>
          </w:tcPr>
          <w:p>
            <w:pPr>
              <w:spacing w:after="0"/>
              <w:rPr>
                <w:sz w:val="16"/>
                <w:szCs w:val="16"/>
                <w:color w:val="auto"/>
              </w:rPr>
            </w:pPr>
          </w:p>
        </w:tc>
        <w:tc>
          <w:tcPr>
            <w:tcW w:w="4400" w:type="dxa"/>
            <w:vAlign w:val="bottom"/>
          </w:tcPr>
          <w:p>
            <w:pPr>
              <w:ind w:left="300"/>
              <w:spacing w:after="0" w:line="191" w:lineRule="exact"/>
              <w:rPr>
                <w:sz w:val="20"/>
                <w:szCs w:val="20"/>
                <w:color w:val="auto"/>
              </w:rPr>
            </w:pPr>
            <w:r>
              <w:rPr>
                <w:rFonts w:ascii="Arial" w:cs="Arial" w:eastAsia="Arial" w:hAnsi="Arial"/>
                <w:sz w:val="17"/>
                <w:szCs w:val="17"/>
                <w:color w:val="auto"/>
              </w:rPr>
              <w:t>Preferred stock, $.001 par value, 10,000,000 shares</w:t>
            </w: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authorized, 50 shares issued and outstanding</w:t>
            </w:r>
          </w:p>
        </w:tc>
        <w:tc>
          <w:tcPr>
            <w:tcW w:w="34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Stock warrants</w:t>
            </w:r>
          </w:p>
        </w:tc>
        <w:tc>
          <w:tcPr>
            <w:tcW w:w="340" w:type="dxa"/>
            <w:vAlign w:val="bottom"/>
            <w:shd w:val="clear" w:color="auto" w:fill="CCEECC"/>
          </w:tcPr>
          <w:p>
            <w:pPr>
              <w:spacing w:after="0"/>
              <w:rPr>
                <w:sz w:val="17"/>
                <w:szCs w:val="17"/>
                <w:color w:val="auto"/>
              </w:rPr>
            </w:pPr>
          </w:p>
        </w:tc>
        <w:tc>
          <w:tcPr>
            <w:tcW w:w="142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20,281,328</w:t>
            </w: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20,281,328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7"/>
                <w:szCs w:val="17"/>
                <w:color w:val="auto"/>
              </w:rPr>
              <w:t>Additional paid-in-capital</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3,658,450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3,355,615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4400" w:type="dxa"/>
            <w:vAlign w:val="bottom"/>
            <w:shd w:val="clear" w:color="auto" w:fill="CCEECC"/>
          </w:tcPr>
          <w:p>
            <w:pPr>
              <w:ind w:left="300"/>
              <w:spacing w:after="0"/>
              <w:rPr>
                <w:sz w:val="20"/>
                <w:szCs w:val="20"/>
                <w:color w:val="auto"/>
              </w:rPr>
            </w:pPr>
            <w:r>
              <w:rPr>
                <w:rFonts w:ascii="Arial" w:cs="Arial" w:eastAsia="Arial" w:hAnsi="Arial"/>
                <w:sz w:val="17"/>
                <w:szCs w:val="17"/>
                <w:color w:val="auto"/>
              </w:rPr>
              <w:t>Accumulated deficit</w:t>
            </w:r>
          </w:p>
        </w:tc>
        <w:tc>
          <w:tcPr>
            <w:tcW w:w="340" w:type="dxa"/>
            <w:vAlign w:val="bottom"/>
            <w:shd w:val="clear" w:color="auto" w:fill="CCEECC"/>
          </w:tcPr>
          <w:p>
            <w:pPr>
              <w:spacing w:after="0"/>
              <w:rPr>
                <w:sz w:val="17"/>
                <w:szCs w:val="17"/>
                <w:color w:val="auto"/>
              </w:rPr>
            </w:pPr>
          </w:p>
        </w:tc>
        <w:tc>
          <w:tcPr>
            <w:tcW w:w="142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(22,654,367)</w:t>
            </w: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(21,756,752)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440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Total Stockholders' Equity</w:t>
            </w:r>
          </w:p>
        </w:tc>
        <w:tc>
          <w:tcPr>
            <w:tcW w:w="34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1,299,390</w:t>
            </w: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1,893,798</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4400" w:type="dxa"/>
            <w:vAlign w:val="bottom"/>
            <w:shd w:val="clear" w:color="auto" w:fill="CCEECC"/>
          </w:tcPr>
          <w:p>
            <w:pPr>
              <w:spacing w:after="0"/>
              <w:rPr>
                <w:sz w:val="17"/>
                <w:szCs w:val="17"/>
                <w:color w:val="auto"/>
              </w:rPr>
            </w:pPr>
          </w:p>
        </w:tc>
        <w:tc>
          <w:tcPr>
            <w:tcW w:w="340" w:type="dxa"/>
            <w:vAlign w:val="bottom"/>
            <w:shd w:val="clear" w:color="auto" w:fill="CCEECC"/>
          </w:tcPr>
          <w:p>
            <w:pPr>
              <w:spacing w:after="0"/>
              <w:rPr>
                <w:sz w:val="17"/>
                <w:szCs w:val="17"/>
                <w:color w:val="auto"/>
              </w:rPr>
            </w:pPr>
          </w:p>
        </w:tc>
        <w:tc>
          <w:tcPr>
            <w:tcW w:w="13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20" w:type="dxa"/>
            <w:vAlign w:val="bottom"/>
            <w:shd w:val="clear" w:color="auto" w:fill="CCEECC"/>
          </w:tcPr>
          <w:p>
            <w:pPr>
              <w:spacing w:after="0"/>
              <w:rPr>
                <w:sz w:val="17"/>
                <w:szCs w:val="17"/>
                <w:color w:val="auto"/>
              </w:rPr>
            </w:pPr>
          </w:p>
        </w:tc>
        <w:tc>
          <w:tcPr>
            <w:tcW w:w="14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440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3,161,960</w:t>
            </w:r>
          </w:p>
        </w:tc>
        <w:tc>
          <w:tcPr>
            <w:tcW w:w="8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3,748,627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20" w:type="dxa"/>
            <w:vAlign w:val="bottom"/>
          </w:tcPr>
          <w:p>
            <w:pPr>
              <w:spacing w:after="0"/>
              <w:rPr>
                <w:sz w:val="24"/>
                <w:szCs w:val="24"/>
                <w:color w:val="auto"/>
              </w:rPr>
            </w:pPr>
          </w:p>
        </w:tc>
        <w:tc>
          <w:tcPr>
            <w:tcW w:w="6560" w:type="dxa"/>
            <w:vAlign w:val="bottom"/>
            <w:gridSpan w:val="6"/>
          </w:tcPr>
          <w:p>
            <w:pPr>
              <w:ind w:left="1480"/>
              <w:spacing w:after="0"/>
              <w:rPr>
                <w:sz w:val="20"/>
                <w:szCs w:val="20"/>
                <w:color w:val="auto"/>
              </w:rPr>
            </w:pPr>
            <w:r>
              <w:rPr>
                <w:rFonts w:ascii="Arial" w:cs="Arial" w:eastAsia="Arial" w:hAnsi="Arial"/>
                <w:sz w:val="17"/>
                <w:szCs w:val="17"/>
                <w:color w:val="auto"/>
                <w:w w:val="89"/>
              </w:rPr>
              <w:t>The accompanying notes are an integral part of these financial statements.</w:t>
            </w:r>
          </w:p>
        </w:tc>
        <w:tc>
          <w:tcPr>
            <w:tcW w:w="14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1"/>
        </w:trPr>
        <w:tc>
          <w:tcPr>
            <w:tcW w:w="172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3880"/>
              <w:spacing w:after="0"/>
              <w:rPr>
                <w:sz w:val="20"/>
                <w:szCs w:val="20"/>
                <w:color w:val="auto"/>
              </w:rPr>
            </w:pPr>
            <w:r>
              <w:rPr>
                <w:rFonts w:ascii="Arial" w:cs="Arial" w:eastAsia="Arial" w:hAnsi="Arial"/>
                <w:sz w:val="17"/>
                <w:szCs w:val="17"/>
                <w:color w:val="auto"/>
              </w:rPr>
              <w:t>F-1</w:t>
            </w: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MONTHS ENDED JUNE 30, 2011 AND 2010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ind w:right="23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w w:val="88"/>
              </w:rPr>
              <w:t>three months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center"/>
              <w:ind w:right="215"/>
              <w:spacing w:after="0"/>
              <w:rPr>
                <w:sz w:val="20"/>
                <w:szCs w:val="20"/>
                <w:color w:val="auto"/>
              </w:rPr>
            </w:pPr>
            <w:r>
              <w:rPr>
                <w:rFonts w:ascii="Arial" w:cs="Arial" w:eastAsia="Arial" w:hAnsi="Arial"/>
                <w:sz w:val="17"/>
                <w:szCs w:val="17"/>
                <w:color w:val="auto"/>
                <w:w w:val="88"/>
              </w:rPr>
              <w:t>three months</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tcPr>
          <w:p>
            <w:pPr>
              <w:jc w:val="center"/>
              <w:ind w:right="23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7"/>
                <w:szCs w:val="17"/>
                <w:color w:val="auto"/>
                <w:w w:val="85"/>
              </w:rPr>
              <w:t>June 30,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center"/>
              <w:ind w:right="235"/>
              <w:spacing w:after="0"/>
              <w:rPr>
                <w:sz w:val="20"/>
                <w:szCs w:val="20"/>
                <w:color w:val="auto"/>
              </w:rPr>
            </w:pPr>
            <w:r>
              <w:rPr>
                <w:rFonts w:ascii="Arial" w:cs="Arial" w:eastAsia="Arial" w:hAnsi="Arial"/>
                <w:sz w:val="17"/>
                <w:szCs w:val="17"/>
                <w:color w:val="auto"/>
                <w:w w:val="88"/>
              </w:rPr>
              <w:t>June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27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880" w:type="dxa"/>
            <w:vAlign w:val="bottom"/>
            <w:gridSpan w:val="2"/>
            <w:shd w:val="clear" w:color="auto" w:fill="CCEECC"/>
          </w:tcPr>
          <w:p>
            <w:pPr>
              <w:jc w:val="right"/>
              <w:ind w:right="126"/>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200,174</w:t>
            </w:r>
          </w:p>
        </w:tc>
        <w:tc>
          <w:tcPr>
            <w:tcW w:w="80" w:type="dxa"/>
            <w:vAlign w:val="bottom"/>
            <w:shd w:val="clear" w:color="auto" w:fill="CCEECC"/>
          </w:tcPr>
          <w:p>
            <w:pPr>
              <w:spacing w:after="0"/>
              <w:rPr>
                <w:sz w:val="17"/>
                <w:szCs w:val="17"/>
                <w:color w:val="auto"/>
              </w:rPr>
            </w:pP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16,720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3800" w:type="dxa"/>
            <w:vAlign w:val="bottom"/>
            <w:tcBorders>
              <w:top w:val="single" w:sz="8" w:color="CCEECC"/>
            </w:tcBorders>
          </w:tcPr>
          <w:p>
            <w:pPr>
              <w:spacing w:after="0"/>
              <w:rPr>
                <w:sz w:val="19"/>
                <w:szCs w:val="19"/>
                <w:color w:val="auto"/>
              </w:rPr>
            </w:pPr>
          </w:p>
        </w:tc>
        <w:tc>
          <w:tcPr>
            <w:tcW w:w="600" w:type="dxa"/>
            <w:vAlign w:val="bottom"/>
            <w:tcBorders>
              <w:top w:val="single" w:sz="8" w:color="CCEEC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Borders>
              <w:top w:val="single" w:sz="8" w:color="CCEECC"/>
            </w:tcBorders>
          </w:tcPr>
          <w:p>
            <w:pPr>
              <w:spacing w:after="0"/>
              <w:rPr>
                <w:sz w:val="19"/>
                <w:szCs w:val="19"/>
                <w:color w:val="auto"/>
              </w:rPr>
            </w:pPr>
          </w:p>
        </w:tc>
        <w:tc>
          <w:tcPr>
            <w:tcW w:w="80" w:type="dxa"/>
            <w:vAlign w:val="bottom"/>
            <w:tcBorders>
              <w:top w:val="single" w:sz="8" w:color="CCEEC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200,174</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16,720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20" w:type="dxa"/>
            <w:vAlign w:val="bottom"/>
            <w:vMerge w:val="restart"/>
          </w:tcPr>
          <w:p>
            <w:pPr>
              <w:spacing w:after="0"/>
              <w:rPr>
                <w:sz w:val="19"/>
                <w:szCs w:val="19"/>
                <w:color w:val="auto"/>
              </w:rPr>
            </w:pPr>
          </w:p>
        </w:tc>
        <w:tc>
          <w:tcPr>
            <w:tcW w:w="3800" w:type="dxa"/>
            <w:vAlign w:val="bottom"/>
            <w:tcBorders>
              <w:top w:val="single" w:sz="8" w:color="CCEECC"/>
            </w:tcBorders>
          </w:tcPr>
          <w:p>
            <w:pPr>
              <w:spacing w:after="0"/>
              <w:rPr>
                <w:sz w:val="19"/>
                <w:szCs w:val="19"/>
                <w:color w:val="auto"/>
              </w:rPr>
            </w:pPr>
          </w:p>
        </w:tc>
        <w:tc>
          <w:tcPr>
            <w:tcW w:w="600" w:type="dxa"/>
            <w:vAlign w:val="bottom"/>
            <w:tcBorders>
              <w:top w:val="single" w:sz="8" w:color="CCEEC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80" w:type="dxa"/>
            <w:vAlign w:val="bottom"/>
            <w:tcBorders>
              <w:top w:val="single" w:sz="8" w:color="CCEECC"/>
            </w:tcBorders>
          </w:tcPr>
          <w:p>
            <w:pPr>
              <w:spacing w:after="0"/>
              <w:rPr>
                <w:sz w:val="19"/>
                <w:szCs w:val="19"/>
                <w:color w:val="auto"/>
              </w:rPr>
            </w:pPr>
          </w:p>
        </w:tc>
        <w:tc>
          <w:tcPr>
            <w:tcW w:w="80" w:type="dxa"/>
            <w:vAlign w:val="bottom"/>
            <w:tcBorders>
              <w:top w:val="single" w:sz="8" w:color="CCEEC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493,154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892,083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493,154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892,083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OPERATING LOSS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(292,980)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(875,363)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8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625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(140,098)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(165)</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(139,703)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460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(432,683)</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(874,903)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280" w:type="dxa"/>
            <w:vAlign w:val="bottom"/>
            <w:tcBorders>
              <w:top w:val="single" w:sz="8" w:color="auto"/>
            </w:tcBorders>
            <w:shd w:val="clear" w:color="auto" w:fill="CCEECC"/>
          </w:tcPr>
          <w:p>
            <w:pPr>
              <w:spacing w:after="0"/>
              <w:rPr>
                <w:sz w:val="17"/>
                <w:szCs w:val="17"/>
                <w:color w:val="auto"/>
              </w:rPr>
            </w:pPr>
          </w:p>
        </w:tc>
        <w:tc>
          <w:tcPr>
            <w:tcW w:w="140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NET LOSS</w:t>
            </w:r>
          </w:p>
        </w:tc>
        <w:tc>
          <w:tcPr>
            <w:tcW w:w="880" w:type="dxa"/>
            <w:vAlign w:val="bottom"/>
            <w:gridSpan w:val="2"/>
            <w:shd w:val="clear" w:color="auto" w:fill="CCEECC"/>
          </w:tcPr>
          <w:p>
            <w:pPr>
              <w:jc w:val="right"/>
              <w:ind w:right="126"/>
              <w:spacing w:after="0"/>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(432,683)</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(874,903)</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4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38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7"/>
                <w:szCs w:val="17"/>
                <w:color w:val="auto"/>
              </w:rPr>
              <w:t>13,869,202</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13,378,759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280" w:type="dxa"/>
            <w:vAlign w:val="bottom"/>
            <w:shd w:val="clear" w:color="auto" w:fill="CCEECC"/>
          </w:tcPr>
          <w:p>
            <w:pPr>
              <w:spacing w:after="0"/>
              <w:rPr>
                <w:sz w:val="15"/>
                <w:szCs w:val="15"/>
                <w:color w:val="auto"/>
              </w:rPr>
            </w:pPr>
          </w:p>
        </w:tc>
        <w:tc>
          <w:tcPr>
            <w:tcW w:w="14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360" w:type="dxa"/>
            <w:vAlign w:val="bottom"/>
            <w:shd w:val="clear" w:color="auto" w:fill="CCEECC"/>
          </w:tcPr>
          <w:p>
            <w:pPr>
              <w:spacing w:after="0"/>
              <w:rPr>
                <w:sz w:val="15"/>
                <w:szCs w:val="15"/>
                <w:color w:val="auto"/>
              </w:rPr>
            </w:pPr>
          </w:p>
        </w:tc>
        <w:tc>
          <w:tcPr>
            <w:tcW w:w="138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tcPr>
          <w:p>
            <w:pPr>
              <w:spacing w:after="0"/>
              <w:rPr>
                <w:sz w:val="17"/>
                <w:szCs w:val="17"/>
                <w:color w:val="auto"/>
              </w:rPr>
            </w:pP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0"/>
              <w:spacing w:after="0"/>
              <w:rPr>
                <w:sz w:val="20"/>
                <w:szCs w:val="20"/>
                <w:color w:val="auto"/>
              </w:rPr>
            </w:pPr>
            <w:r>
              <w:rPr>
                <w:rFonts w:ascii="Arial" w:cs="Arial" w:eastAsia="Arial" w:hAnsi="Arial"/>
                <w:sz w:val="17"/>
                <w:szCs w:val="17"/>
                <w:color w:val="auto"/>
              </w:rPr>
              <w:t>(0.03)</w:t>
            </w:r>
          </w:p>
        </w:tc>
        <w:tc>
          <w:tcPr>
            <w:tcW w:w="44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400" w:type="dxa"/>
            <w:vAlign w:val="bottom"/>
            <w:gridSpan w:val="2"/>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720" w:type="dxa"/>
            <w:vAlign w:val="bottom"/>
          </w:tcPr>
          <w:p>
            <w:pPr>
              <w:spacing w:after="0"/>
              <w:rPr>
                <w:sz w:val="24"/>
                <w:szCs w:val="24"/>
                <w:color w:val="auto"/>
              </w:rPr>
            </w:pPr>
          </w:p>
        </w:tc>
        <w:tc>
          <w:tcPr>
            <w:tcW w:w="6600" w:type="dxa"/>
            <w:vAlign w:val="bottom"/>
            <w:gridSpan w:val="7"/>
          </w:tcPr>
          <w:p>
            <w:pPr>
              <w:ind w:left="1480"/>
              <w:spacing w:after="0"/>
              <w:rPr>
                <w:sz w:val="20"/>
                <w:szCs w:val="20"/>
                <w:color w:val="auto"/>
              </w:rPr>
            </w:pPr>
            <w:r>
              <w:rPr>
                <w:rFonts w:ascii="Arial" w:cs="Arial" w:eastAsia="Arial" w:hAnsi="Arial"/>
                <w:sz w:val="17"/>
                <w:szCs w:val="17"/>
                <w:color w:val="auto"/>
                <w:w w:val="90"/>
              </w:rPr>
              <w:t>The accompanying notes are an integral part of these financial statements.</w:t>
            </w:r>
          </w:p>
        </w:tc>
        <w:tc>
          <w:tcPr>
            <w:tcW w:w="13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86"/>
              <w:spacing w:after="0"/>
              <w:rPr>
                <w:sz w:val="20"/>
                <w:szCs w:val="20"/>
                <w:color w:val="auto"/>
              </w:rPr>
            </w:pPr>
            <w:r>
              <w:rPr>
                <w:rFonts w:ascii="Arial" w:cs="Arial" w:eastAsia="Arial" w:hAnsi="Arial"/>
                <w:sz w:val="17"/>
                <w:szCs w:val="17"/>
                <w:color w:val="auto"/>
              </w:rPr>
              <w:t>F-2</w:t>
            </w:r>
          </w:p>
        </w:tc>
        <w:tc>
          <w:tcPr>
            <w:tcW w:w="1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SIX MONTHS ENDED JUNE 30, 2011 AND 2010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center"/>
              <w:ind w:right="275"/>
              <w:spacing w:after="0"/>
              <w:rPr>
                <w:sz w:val="20"/>
                <w:szCs w:val="20"/>
                <w:color w:val="auto"/>
              </w:rPr>
            </w:pPr>
            <w:r>
              <w:rPr>
                <w:rFonts w:ascii="Arial" w:cs="Arial" w:eastAsia="Arial" w:hAnsi="Arial"/>
                <w:sz w:val="17"/>
                <w:szCs w:val="17"/>
                <w:color w:val="auto"/>
                <w:w w:val="92"/>
              </w:rPr>
              <w:t>For the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7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six months</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center"/>
              <w:ind w:right="275"/>
              <w:spacing w:after="0"/>
              <w:rPr>
                <w:sz w:val="20"/>
                <w:szCs w:val="20"/>
                <w:color w:val="auto"/>
              </w:rPr>
            </w:pPr>
            <w:r>
              <w:rPr>
                <w:rFonts w:ascii="Arial" w:cs="Arial" w:eastAsia="Arial" w:hAnsi="Arial"/>
                <w:sz w:val="17"/>
                <w:szCs w:val="17"/>
                <w:color w:val="auto"/>
                <w:w w:val="91"/>
              </w:rPr>
              <w:t>six months</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center"/>
              <w:ind w:right="275"/>
              <w:spacing w:after="0"/>
              <w:rPr>
                <w:sz w:val="20"/>
                <w:szCs w:val="20"/>
                <w:color w:val="auto"/>
              </w:rPr>
            </w:pPr>
            <w:r>
              <w:rPr>
                <w:rFonts w:ascii="Arial" w:cs="Arial" w:eastAsia="Arial" w:hAnsi="Arial"/>
                <w:sz w:val="17"/>
                <w:szCs w:val="17"/>
                <w:color w:val="auto"/>
                <w:w w:val="88"/>
              </w:rPr>
              <w:t>ended</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June 30,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center"/>
              <w:ind w:right="275"/>
              <w:spacing w:after="0"/>
              <w:rPr>
                <w:sz w:val="20"/>
                <w:szCs w:val="20"/>
                <w:color w:val="auto"/>
              </w:rPr>
            </w:pPr>
            <w:r>
              <w:rPr>
                <w:rFonts w:ascii="Arial" w:cs="Arial" w:eastAsia="Arial" w:hAnsi="Arial"/>
                <w:sz w:val="17"/>
                <w:szCs w:val="17"/>
                <w:color w:val="auto"/>
                <w:w w:val="88"/>
              </w:rPr>
              <w:t>June 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7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315"/>
              <w:spacing w:after="0"/>
              <w:rPr>
                <w:sz w:val="20"/>
                <w:szCs w:val="20"/>
                <w:color w:val="auto"/>
              </w:rPr>
            </w:pPr>
            <w:r>
              <w:rPr>
                <w:rFonts w:ascii="Arial" w:cs="Arial" w:eastAsia="Arial" w:hAnsi="Arial"/>
                <w:sz w:val="17"/>
                <w:szCs w:val="17"/>
                <w:color w:val="auto"/>
                <w:w w:val="89"/>
              </w:rPr>
              <w:t>2010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520" w:type="dxa"/>
            <w:vAlign w:val="bottom"/>
            <w:gridSpan w:val="2"/>
          </w:tcPr>
          <w:p>
            <w:pPr>
              <w:ind w:left="1720"/>
              <w:spacing w:after="0"/>
              <w:rPr>
                <w:sz w:val="20"/>
                <w:szCs w:val="20"/>
                <w:color w:val="auto"/>
              </w:rPr>
            </w:pPr>
            <w:r>
              <w:rPr>
                <w:rFonts w:ascii="Arial" w:cs="Arial" w:eastAsia="Arial" w:hAnsi="Arial"/>
                <w:sz w:val="17"/>
                <w:szCs w:val="17"/>
                <w:color w:val="auto"/>
              </w:rPr>
              <w:t>REVENUE</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Sales</w:t>
            </w:r>
          </w:p>
        </w:tc>
        <w:tc>
          <w:tcPr>
            <w:tcW w:w="900" w:type="dxa"/>
            <w:vAlign w:val="bottom"/>
            <w:gridSpan w:val="2"/>
            <w:shd w:val="clear" w:color="auto" w:fill="CCEECC"/>
          </w:tcPr>
          <w:p>
            <w:pPr>
              <w:jc w:val="right"/>
              <w:ind w:right="146"/>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594,017</w:t>
            </w:r>
          </w:p>
        </w:tc>
        <w:tc>
          <w:tcPr>
            <w:tcW w:w="80" w:type="dxa"/>
            <w:vAlign w:val="bottom"/>
            <w:shd w:val="clear" w:color="auto" w:fill="CCEECC"/>
          </w:tcPr>
          <w:p>
            <w:pPr>
              <w:spacing w:after="0"/>
              <w:rPr>
                <w:sz w:val="17"/>
                <w:szCs w:val="17"/>
                <w:color w:val="auto"/>
              </w:rPr>
            </w:pPr>
          </w:p>
        </w:tc>
        <w:tc>
          <w:tcPr>
            <w:tcW w:w="480" w:type="dxa"/>
            <w:vAlign w:val="bottom"/>
            <w:gridSpan w:val="2"/>
            <w:shd w:val="clear" w:color="auto" w:fill="CCEECC"/>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18,003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rPr>
              <w:t>TOTAL REVENUE</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594,017</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18,003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EXPENSES</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Operating expenses</w:t>
            </w:r>
          </w:p>
        </w:tc>
        <w:tc>
          <w:tcPr>
            <w:tcW w:w="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962,435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1,155,177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TOTAL EXPENSES</w:t>
            </w:r>
          </w:p>
        </w:tc>
        <w:tc>
          <w:tcPr>
            <w:tcW w:w="6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962,435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1,155,177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OPERATING LOSS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(368,418)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(1,137,174)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tcBorders>
              <w:top w:val="single" w:sz="8" w:color="auto"/>
            </w:tcBorders>
            <w:shd w:val="clear" w:color="auto" w:fill="CCEECC"/>
          </w:tcPr>
          <w:p>
            <w:pPr>
              <w:spacing w:after="0"/>
              <w:rPr>
                <w:sz w:val="17"/>
                <w:szCs w:val="17"/>
                <w:color w:val="auto"/>
              </w:rPr>
            </w:pPr>
          </w:p>
        </w:tc>
        <w:tc>
          <w:tcPr>
            <w:tcW w:w="1340" w:type="dxa"/>
            <w:vAlign w:val="bottom"/>
            <w:tcBorders>
              <w:top w:val="single" w:sz="8" w:color="auto"/>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OTHER INCOME (EXPENSE)</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income</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835</w:t>
            </w: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1,530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160"/>
              <w:spacing w:after="0"/>
              <w:rPr>
                <w:sz w:val="20"/>
                <w:szCs w:val="20"/>
                <w:color w:val="auto"/>
              </w:rPr>
            </w:pPr>
            <w:r>
              <w:rPr>
                <w:rFonts w:ascii="Arial" w:cs="Arial" w:eastAsia="Arial" w:hAnsi="Arial"/>
                <w:sz w:val="17"/>
                <w:szCs w:val="17"/>
                <w:color w:val="auto"/>
              </w:rPr>
              <w:t>Other income</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Interest expense</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(280,098)</w:t>
            </w: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(226)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ind w:left="920"/>
              <w:spacing w:after="0"/>
              <w:rPr>
                <w:sz w:val="20"/>
                <w:szCs w:val="20"/>
                <w:color w:val="auto"/>
              </w:rPr>
            </w:pPr>
            <w:r>
              <w:rPr>
                <w:rFonts w:ascii="Arial" w:cs="Arial" w:eastAsia="Arial" w:hAnsi="Arial"/>
                <w:sz w:val="17"/>
                <w:szCs w:val="17"/>
                <w:color w:val="auto"/>
                <w:w w:val="99"/>
              </w:rPr>
              <w:t>TOTAL OTHER INCOME (EXPENSE)</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(279,197)</w:t>
            </w: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vMerge w:val="restart"/>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w w:val="96"/>
              </w:rPr>
              <w:t>LOSS BEFORE PROVISION FOR INCOME TAXES</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(647,615)</w:t>
            </w: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(1,135,870)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restart"/>
          </w:tcPr>
          <w:p>
            <w:pPr>
              <w:spacing w:after="0"/>
              <w:rPr>
                <w:sz w:val="17"/>
                <w:szCs w:val="17"/>
                <w:color w:val="auto"/>
              </w:rPr>
            </w:pPr>
          </w:p>
        </w:tc>
        <w:tc>
          <w:tcPr>
            <w:tcW w:w="3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PROVISION FOR INCOME TAXES</w:t>
            </w: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20" w:type="dxa"/>
            <w:vAlign w:val="bottom"/>
          </w:tcPr>
          <w:p>
            <w:pPr>
              <w:spacing w:after="0"/>
              <w:rPr>
                <w:sz w:val="17"/>
                <w:szCs w:val="17"/>
                <w:color w:val="auto"/>
              </w:rPr>
            </w:pPr>
          </w:p>
        </w:tc>
        <w:tc>
          <w:tcPr>
            <w:tcW w:w="3800" w:type="dxa"/>
            <w:vAlign w:val="bottom"/>
            <w:tcBorders>
              <w:top w:val="single" w:sz="8" w:color="CCEECC"/>
            </w:tcBorders>
          </w:tcPr>
          <w:p>
            <w:pPr>
              <w:spacing w:after="0"/>
              <w:rPr>
                <w:sz w:val="17"/>
                <w:szCs w:val="17"/>
                <w:color w:val="auto"/>
              </w:rPr>
            </w:pPr>
          </w:p>
        </w:tc>
        <w:tc>
          <w:tcPr>
            <w:tcW w:w="60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400" w:type="dxa"/>
            <w:vAlign w:val="bottom"/>
            <w:shd w:val="clear" w:color="auto" w:fill="CCEECC"/>
          </w:tcPr>
          <w:p>
            <w:pPr>
              <w:spacing w:after="0"/>
              <w:rPr>
                <w:sz w:val="17"/>
                <w:szCs w:val="17"/>
                <w:color w:val="auto"/>
              </w:rPr>
            </w:pPr>
          </w:p>
        </w:tc>
        <w:tc>
          <w:tcPr>
            <w:tcW w:w="134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720" w:type="dxa"/>
            <w:vAlign w:val="bottom"/>
          </w:tcPr>
          <w:p>
            <w:pPr>
              <w:spacing w:after="0"/>
              <w:rPr>
                <w:sz w:val="17"/>
                <w:szCs w:val="17"/>
                <w:color w:val="auto"/>
              </w:rPr>
            </w:pPr>
          </w:p>
        </w:tc>
        <w:tc>
          <w:tcPr>
            <w:tcW w:w="3800" w:type="dxa"/>
            <w:vAlign w:val="bottom"/>
          </w:tcPr>
          <w:p>
            <w:pPr>
              <w:ind w:left="920"/>
              <w:spacing w:after="0"/>
              <w:rPr>
                <w:sz w:val="20"/>
                <w:szCs w:val="20"/>
                <w:color w:val="auto"/>
              </w:rPr>
            </w:pPr>
            <w:r>
              <w:rPr>
                <w:rFonts w:ascii="Arial" w:cs="Arial" w:eastAsia="Arial" w:hAnsi="Arial"/>
                <w:sz w:val="17"/>
                <w:szCs w:val="17"/>
                <w:color w:val="auto"/>
              </w:rPr>
              <w:t>NET LOSS</w:t>
            </w:r>
          </w:p>
        </w:tc>
        <w:tc>
          <w:tcPr>
            <w:tcW w:w="900" w:type="dxa"/>
            <w:vAlign w:val="bottom"/>
            <w:gridSpan w:val="2"/>
          </w:tcPr>
          <w:p>
            <w:pPr>
              <w:jc w:val="right"/>
              <w:ind w:right="146"/>
              <w:spacing w:after="0"/>
              <w:rPr>
                <w:sz w:val="20"/>
                <w:szCs w:val="20"/>
                <w:color w:val="auto"/>
              </w:rPr>
            </w:pPr>
            <w:r>
              <w:rPr>
                <w:rFonts w:ascii="Arial" w:cs="Arial" w:eastAsia="Arial" w:hAnsi="Arial"/>
                <w:sz w:val="17"/>
                <w:szCs w:val="17"/>
                <w:color w:val="auto"/>
              </w:rPr>
              <w:t>$</w:t>
            </w: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(647,615)</w:t>
            </w:r>
          </w:p>
        </w:tc>
        <w:tc>
          <w:tcPr>
            <w:tcW w:w="4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(1,135,870)</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300" w:type="dxa"/>
            <w:vAlign w:val="bottom"/>
            <w:shd w:val="clear" w:color="auto" w:fill="CCEECC"/>
          </w:tcPr>
          <w:p>
            <w:pPr>
              <w:spacing w:after="0"/>
              <w:rPr>
                <w:sz w:val="15"/>
                <w:szCs w:val="15"/>
                <w:color w:val="auto"/>
              </w:rPr>
            </w:pPr>
          </w:p>
        </w:tc>
        <w:tc>
          <w:tcPr>
            <w:tcW w:w="13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0" w:type="dxa"/>
            <w:vAlign w:val="bottom"/>
            <w:shd w:val="clear" w:color="auto" w:fill="CCEECC"/>
          </w:tcPr>
          <w:p>
            <w:pPr>
              <w:spacing w:after="0"/>
              <w:rPr>
                <w:sz w:val="15"/>
                <w:szCs w:val="15"/>
                <w:color w:val="auto"/>
              </w:rPr>
            </w:pPr>
          </w:p>
        </w:tc>
        <w:tc>
          <w:tcPr>
            <w:tcW w:w="1340" w:type="dxa"/>
            <w:vAlign w:val="bottom"/>
            <w:tcBorders>
              <w:right w:val="single" w:sz="8" w:color="CCEECC"/>
            </w:tcBorders>
            <w:shd w:val="clear" w:color="auto" w:fill="CCEECC"/>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720" w:type="dxa"/>
            <w:vAlign w:val="bottom"/>
            <w:vMerge w:val="continue"/>
          </w:tcPr>
          <w:p>
            <w:pPr>
              <w:spacing w:after="0"/>
              <w:rPr>
                <w:sz w:val="17"/>
                <w:szCs w:val="17"/>
                <w:color w:val="auto"/>
              </w:rPr>
            </w:pPr>
          </w:p>
        </w:tc>
        <w:tc>
          <w:tcPr>
            <w:tcW w:w="3800" w:type="dxa"/>
            <w:vAlign w:val="bottom"/>
          </w:tcPr>
          <w:p>
            <w:pPr>
              <w:spacing w:after="0"/>
              <w:rPr>
                <w:sz w:val="20"/>
                <w:szCs w:val="20"/>
                <w:color w:val="auto"/>
              </w:rPr>
            </w:pPr>
            <w:r>
              <w:rPr>
                <w:rFonts w:ascii="Arial" w:cs="Arial" w:eastAsia="Arial" w:hAnsi="Arial"/>
                <w:sz w:val="17"/>
                <w:szCs w:val="17"/>
                <w:color w:val="auto"/>
              </w:rPr>
              <w:t>WEIGHTED AVERAGE NUMBER OF SHARES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720" w:type="dxa"/>
            <w:vAlign w:val="bottom"/>
          </w:tcPr>
          <w:p>
            <w:pPr>
              <w:spacing w:after="0"/>
              <w:rPr>
                <w:sz w:val="21"/>
                <w:szCs w:val="21"/>
                <w:color w:val="auto"/>
              </w:rPr>
            </w:pPr>
          </w:p>
        </w:tc>
        <w:tc>
          <w:tcPr>
            <w:tcW w:w="3800" w:type="dxa"/>
            <w:vAlign w:val="bottom"/>
            <w:shd w:val="clear" w:color="auto" w:fill="CCEECC"/>
          </w:tcPr>
          <w:p>
            <w:pPr>
              <w:ind w:left="160"/>
              <w:spacing w:after="0"/>
              <w:rPr>
                <w:sz w:val="20"/>
                <w:szCs w:val="20"/>
                <w:color w:val="auto"/>
              </w:rPr>
            </w:pPr>
            <w:r>
              <w:rPr>
                <w:rFonts w:ascii="Arial" w:cs="Arial" w:eastAsia="Arial" w:hAnsi="Arial"/>
                <w:sz w:val="17"/>
                <w:szCs w:val="17"/>
                <w:color w:val="auto"/>
              </w:rPr>
              <w:t>OUTSTANDING: BASIC AND DILUTED</w:t>
            </w:r>
          </w:p>
        </w:tc>
        <w:tc>
          <w:tcPr>
            <w:tcW w:w="600" w:type="dxa"/>
            <w:vAlign w:val="bottom"/>
            <w:shd w:val="clear" w:color="auto" w:fill="CCEECC"/>
          </w:tcPr>
          <w:p>
            <w:pPr>
              <w:spacing w:after="0"/>
              <w:rPr>
                <w:sz w:val="21"/>
                <w:szCs w:val="21"/>
                <w:color w:val="auto"/>
              </w:rPr>
            </w:pPr>
          </w:p>
        </w:tc>
        <w:tc>
          <w:tcPr>
            <w:tcW w:w="300" w:type="dxa"/>
            <w:vAlign w:val="bottom"/>
            <w:shd w:val="clear" w:color="auto" w:fill="CCEECC"/>
          </w:tcPr>
          <w:p>
            <w:pPr>
              <w:spacing w:after="0"/>
              <w:rPr>
                <w:sz w:val="21"/>
                <w:szCs w:val="21"/>
                <w:color w:val="auto"/>
              </w:rPr>
            </w:pPr>
          </w:p>
        </w:tc>
        <w:tc>
          <w:tcPr>
            <w:tcW w:w="146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13,749,300</w:t>
            </w:r>
          </w:p>
        </w:tc>
        <w:tc>
          <w:tcPr>
            <w:tcW w:w="80" w:type="dxa"/>
            <w:vAlign w:val="bottom"/>
            <w:shd w:val="clear" w:color="auto" w:fill="CCEECC"/>
          </w:tcPr>
          <w:p>
            <w:pPr>
              <w:spacing w:after="0"/>
              <w:rPr>
                <w:sz w:val="21"/>
                <w:szCs w:val="21"/>
                <w:color w:val="auto"/>
              </w:rPr>
            </w:pPr>
          </w:p>
        </w:tc>
        <w:tc>
          <w:tcPr>
            <w:tcW w:w="400" w:type="dxa"/>
            <w:vAlign w:val="bottom"/>
            <w:shd w:val="clear" w:color="auto" w:fill="CCEECC"/>
          </w:tcPr>
          <w:p>
            <w:pPr>
              <w:spacing w:after="0"/>
              <w:rPr>
                <w:sz w:val="21"/>
                <w:szCs w:val="21"/>
                <w:color w:val="auto"/>
              </w:rPr>
            </w:pP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13,115,405</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720" w:type="dxa"/>
            <w:vAlign w:val="bottom"/>
            <w:vMerge w:val="restart"/>
          </w:tcPr>
          <w:p>
            <w:pPr>
              <w:spacing w:after="0"/>
              <w:rPr>
                <w:sz w:val="15"/>
                <w:szCs w:val="15"/>
                <w:color w:val="auto"/>
              </w:rPr>
            </w:pPr>
          </w:p>
        </w:tc>
        <w:tc>
          <w:tcPr>
            <w:tcW w:w="3800" w:type="dxa"/>
            <w:vAlign w:val="bottom"/>
            <w:tcBorders>
              <w:top w:val="single" w:sz="8" w:color="CCEECC"/>
            </w:tcBorders>
          </w:tcPr>
          <w:p>
            <w:pPr>
              <w:spacing w:after="0"/>
              <w:rPr>
                <w:sz w:val="15"/>
                <w:szCs w:val="15"/>
                <w:color w:val="auto"/>
              </w:rPr>
            </w:pPr>
          </w:p>
        </w:tc>
        <w:tc>
          <w:tcPr>
            <w:tcW w:w="600" w:type="dxa"/>
            <w:vAlign w:val="bottom"/>
            <w:tcBorders>
              <w:top w:val="single" w:sz="8" w:color="CCEEC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vMerge w:val="continue"/>
          </w:tcPr>
          <w:p>
            <w:pPr>
              <w:spacing w:after="0"/>
              <w:rPr>
                <w:sz w:val="19"/>
                <w:szCs w:val="19"/>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7"/>
                <w:szCs w:val="17"/>
                <w:color w:val="auto"/>
              </w:rPr>
              <w:t>NET LOSS PER SHARE: BASIC AND DILUTED</w:t>
            </w:r>
          </w:p>
        </w:tc>
        <w:tc>
          <w:tcPr>
            <w:tcW w:w="600" w:type="dxa"/>
            <w:vAlign w:val="bottom"/>
            <w:shd w:val="clear" w:color="auto" w:fill="CCEECC"/>
          </w:tcPr>
          <w:p>
            <w:pPr>
              <w:spacing w:after="0"/>
              <w:rPr>
                <w:sz w:val="19"/>
                <w:szCs w:val="19"/>
                <w:color w:val="auto"/>
              </w:rPr>
            </w:pPr>
          </w:p>
        </w:tc>
        <w:tc>
          <w:tcPr>
            <w:tcW w:w="300" w:type="dxa"/>
            <w:vAlign w:val="bottom"/>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(0.05)</w:t>
            </w:r>
          </w:p>
        </w:tc>
        <w:tc>
          <w:tcPr>
            <w:tcW w:w="480" w:type="dxa"/>
            <w:vAlign w:val="bottom"/>
            <w:gridSpan w:val="2"/>
            <w:shd w:val="clear" w:color="auto" w:fill="CCEECC"/>
          </w:tcPr>
          <w:p>
            <w:pPr>
              <w:jc w:val="right"/>
              <w:ind w:right="320"/>
              <w:spacing w:after="0"/>
              <w:rPr>
                <w:sz w:val="20"/>
                <w:szCs w:val="20"/>
                <w:color w:val="auto"/>
              </w:rPr>
            </w:pPr>
            <w:r>
              <w:rPr>
                <w:rFonts w:ascii="Arial" w:cs="Arial" w:eastAsia="Arial" w:hAnsi="Arial"/>
                <w:sz w:val="17"/>
                <w:szCs w:val="17"/>
                <w:color w:val="auto"/>
              </w:rPr>
              <w:t>$</w:t>
            </w:r>
          </w:p>
        </w:tc>
        <w:tc>
          <w:tcPr>
            <w:tcW w:w="13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(0.09)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720" w:type="dxa"/>
            <w:vAlign w:val="bottom"/>
          </w:tcPr>
          <w:p>
            <w:pPr>
              <w:spacing w:after="0"/>
              <w:rPr>
                <w:sz w:val="24"/>
                <w:szCs w:val="24"/>
                <w:color w:val="auto"/>
              </w:rPr>
            </w:pPr>
          </w:p>
        </w:tc>
        <w:tc>
          <w:tcPr>
            <w:tcW w:w="6640" w:type="dxa"/>
            <w:vAlign w:val="bottom"/>
            <w:gridSpan w:val="7"/>
          </w:tcPr>
          <w:p>
            <w:pPr>
              <w:ind w:left="1480"/>
              <w:spacing w:after="0"/>
              <w:rPr>
                <w:sz w:val="20"/>
                <w:szCs w:val="20"/>
                <w:color w:val="auto"/>
              </w:rPr>
            </w:pPr>
            <w:r>
              <w:rPr>
                <w:rFonts w:ascii="Arial" w:cs="Arial" w:eastAsia="Arial" w:hAnsi="Arial"/>
                <w:sz w:val="17"/>
                <w:szCs w:val="17"/>
                <w:color w:val="auto"/>
                <w:w w:val="91"/>
              </w:rPr>
              <w:t>The accompanying notes are an integral part of these financial statements.</w:t>
            </w:r>
          </w:p>
        </w:tc>
        <w:tc>
          <w:tcPr>
            <w:tcW w:w="1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5"/>
        </w:trPr>
        <w:tc>
          <w:tcPr>
            <w:tcW w:w="17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right"/>
              <w:ind w:right="506"/>
              <w:spacing w:after="0"/>
              <w:rPr>
                <w:sz w:val="20"/>
                <w:szCs w:val="20"/>
                <w:color w:val="auto"/>
              </w:rPr>
            </w:pPr>
            <w:r>
              <w:rPr>
                <w:rFonts w:ascii="Arial" w:cs="Arial" w:eastAsia="Arial" w:hAnsi="Arial"/>
                <w:sz w:val="17"/>
                <w:szCs w:val="17"/>
                <w:color w:val="auto"/>
              </w:rPr>
              <w:t>F-3</w:t>
            </w: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9" w:right="2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 DEVELOPMENT STAGE COMPANY)</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FOR THE SIX MONTHS ENDED JUNE 30, 2011</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9"/>
              </w:rPr>
              <w:t>For the</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92"/>
              </w:rPr>
              <w:t>For the</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six months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six months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4"/>
              </w:rPr>
              <w:t>ended</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ended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7"/>
                <w:szCs w:val="17"/>
                <w:color w:val="auto"/>
                <w:w w:val="85"/>
              </w:rPr>
              <w:t>June 30,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June 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color w:val="auto"/>
                <w:w w:val="84"/>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color w:val="auto"/>
                <w:w w:val="89"/>
              </w:rPr>
              <w:t>2010</w:t>
            </w: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00" w:type="dxa"/>
            <w:vAlign w:val="bottom"/>
            <w:gridSpan w:val="2"/>
          </w:tcPr>
          <w:p>
            <w:pPr>
              <w:spacing w:after="0"/>
              <w:rPr>
                <w:sz w:val="20"/>
                <w:szCs w:val="20"/>
                <w:color w:val="auto"/>
              </w:rPr>
            </w:pPr>
            <w:r>
              <w:rPr>
                <w:rFonts w:ascii="Arial" w:cs="Arial" w:eastAsia="Arial" w:hAnsi="Arial"/>
                <w:sz w:val="17"/>
                <w:szCs w:val="17"/>
                <w:color w:val="auto"/>
              </w:rPr>
              <w:t>CASH FLOWS FROM OPERATING ACTIVITIES: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Net loss for the period</w:t>
            </w:r>
          </w:p>
        </w:tc>
        <w:tc>
          <w:tcPr>
            <w:tcW w:w="300" w:type="dxa"/>
            <w:vAlign w:val="bottom"/>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(647,615)</w:t>
            </w:r>
          </w:p>
        </w:tc>
        <w:tc>
          <w:tcPr>
            <w:tcW w:w="380" w:type="dxa"/>
            <w:vAlign w:val="bottom"/>
            <w:gridSpan w:val="2"/>
            <w:shd w:val="clear" w:color="auto" w:fill="CCEECC"/>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(1,135,870)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top w:val="single" w:sz="8" w:color="CCEECC"/>
            </w:tcBorders>
          </w:tcPr>
          <w:p>
            <w:pPr>
              <w:spacing w:after="0"/>
              <w:rPr>
                <w:sz w:val="20"/>
                <w:szCs w:val="20"/>
                <w:color w:val="auto"/>
              </w:rPr>
            </w:pPr>
            <w:r>
              <w:rPr>
                <w:rFonts w:ascii="Arial" w:cs="Arial" w:eastAsia="Arial" w:hAnsi="Arial"/>
                <w:sz w:val="17"/>
                <w:szCs w:val="17"/>
                <w:color w:val="auto"/>
              </w:rPr>
              <w:t>Adjustments to reconcile net income to net cash</w:t>
            </w: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provided by operating activities:</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60,100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16,258</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Stock issued for services</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83,992</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201,140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Stock options issued for compensation</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26,715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Amortization of debt discount</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Changes in:</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85,900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13,790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Prepaid expenses</w:t>
            </w:r>
          </w:p>
        </w:tc>
        <w:tc>
          <w:tcPr>
            <w:tcW w:w="30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(34,813)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(10,816)</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Accounts payable</w:t>
            </w: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(1,648)</w:t>
            </w: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17,442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Accrued interest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30,000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Accrued expenses</w:t>
            </w: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(5,000)</w:t>
            </w: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(4,500)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Deferred revenue</w:t>
            </w:r>
          </w:p>
        </w:tc>
        <w:tc>
          <w:tcPr>
            <w:tcW w:w="30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(73,110)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NET CASH USED BY OPERATING ACTIVITIES</w:t>
            </w: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(225,479)</w:t>
            </w: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(902,556)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80" w:type="dxa"/>
            <w:vAlign w:val="bottom"/>
            <w:tcBorders>
              <w:top w:val="single" w:sz="8" w:color="CCEEC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60" w:type="dxa"/>
            <w:vAlign w:val="bottom"/>
            <w:tcBorders>
              <w:top w:val="single" w:sz="8" w:color="CCEECC"/>
            </w:tcBorders>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CASH FLOWS FROM INVESTING ACTIVITIES:</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License fees</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(40,000)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Website site development costs</w:t>
            </w:r>
          </w:p>
        </w:tc>
        <w:tc>
          <w:tcPr>
            <w:tcW w:w="300" w:type="dxa"/>
            <w:vAlign w:val="bottom"/>
            <w:shd w:val="clear" w:color="auto" w:fill="CCEECC"/>
          </w:tcPr>
          <w:p>
            <w:pPr>
              <w:spacing w:after="0"/>
              <w:rPr>
                <w:sz w:val="17"/>
                <w:szCs w:val="17"/>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(82,850)</w:t>
            </w: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44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(89,660)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80" w:type="dxa"/>
            <w:vAlign w:val="bottom"/>
            <w:shd w:val="clear" w:color="auto" w:fill="CCEE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60" w:type="dxa"/>
            <w:vAlign w:val="bottom"/>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NET CASH USED BY INVESTING ACTIVITIES</w:t>
            </w:r>
          </w:p>
        </w:tc>
        <w:tc>
          <w:tcPr>
            <w:tcW w:w="30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7"/>
                <w:szCs w:val="17"/>
                <w:color w:val="auto"/>
              </w:rPr>
              <w:t>(82,850)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7"/>
                <w:szCs w:val="17"/>
                <w:color w:val="auto"/>
              </w:rPr>
              <w:t>(129,660)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tcBorders>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tcBorders>
              <w:top w:val="single" w:sz="8" w:color="auto"/>
            </w:tcBorders>
            <w:shd w:val="clear" w:color="auto" w:fill="CCEECC"/>
          </w:tcPr>
          <w:p>
            <w:pPr>
              <w:spacing w:after="0"/>
              <w:rPr>
                <w:sz w:val="17"/>
                <w:szCs w:val="17"/>
                <w:color w:val="auto"/>
              </w:rPr>
            </w:pPr>
          </w:p>
        </w:tc>
        <w:tc>
          <w:tcPr>
            <w:tcW w:w="1380" w:type="dxa"/>
            <w:vAlign w:val="bottom"/>
            <w:tcBorders>
              <w:top w:val="single" w:sz="8" w:color="auto"/>
            </w:tcBorders>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Issuance of common stock</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8,750</w:t>
            </w: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Issuance of preferred stock</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bottom w:val="single" w:sz="8" w:color="auto"/>
            </w:tcBorders>
            <w:shd w:val="clear" w:color="auto" w:fill="CCEECC"/>
          </w:tcPr>
          <w:p>
            <w:pPr>
              <w:spacing w:after="0"/>
              <w:rPr>
                <w:sz w:val="17"/>
                <w:szCs w:val="17"/>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80" w:type="dxa"/>
            <w:vAlign w:val="bottom"/>
            <w:tcBorders>
              <w:bottom w:val="single" w:sz="8" w:color="CCEECC"/>
            </w:tcBorders>
            <w:shd w:val="clear" w:color="auto" w:fill="CCEECC"/>
          </w:tcPr>
          <w:p>
            <w:pPr>
              <w:spacing w:after="0"/>
              <w:rPr>
                <w:sz w:val="17"/>
                <w:szCs w:val="17"/>
                <w:color w:val="auto"/>
              </w:rPr>
            </w:pPr>
          </w:p>
        </w:tc>
        <w:tc>
          <w:tcPr>
            <w:tcW w:w="80" w:type="dxa"/>
            <w:vAlign w:val="bottom"/>
            <w:tcBorders>
              <w:bottom w:val="single" w:sz="8" w:color="CCEECC"/>
            </w:tcBorders>
            <w:shd w:val="clear" w:color="auto" w:fill="CCEECC"/>
          </w:tcPr>
          <w:p>
            <w:pPr>
              <w:spacing w:after="0"/>
              <w:rPr>
                <w:sz w:val="17"/>
                <w:szCs w:val="17"/>
                <w:color w:val="auto"/>
              </w:rPr>
            </w:pPr>
          </w:p>
        </w:tc>
        <w:tc>
          <w:tcPr>
            <w:tcW w:w="300" w:type="dxa"/>
            <w:vAlign w:val="bottom"/>
            <w:tcBorders>
              <w:bottom w:val="single" w:sz="8" w:color="auto"/>
            </w:tcBorders>
            <w:shd w:val="clear" w:color="auto" w:fill="CCEECC"/>
          </w:tcPr>
          <w:p>
            <w:pPr>
              <w:spacing w:after="0"/>
              <w:rPr>
                <w:sz w:val="17"/>
                <w:szCs w:val="17"/>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1,508,750</w:t>
            </w:r>
          </w:p>
        </w:tc>
        <w:tc>
          <w:tcPr>
            <w:tcW w:w="6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shd w:val="clear" w:color="auto" w:fill="CCEECC"/>
          </w:tcPr>
          <w:p>
            <w:pPr>
              <w:spacing w:after="0" w:line="191" w:lineRule="exact"/>
              <w:rPr>
                <w:sz w:val="20"/>
                <w:szCs w:val="20"/>
                <w:color w:val="auto"/>
              </w:rPr>
            </w:pPr>
            <w:r>
              <w:rPr>
                <w:rFonts w:ascii="Arial" w:cs="Arial" w:eastAsia="Arial" w:hAnsi="Arial"/>
                <w:sz w:val="17"/>
                <w:szCs w:val="17"/>
                <w:color w:val="auto"/>
              </w:rPr>
              <w:t>NET INCREASE (DECREASE) IN CASH AND CASH</w:t>
            </w: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EQUIVALENTS</w:t>
            </w:r>
          </w:p>
        </w:tc>
        <w:tc>
          <w:tcPr>
            <w:tcW w:w="300" w:type="dxa"/>
            <w:vAlign w:val="bottom"/>
            <w:shd w:val="clear" w:color="auto" w:fill="CCEECC"/>
          </w:tcPr>
          <w:p>
            <w:pPr>
              <w:spacing w:after="0"/>
              <w:rPr>
                <w:sz w:val="18"/>
                <w:szCs w:val="18"/>
                <w:color w:val="auto"/>
              </w:rPr>
            </w:pPr>
          </w:p>
        </w:tc>
        <w:tc>
          <w:tcPr>
            <w:tcW w:w="1460" w:type="dxa"/>
            <w:vAlign w:val="bottom"/>
            <w:gridSpan w:val="2"/>
            <w:shd w:val="clear" w:color="auto" w:fill="CCEECC"/>
          </w:tcPr>
          <w:p>
            <w:pPr>
              <w:jc w:val="right"/>
              <w:ind w:right="20"/>
              <w:spacing w:after="0"/>
              <w:rPr>
                <w:sz w:val="20"/>
                <w:szCs w:val="20"/>
                <w:color w:val="auto"/>
              </w:rPr>
            </w:pPr>
            <w:r>
              <w:rPr>
                <w:rFonts w:ascii="Arial" w:cs="Arial" w:eastAsia="Arial" w:hAnsi="Arial"/>
                <w:sz w:val="17"/>
                <w:szCs w:val="17"/>
                <w:color w:val="auto"/>
              </w:rPr>
              <w:t>(308,329)</w:t>
            </w:r>
          </w:p>
        </w:tc>
        <w:tc>
          <w:tcPr>
            <w:tcW w:w="8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476,534</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vMerge w:val="continue"/>
          </w:tcPr>
          <w:p>
            <w:pPr>
              <w:spacing w:after="0"/>
              <w:rPr>
                <w:sz w:val="16"/>
                <w:szCs w:val="16"/>
                <w:color w:val="auto"/>
              </w:rPr>
            </w:pPr>
          </w:p>
        </w:tc>
        <w:tc>
          <w:tcPr>
            <w:tcW w:w="4380" w:type="dxa"/>
            <w:vAlign w:val="bottom"/>
            <w:shd w:val="clear" w:color="auto" w:fill="CCEECC"/>
          </w:tcPr>
          <w:p>
            <w:pPr>
              <w:spacing w:after="0" w:line="191" w:lineRule="exact"/>
              <w:rPr>
                <w:sz w:val="20"/>
                <w:szCs w:val="20"/>
                <w:color w:val="auto"/>
              </w:rPr>
            </w:pPr>
            <w:r>
              <w:rPr>
                <w:rFonts w:ascii="Arial" w:cs="Arial" w:eastAsia="Arial" w:hAnsi="Arial"/>
                <w:sz w:val="17"/>
                <w:szCs w:val="17"/>
                <w:color w:val="auto"/>
              </w:rPr>
              <w:t>CASH AND CASH EQUIVALENTS - BEGINNING OF</w:t>
            </w: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7"/>
                <w:szCs w:val="17"/>
                <w:color w:val="auto"/>
              </w:rPr>
              <w:t>PERIOD</w:t>
            </w:r>
          </w:p>
        </w:tc>
        <w:tc>
          <w:tcPr>
            <w:tcW w:w="30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1,278,094</w:t>
            </w:r>
          </w:p>
        </w:tc>
        <w:tc>
          <w:tcPr>
            <w:tcW w:w="80" w:type="dxa"/>
            <w:vAlign w:val="bottom"/>
            <w:tcBorders>
              <w:bottom w:val="single" w:sz="8" w:color="CCEECC"/>
            </w:tcBorders>
            <w:shd w:val="clear" w:color="auto" w:fill="CCEECC"/>
          </w:tcPr>
          <w:p>
            <w:pPr>
              <w:spacing w:after="0"/>
              <w:rPr>
                <w:sz w:val="18"/>
                <w:szCs w:val="18"/>
                <w:color w:val="auto"/>
              </w:rPr>
            </w:pPr>
          </w:p>
        </w:tc>
        <w:tc>
          <w:tcPr>
            <w:tcW w:w="80" w:type="dxa"/>
            <w:vAlign w:val="bottom"/>
            <w:tcBorders>
              <w:bottom w:val="single" w:sz="8" w:color="CCEECC"/>
            </w:tcBorders>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656,394</w:t>
            </w:r>
          </w:p>
        </w:tc>
        <w:tc>
          <w:tcPr>
            <w:tcW w:w="60" w:type="dxa"/>
            <w:vAlign w:val="bottom"/>
            <w:tcBorders>
              <w:bottom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vMerge w:val="continue"/>
          </w:tcPr>
          <w:p>
            <w:pPr>
              <w:spacing w:after="0"/>
              <w:rPr>
                <w:sz w:val="21"/>
                <w:szCs w:val="21"/>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CASH AND CASH EQUIVALENTS - END OF PERIOD</w:t>
            </w:r>
          </w:p>
        </w:tc>
        <w:tc>
          <w:tcPr>
            <w:tcW w:w="300" w:type="dxa"/>
            <w:vAlign w:val="bottom"/>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969,765</w:t>
            </w:r>
          </w:p>
        </w:tc>
        <w:tc>
          <w:tcPr>
            <w:tcW w:w="80" w:type="dxa"/>
            <w:vAlign w:val="bottom"/>
            <w:shd w:val="clear" w:color="auto" w:fill="CCEECC"/>
          </w:tcPr>
          <w:p>
            <w:pPr>
              <w:spacing w:after="0"/>
              <w:rPr>
                <w:sz w:val="21"/>
                <w:szCs w:val="21"/>
                <w:color w:val="auto"/>
              </w:rPr>
            </w:pPr>
          </w:p>
        </w:tc>
        <w:tc>
          <w:tcPr>
            <w:tcW w:w="380" w:type="dxa"/>
            <w:vAlign w:val="bottom"/>
            <w:gridSpan w:val="2"/>
            <w:shd w:val="clear" w:color="auto" w:fill="CCEECC"/>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1,132,928</w:t>
            </w:r>
          </w:p>
        </w:tc>
        <w:tc>
          <w:tcPr>
            <w:tcW w:w="6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380" w:type="dxa"/>
            <w:vAlign w:val="bottom"/>
            <w:tcBorders>
              <w:top w:val="single" w:sz="8" w:color="CCEEC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80" w:type="dxa"/>
            <w:vAlign w:val="bottom"/>
            <w:tcBorders>
              <w:top w:val="single" w:sz="8" w:color="CCEEC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4380" w:type="dxa"/>
            <w:vAlign w:val="bottom"/>
            <w:shd w:val="clear" w:color="auto" w:fill="CCEECC"/>
          </w:tcPr>
          <w:p>
            <w:pPr>
              <w:spacing w:after="0"/>
              <w:rPr>
                <w:sz w:val="20"/>
                <w:szCs w:val="20"/>
                <w:color w:val="auto"/>
              </w:rPr>
            </w:pPr>
            <w:r>
              <w:rPr>
                <w:rFonts w:ascii="Arial" w:cs="Arial" w:eastAsia="Arial" w:hAnsi="Arial"/>
                <w:sz w:val="17"/>
                <w:szCs w:val="17"/>
                <w:color w:val="auto"/>
              </w:rPr>
              <w:t>SUPPLEMENTAL CASH FLOW INFORMATION:</w:t>
            </w: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3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tcPr>
          <w:p>
            <w:pPr>
              <w:ind w:left="280"/>
              <w:spacing w:after="0"/>
              <w:rPr>
                <w:sz w:val="20"/>
                <w:szCs w:val="20"/>
                <w:color w:val="auto"/>
              </w:rPr>
            </w:pPr>
            <w:r>
              <w:rPr>
                <w:rFonts w:ascii="Arial" w:cs="Arial" w:eastAsia="Arial" w:hAnsi="Arial"/>
                <w:sz w:val="17"/>
                <w:szCs w:val="17"/>
                <w:color w:val="auto"/>
              </w:rPr>
              <w:t>Cash paid for interest</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gridSpan w:val="2"/>
          </w:tcPr>
          <w:p>
            <w:pPr>
              <w:jc w:val="right"/>
              <w:ind w:right="6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shd w:val="clear" w:color="auto" w:fill="CCEECC"/>
          </w:tcPr>
          <w:p>
            <w:pPr>
              <w:ind w:left="280"/>
              <w:spacing w:after="0" w:line="182" w:lineRule="exact"/>
              <w:rPr>
                <w:sz w:val="20"/>
                <w:szCs w:val="20"/>
                <w:color w:val="auto"/>
              </w:rPr>
            </w:pPr>
            <w:r>
              <w:rPr>
                <w:rFonts w:ascii="Arial" w:cs="Arial" w:eastAsia="Arial" w:hAnsi="Arial"/>
                <w:sz w:val="17"/>
                <w:szCs w:val="17"/>
                <w:color w:val="auto"/>
              </w:rPr>
              <w:t>Cash paid for income taxes</w:t>
            </w:r>
          </w:p>
        </w:tc>
        <w:tc>
          <w:tcPr>
            <w:tcW w:w="300" w:type="dxa"/>
            <w:vAlign w:val="bottom"/>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CC"/>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shd w:val="clear" w:color="auto" w:fill="CCEECC"/>
          </w:tcPr>
          <w:p>
            <w:pPr>
              <w:spacing w:after="0"/>
              <w:rPr>
                <w:sz w:val="19"/>
                <w:szCs w:val="19"/>
                <w:color w:val="auto"/>
              </w:rPr>
            </w:pPr>
          </w:p>
        </w:tc>
        <w:tc>
          <w:tcPr>
            <w:tcW w:w="380" w:type="dxa"/>
            <w:vAlign w:val="bottom"/>
            <w:gridSpan w:val="2"/>
            <w:shd w:val="clear" w:color="auto" w:fill="CCEECC"/>
          </w:tcPr>
          <w:p>
            <w:pPr>
              <w:jc w:val="right"/>
              <w:ind w:right="220"/>
              <w:spacing w:after="0" w:line="182" w:lineRule="exact"/>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CC"/>
          </w:tcPr>
          <w:p>
            <w:pPr>
              <w:jc w:val="right"/>
              <w:ind w:right="60"/>
              <w:spacing w:after="0" w:line="182"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tcBorders>
              <w:top w:val="single" w:sz="8" w:color="CCEECC"/>
            </w:tcBorders>
          </w:tcPr>
          <w:p>
            <w:pPr>
              <w:spacing w:after="0" w:line="169" w:lineRule="exact"/>
              <w:rPr>
                <w:sz w:val="20"/>
                <w:szCs w:val="20"/>
                <w:color w:val="auto"/>
              </w:rPr>
            </w:pPr>
            <w:r>
              <w:rPr>
                <w:rFonts w:ascii="Arial" w:cs="Arial" w:eastAsia="Arial" w:hAnsi="Arial"/>
                <w:sz w:val="17"/>
                <w:szCs w:val="17"/>
                <w:color w:val="auto"/>
              </w:rPr>
              <w:t>SUPPLEMENTAL DISCLOSURE OF NONCASH</w:t>
            </w: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80" w:type="dxa"/>
            <w:vAlign w:val="bottom"/>
            <w:tcBorders>
              <w:top w:val="single" w:sz="8" w:color="CCEECC"/>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60" w:type="dxa"/>
            <w:vAlign w:val="bottom"/>
            <w:tcBorders>
              <w:top w:val="single" w:sz="8" w:color="CCEECC"/>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spacing w:after="0"/>
              <w:rPr>
                <w:sz w:val="20"/>
                <w:szCs w:val="20"/>
                <w:color w:val="auto"/>
              </w:rPr>
            </w:pPr>
            <w:r>
              <w:rPr>
                <w:rFonts w:ascii="Arial" w:cs="Arial" w:eastAsia="Arial" w:hAnsi="Arial"/>
                <w:sz w:val="17"/>
                <w:szCs w:val="17"/>
                <w:color w:val="auto"/>
              </w:rPr>
              <w:t>INVESTING AND FINANCING ACTIVITIES:</w:t>
            </w: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80" w:type="dxa"/>
            <w:vAlign w:val="bottom"/>
            <w:shd w:val="clear" w:color="auto" w:fill="CCEECC"/>
          </w:tcPr>
          <w:p>
            <w:pPr>
              <w:ind w:left="280"/>
              <w:spacing w:after="0" w:line="192" w:lineRule="exact"/>
              <w:rPr>
                <w:sz w:val="20"/>
                <w:szCs w:val="20"/>
                <w:color w:val="auto"/>
              </w:rPr>
            </w:pPr>
            <w:r>
              <w:rPr>
                <w:rFonts w:ascii="Arial" w:cs="Arial" w:eastAsia="Arial" w:hAnsi="Arial"/>
                <w:sz w:val="17"/>
                <w:szCs w:val="17"/>
                <w:color w:val="auto"/>
              </w:rPr>
              <w:t>Common stock issued to satisfy dividends related to</w:t>
            </w: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80" w:type="dxa"/>
            <w:vAlign w:val="bottom"/>
            <w:shd w:val="clear" w:color="auto" w:fill="CCEECC"/>
          </w:tcPr>
          <w:p>
            <w:pPr>
              <w:spacing w:after="0"/>
              <w:rPr>
                <w:sz w:val="16"/>
                <w:szCs w:val="16"/>
                <w:color w:val="auto"/>
              </w:rPr>
            </w:pPr>
          </w:p>
        </w:tc>
        <w:tc>
          <w:tcPr>
            <w:tcW w:w="300" w:type="dxa"/>
            <w:vAlign w:val="bottom"/>
            <w:shd w:val="clear" w:color="auto" w:fill="CCEECC"/>
          </w:tcPr>
          <w:p>
            <w:pPr>
              <w:spacing w:after="0"/>
              <w:rPr>
                <w:sz w:val="16"/>
                <w:szCs w:val="16"/>
                <w:color w:val="auto"/>
              </w:rPr>
            </w:pPr>
          </w:p>
        </w:tc>
        <w:tc>
          <w:tcPr>
            <w:tcW w:w="138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80" w:type="dxa"/>
            <w:vAlign w:val="bottom"/>
            <w:shd w:val="clear" w:color="auto" w:fill="CCEECC"/>
          </w:tcPr>
          <w:p>
            <w:pPr>
              <w:ind w:left="280"/>
              <w:spacing w:after="0"/>
              <w:rPr>
                <w:sz w:val="20"/>
                <w:szCs w:val="20"/>
                <w:color w:val="auto"/>
              </w:rPr>
            </w:pPr>
            <w:r>
              <w:rPr>
                <w:rFonts w:ascii="Arial" w:cs="Arial" w:eastAsia="Arial" w:hAnsi="Arial"/>
                <w:sz w:val="17"/>
                <w:szCs w:val="17"/>
                <w:color w:val="auto"/>
              </w:rPr>
              <w:t>preferred stock</w:t>
            </w:r>
          </w:p>
        </w:tc>
        <w:tc>
          <w:tcPr>
            <w:tcW w:w="300" w:type="dxa"/>
            <w:vAlign w:val="bottom"/>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250,000</w:t>
            </w:r>
          </w:p>
        </w:tc>
        <w:tc>
          <w:tcPr>
            <w:tcW w:w="80" w:type="dxa"/>
            <w:vAlign w:val="bottom"/>
            <w:shd w:val="clear" w:color="auto" w:fill="CCEECC"/>
          </w:tcPr>
          <w:p>
            <w:pPr>
              <w:spacing w:after="0"/>
              <w:rPr>
                <w:sz w:val="20"/>
                <w:szCs w:val="20"/>
                <w:color w:val="auto"/>
              </w:rPr>
            </w:pPr>
          </w:p>
        </w:tc>
        <w:tc>
          <w:tcPr>
            <w:tcW w:w="380" w:type="dxa"/>
            <w:vAlign w:val="bottom"/>
            <w:gridSpan w:val="2"/>
            <w:shd w:val="clear" w:color="auto" w:fill="CCEECC"/>
          </w:tcPr>
          <w:p>
            <w:pPr>
              <w:jc w:val="right"/>
              <w:ind w:right="2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CC"/>
          </w:tcPr>
          <w:p>
            <w:pPr>
              <w:jc w:val="right"/>
              <w:ind w:right="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CC"/>
            </w:tcBorders>
            <w:shd w:val="clear" w:color="auto" w:fill="CCEE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Conversion of warrants to common stock</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82" w:lineRule="exact"/>
              <w:rPr>
                <w:sz w:val="20"/>
                <w:szCs w:val="20"/>
                <w:color w:val="auto"/>
              </w:rPr>
            </w:pPr>
            <w:r>
              <w:rPr>
                <w:rFonts w:ascii="Arial" w:cs="Arial" w:eastAsia="Arial" w:hAnsi="Arial"/>
                <w:sz w:val="17"/>
                <w:szCs w:val="17"/>
                <w:color w:val="auto"/>
              </w:rPr>
              <w:t>-0-</w:t>
            </w:r>
          </w:p>
        </w:tc>
        <w:tc>
          <w:tcPr>
            <w:tcW w:w="80" w:type="dxa"/>
            <w:vAlign w:val="bottom"/>
          </w:tcPr>
          <w:p>
            <w:pPr>
              <w:spacing w:after="0"/>
              <w:rPr>
                <w:sz w:val="15"/>
                <w:szCs w:val="15"/>
                <w:color w:val="auto"/>
              </w:rPr>
            </w:pPr>
          </w:p>
        </w:tc>
        <w:tc>
          <w:tcPr>
            <w:tcW w:w="380" w:type="dxa"/>
            <w:vAlign w:val="bottom"/>
            <w:gridSpan w:val="2"/>
          </w:tcPr>
          <w:p>
            <w:pPr>
              <w:jc w:val="right"/>
              <w:ind w:right="220"/>
              <w:spacing w:after="0" w:line="182"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7"/>
                <w:szCs w:val="17"/>
                <w:color w:val="auto"/>
              </w:rPr>
              <w:t>153,816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4380" w:type="dxa"/>
            <w:vAlign w:val="bottom"/>
            <w:shd w:val="clear" w:color="auto" w:fill="CCEECC"/>
          </w:tcPr>
          <w:p>
            <w:pPr>
              <w:ind w:left="280"/>
              <w:spacing w:after="0" w:line="169" w:lineRule="exact"/>
              <w:rPr>
                <w:sz w:val="20"/>
                <w:szCs w:val="20"/>
                <w:color w:val="auto"/>
              </w:rPr>
            </w:pPr>
            <w:r>
              <w:rPr>
                <w:rFonts w:ascii="Arial" w:cs="Arial" w:eastAsia="Arial" w:hAnsi="Arial"/>
                <w:sz w:val="17"/>
                <w:szCs w:val="17"/>
                <w:color w:val="auto"/>
                <w:w w:val="98"/>
              </w:rPr>
              <w:t>Common stock issued for settlement of equity issuance</w:t>
            </w:r>
          </w:p>
        </w:tc>
        <w:tc>
          <w:tcPr>
            <w:tcW w:w="300" w:type="dxa"/>
            <w:vAlign w:val="bottom"/>
            <w:shd w:val="clear" w:color="auto" w:fill="CCEECC"/>
          </w:tcPr>
          <w:p>
            <w:pPr>
              <w:spacing w:after="0"/>
              <w:rPr>
                <w:sz w:val="14"/>
                <w:szCs w:val="14"/>
                <w:color w:val="auto"/>
              </w:rPr>
            </w:pPr>
          </w:p>
        </w:tc>
        <w:tc>
          <w:tcPr>
            <w:tcW w:w="138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80" w:type="dxa"/>
            <w:vAlign w:val="bottom"/>
            <w:shd w:val="clear" w:color="auto" w:fill="CCEECC"/>
          </w:tcPr>
          <w:p>
            <w:pPr>
              <w:spacing w:after="0"/>
              <w:rPr>
                <w:sz w:val="14"/>
                <w:szCs w:val="14"/>
                <w:color w:val="auto"/>
              </w:rPr>
            </w:pPr>
          </w:p>
        </w:tc>
        <w:tc>
          <w:tcPr>
            <w:tcW w:w="300" w:type="dxa"/>
            <w:vAlign w:val="bottom"/>
            <w:shd w:val="clear" w:color="auto" w:fill="CCEECC"/>
          </w:tcPr>
          <w:p>
            <w:pPr>
              <w:spacing w:after="0"/>
              <w:rPr>
                <w:sz w:val="14"/>
                <w:szCs w:val="14"/>
                <w:color w:val="auto"/>
              </w:rPr>
            </w:pPr>
          </w:p>
        </w:tc>
        <w:tc>
          <w:tcPr>
            <w:tcW w:w="1380" w:type="dxa"/>
            <w:vAlign w:val="bottom"/>
            <w:shd w:val="clear" w:color="auto" w:fill="CCEECC"/>
          </w:tcPr>
          <w:p>
            <w:pPr>
              <w:spacing w:after="0"/>
              <w:rPr>
                <w:sz w:val="14"/>
                <w:szCs w:val="14"/>
                <w:color w:val="auto"/>
              </w:rPr>
            </w:pPr>
          </w:p>
        </w:tc>
        <w:tc>
          <w:tcPr>
            <w:tcW w:w="60" w:type="dxa"/>
            <w:vAlign w:val="bottom"/>
            <w:shd w:val="clear" w:color="auto" w:fill="CCEECC"/>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380" w:type="dxa"/>
            <w:vAlign w:val="bottom"/>
            <w:tcBorders>
              <w:bottom w:val="single" w:sz="8" w:color="CCEECC"/>
            </w:tcBorders>
            <w:shd w:val="clear" w:color="auto" w:fill="CCEECC"/>
          </w:tcPr>
          <w:p>
            <w:pPr>
              <w:ind w:left="280"/>
              <w:spacing w:after="0"/>
              <w:rPr>
                <w:sz w:val="20"/>
                <w:szCs w:val="20"/>
                <w:color w:val="auto"/>
              </w:rPr>
            </w:pPr>
            <w:r>
              <w:rPr>
                <w:rFonts w:ascii="Arial" w:cs="Arial" w:eastAsia="Arial" w:hAnsi="Arial"/>
                <w:sz w:val="17"/>
                <w:szCs w:val="17"/>
                <w:color w:val="auto"/>
              </w:rPr>
              <w:t>costs</w:t>
            </w:r>
          </w:p>
        </w:tc>
        <w:tc>
          <w:tcPr>
            <w:tcW w:w="300" w:type="dxa"/>
            <w:vAlign w:val="bottom"/>
            <w:tcBorders>
              <w:bottom w:val="single" w:sz="8" w:color="auto"/>
            </w:tcBorders>
            <w:shd w:val="clear" w:color="auto" w:fill="CCEECC"/>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115,000</w:t>
            </w:r>
          </w:p>
        </w:tc>
        <w:tc>
          <w:tcPr>
            <w:tcW w:w="80" w:type="dxa"/>
            <w:vAlign w:val="bottom"/>
            <w:tcBorders>
              <w:bottom w:val="single" w:sz="8" w:color="CCEECC"/>
            </w:tcBorders>
            <w:shd w:val="clear" w:color="auto" w:fill="CCEECC"/>
          </w:tcPr>
          <w:p>
            <w:pPr>
              <w:spacing w:after="0"/>
              <w:rPr>
                <w:sz w:val="22"/>
                <w:szCs w:val="22"/>
                <w:color w:val="auto"/>
              </w:rPr>
            </w:pPr>
          </w:p>
        </w:tc>
        <w:tc>
          <w:tcPr>
            <w:tcW w:w="80" w:type="dxa"/>
            <w:vAlign w:val="bottom"/>
            <w:tcBorders>
              <w:bottom w:val="single" w:sz="8" w:color="CCEECC"/>
            </w:tcBorders>
            <w:shd w:val="clear" w:color="auto" w:fill="CCEECC"/>
          </w:tcPr>
          <w:p>
            <w:pPr>
              <w:spacing w:after="0"/>
              <w:rPr>
                <w:sz w:val="22"/>
                <w:szCs w:val="22"/>
                <w:color w:val="auto"/>
              </w:rPr>
            </w:pPr>
          </w:p>
        </w:tc>
        <w:tc>
          <w:tcPr>
            <w:tcW w:w="300" w:type="dxa"/>
            <w:vAlign w:val="bottom"/>
            <w:tcBorders>
              <w:bottom w:val="single" w:sz="8" w:color="auto"/>
            </w:tcBorders>
            <w:shd w:val="clear" w:color="auto" w:fill="CCEECC"/>
          </w:tcPr>
          <w:p>
            <w:pPr>
              <w:spacing w:after="0"/>
              <w:rPr>
                <w:sz w:val="22"/>
                <w:szCs w:val="22"/>
                <w:color w:val="auto"/>
              </w:rPr>
            </w:pPr>
          </w:p>
        </w:tc>
        <w:tc>
          <w:tcPr>
            <w:tcW w:w="13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bottom w:val="single" w:sz="8" w:color="CCEECC"/>
            </w:tcBorders>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80" w:type="dxa"/>
            <w:vAlign w:val="bottom"/>
          </w:tcPr>
          <w:p>
            <w:pPr>
              <w:ind w:left="280"/>
              <w:spacing w:after="0" w:line="182" w:lineRule="exact"/>
              <w:rPr>
                <w:sz w:val="20"/>
                <w:szCs w:val="20"/>
                <w:color w:val="auto"/>
              </w:rPr>
            </w:pPr>
            <w:r>
              <w:rPr>
                <w:rFonts w:ascii="Arial" w:cs="Arial" w:eastAsia="Arial" w:hAnsi="Arial"/>
                <w:sz w:val="17"/>
                <w:szCs w:val="17"/>
                <w:color w:val="auto"/>
              </w:rPr>
              <w:t>Payable issued for equity issuance costs</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spacing w:after="0" w:line="182" w:lineRule="exact"/>
              <w:rPr>
                <w:sz w:val="20"/>
                <w:szCs w:val="20"/>
                <w:color w:val="auto"/>
              </w:rPr>
            </w:pPr>
            <w:r>
              <w:rPr>
                <w:rFonts w:ascii="Arial" w:cs="Arial" w:eastAsia="Arial" w:hAnsi="Arial"/>
                <w:sz w:val="17"/>
                <w:szCs w:val="17"/>
                <w:color w:val="auto"/>
              </w:rPr>
              <w:t>57,500</w:t>
            </w:r>
          </w:p>
        </w:tc>
        <w:tc>
          <w:tcPr>
            <w:tcW w:w="80" w:type="dxa"/>
            <w:vAlign w:val="bottom"/>
          </w:tcPr>
          <w:p>
            <w:pPr>
              <w:spacing w:after="0"/>
              <w:rPr>
                <w:sz w:val="15"/>
                <w:szCs w:val="15"/>
                <w:color w:val="auto"/>
              </w:rPr>
            </w:pPr>
          </w:p>
        </w:tc>
        <w:tc>
          <w:tcPr>
            <w:tcW w:w="380" w:type="dxa"/>
            <w:vAlign w:val="bottom"/>
            <w:gridSpan w:val="2"/>
          </w:tcPr>
          <w:p>
            <w:pPr>
              <w:jc w:val="right"/>
              <w:ind w:right="220"/>
              <w:spacing w:after="0" w:line="182" w:lineRule="exact"/>
              <w:rPr>
                <w:sz w:val="20"/>
                <w:szCs w:val="20"/>
                <w:color w:val="auto"/>
              </w:rPr>
            </w:pPr>
            <w:r>
              <w:rPr>
                <w:rFonts w:ascii="Arial" w:cs="Arial" w:eastAsia="Arial" w:hAnsi="Arial"/>
                <w:sz w:val="17"/>
                <w:szCs w:val="17"/>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jc w:val="center"/>
        <w:ind w:right="-1160"/>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212"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0219"/>
          </w:cols>
          <w:pgMar w:left="240" w:top="229" w:right="1440"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380" w:hanging="378"/>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NATURE OF BUSINESS</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59"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54" w:lineRule="exact"/>
        <w:rPr>
          <w:sz w:val="20"/>
          <w:szCs w:val="20"/>
          <w:color w:val="auto"/>
        </w:rPr>
      </w:pPr>
    </w:p>
    <w:p>
      <w:pPr>
        <w:ind w:left="380" w:hanging="378"/>
        <w:spacing w:after="0"/>
        <w:tabs>
          <w:tab w:leader="none" w:pos="380" w:val="left"/>
        </w:tabs>
        <w:numPr>
          <w:ilvl w:val="0"/>
          <w:numId w:val="3"/>
        </w:numPr>
        <w:rPr>
          <w:rFonts w:ascii="Arial" w:cs="Arial" w:eastAsia="Arial" w:hAnsi="Arial"/>
          <w:sz w:val="17"/>
          <w:szCs w:val="17"/>
          <w:color w:val="auto"/>
        </w:rPr>
      </w:pPr>
      <w:r>
        <w:rPr>
          <w:rFonts w:ascii="Arial" w:cs="Arial" w:eastAsia="Arial" w:hAnsi="Arial"/>
          <w:sz w:val="17"/>
          <w:szCs w:val="17"/>
          <w:color w:val="auto"/>
        </w:rPr>
        <w:t>SUMMARY OF SIGNIFICANT ACCOUNTING POLICIES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Basis of Presentation</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accompanying unaudited interim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period ended December 31, 2010.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Accounting Basis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uses the accrual basis of accounting and accounting principles generally accepted in the United States of America (“GAAP” accounting). The Company has adopted a December 31 fiscal year end.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Principles of Consolidation</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380" w:hanging="378"/>
        <w:spacing w:after="0"/>
        <w:tabs>
          <w:tab w:leader="none" w:pos="3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SUMMARY OF SIGNIFICANT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Reclassifications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Certain accounts and financial statement captions in the prior periods have been reclassified to conform to the current period financial statements.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Cash and Cash Equivalents</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For purposes of the accompanying financial statements, the Company considers all highly liquid instruments with an initial maturity of three months or less to be cash equivalents.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Fair Value of Financial Instruments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Property and Equipment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Revenue Recognition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All revenue is recognized when it is earned. Revenues are generated either through the Company’s website activities, in which we earn revenue from advertising and lead generation activities, or from our SampleMD activities, which include offering setup within the systems and our offers, coupons, and vouchers that enable our customers to save money on medical products and services. The Company’s processes are monitored by third parties who collect revenues from clients on a per activity basis and report and forward the revenue to the Company’s account.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Income Taxes</w:t>
      </w:r>
    </w:p>
    <w:p>
      <w:pPr>
        <w:spacing w:after="0" w:line="2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Concentration of Credit Risks</w:t>
      </w:r>
    </w:p>
    <w:p>
      <w:pPr>
        <w:spacing w:after="0" w:line="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Use of Estimates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380" w:hanging="378"/>
        <w:spacing w:after="0"/>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SUMMARY OF SIGNIFICANT ACCOUNTING POLICIES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Research and Development</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7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Earnings Per Common and Common Equivalent Share</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not included in the diluted earnings per share calculation for June 30, 2011 and 2010, respectively, since their effect is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Impairment of Long-Lived Assets</w:t>
      </w:r>
    </w:p>
    <w:p>
      <w:pPr>
        <w:spacing w:after="0" w:line="2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Recently Issued Accounting Guidance</w:t>
      </w:r>
    </w:p>
    <w:p>
      <w:pPr>
        <w:spacing w:after="0" w:line="2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does not expect the adoption of recently issued accounting pronouncements to have a significant impact on the Company’s results of operations, financial position or cash flow.</w:t>
      </w:r>
    </w:p>
    <w:p>
      <w:pPr>
        <w:spacing w:after="0" w:line="177" w:lineRule="exact"/>
        <w:rPr>
          <w:sz w:val="20"/>
          <w:szCs w:val="20"/>
          <w:color w:val="auto"/>
        </w:rPr>
      </w:pPr>
    </w:p>
    <w:p>
      <w:pPr>
        <w:ind w:left="380" w:hanging="378"/>
        <w:spacing w:after="0"/>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PREPAID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Prepaid expenses consisted of the following as of June 30, 2011 and December 31, 2010:</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w w:val="89"/>
              </w:rPr>
              <w:t>December 31,</w:t>
            </w:r>
          </w:p>
        </w:tc>
        <w:tc>
          <w:tcPr>
            <w:tcW w:w="3420" w:type="dxa"/>
            <w:vAlign w:val="bottom"/>
          </w:tcPr>
          <w:p>
            <w:pPr>
              <w:spacing w:after="0"/>
              <w:rPr>
                <w:sz w:val="17"/>
                <w:szCs w:val="17"/>
                <w:color w:val="auto"/>
              </w:rPr>
            </w:pPr>
          </w:p>
        </w:tc>
      </w:tr>
      <w:tr>
        <w:trPr>
          <w:trHeight w:val="216"/>
        </w:trPr>
        <w:tc>
          <w:tcPr>
            <w:tcW w:w="34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June 30, 2011</w:t>
            </w: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2010</w:t>
            </w:r>
          </w:p>
        </w:tc>
        <w:tc>
          <w:tcPr>
            <w:tcW w:w="3420" w:type="dxa"/>
            <w:vAlign w:val="bottom"/>
          </w:tcPr>
          <w:p>
            <w:pPr>
              <w:spacing w:after="0"/>
              <w:rPr>
                <w:sz w:val="18"/>
                <w:szCs w:val="18"/>
                <w:color w:val="auto"/>
              </w:rPr>
            </w:pPr>
          </w:p>
        </w:tc>
      </w:tr>
      <w:tr>
        <w:trPr>
          <w:trHeight w:val="197"/>
        </w:trPr>
        <w:tc>
          <w:tcPr>
            <w:tcW w:w="3440" w:type="dxa"/>
            <w:vAlign w:val="bottom"/>
          </w:tcPr>
          <w:p>
            <w:pPr>
              <w:spacing w:after="0"/>
              <w:rPr>
                <w:sz w:val="17"/>
                <w:szCs w:val="17"/>
                <w:color w:val="auto"/>
              </w:rPr>
            </w:pPr>
          </w:p>
        </w:tc>
        <w:tc>
          <w:tcPr>
            <w:tcW w:w="182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Insurance</w:t>
            </w:r>
          </w:p>
        </w:tc>
        <w:tc>
          <w:tcPr>
            <w:tcW w:w="30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7,519</w:t>
            </w:r>
          </w:p>
        </w:tc>
        <w:tc>
          <w:tcPr>
            <w:tcW w:w="60" w:type="dxa"/>
            <w:vAlign w:val="bottom"/>
            <w:shd w:val="clear" w:color="auto" w:fill="CCEECC"/>
          </w:tcPr>
          <w:p>
            <w:pPr>
              <w:spacing w:after="0"/>
              <w:rPr>
                <w:sz w:val="17"/>
                <w:szCs w:val="17"/>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6,111</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7"/>
                <w:szCs w:val="17"/>
                <w:color w:val="auto"/>
              </w:rPr>
              <w:t>Web development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35,000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20,000</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shd w:val="clear" w:color="auto" w:fill="CCEECC"/>
          </w:tcPr>
          <w:p>
            <w:pPr>
              <w:ind w:left="80"/>
              <w:spacing w:after="0"/>
              <w:rPr>
                <w:sz w:val="20"/>
                <w:szCs w:val="20"/>
                <w:color w:val="auto"/>
              </w:rPr>
            </w:pPr>
            <w:r>
              <w:rPr>
                <w:rFonts w:ascii="Arial" w:cs="Arial" w:eastAsia="Arial" w:hAnsi="Arial"/>
                <w:sz w:val="17"/>
                <w:szCs w:val="17"/>
                <w:color w:val="auto"/>
              </w:rPr>
              <w:t>Investor relations</w:t>
            </w: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50,000</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7"/>
                <w:szCs w:val="17"/>
                <w:color w:val="auto"/>
              </w:rPr>
              <w:t>Employee advances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479</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940</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Consulting</w:t>
            </w:r>
          </w:p>
        </w:tc>
        <w:tc>
          <w:tcPr>
            <w:tcW w:w="1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8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66,275</w:t>
            </w: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7"/>
                <w:szCs w:val="17"/>
                <w:color w:val="auto"/>
              </w:rPr>
              <w:t>Advertising</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3,090</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3,000</w:t>
            </w:r>
          </w:p>
        </w:tc>
        <w:tc>
          <w:tcPr>
            <w:tcW w:w="3420" w:type="dxa"/>
            <w:vAlign w:val="bottom"/>
          </w:tcPr>
          <w:p>
            <w:pPr>
              <w:spacing w:after="0"/>
              <w:rPr>
                <w:sz w:val="17"/>
                <w:szCs w:val="17"/>
                <w:color w:val="auto"/>
              </w:rPr>
            </w:pPr>
          </w:p>
        </w:tc>
      </w:tr>
      <w:tr>
        <w:trPr>
          <w:trHeight w:val="204"/>
        </w:trPr>
        <w:tc>
          <w:tcPr>
            <w:tcW w:w="3440" w:type="dxa"/>
            <w:vAlign w:val="bottom"/>
          </w:tcPr>
          <w:p>
            <w:pPr>
              <w:spacing w:after="0"/>
              <w:rPr>
                <w:sz w:val="17"/>
                <w:szCs w:val="17"/>
                <w:color w:val="auto"/>
              </w:rPr>
            </w:pPr>
          </w:p>
        </w:tc>
        <w:tc>
          <w:tcPr>
            <w:tcW w:w="18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Rent</w:t>
            </w:r>
          </w:p>
        </w:tc>
        <w:tc>
          <w:tcPr>
            <w:tcW w:w="18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0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7"/>
                <w:szCs w:val="17"/>
                <w:color w:val="auto"/>
              </w:rPr>
              <w:t>2,500</w:t>
            </w:r>
          </w:p>
        </w:tc>
        <w:tc>
          <w:tcPr>
            <w:tcW w:w="6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rPr>
                <w:sz w:val="17"/>
                <w:szCs w:val="17"/>
                <w:color w:val="auto"/>
              </w:rPr>
            </w:pPr>
          </w:p>
        </w:tc>
        <w:tc>
          <w:tcPr>
            <w:tcW w:w="11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0</w:t>
            </w:r>
          </w:p>
        </w:tc>
        <w:tc>
          <w:tcPr>
            <w:tcW w:w="3420" w:type="dxa"/>
            <w:vAlign w:val="bottom"/>
          </w:tcPr>
          <w:p>
            <w:pPr>
              <w:spacing w:after="0"/>
              <w:rPr>
                <w:sz w:val="17"/>
                <w:szCs w:val="17"/>
                <w:color w:val="auto"/>
              </w:rPr>
            </w:pPr>
          </w:p>
        </w:tc>
      </w:tr>
      <w:tr>
        <w:trPr>
          <w:trHeight w:val="196"/>
        </w:trPr>
        <w:tc>
          <w:tcPr>
            <w:tcW w:w="3440" w:type="dxa"/>
            <w:vAlign w:val="bottom"/>
          </w:tcPr>
          <w:p>
            <w:pPr>
              <w:spacing w:after="0"/>
              <w:rPr>
                <w:sz w:val="17"/>
                <w:szCs w:val="17"/>
                <w:color w:val="auto"/>
              </w:rPr>
            </w:pPr>
          </w:p>
        </w:tc>
        <w:tc>
          <w:tcPr>
            <w:tcW w:w="1820" w:type="dxa"/>
            <w:vAlign w:val="bottom"/>
          </w:tcPr>
          <w:p>
            <w:pPr>
              <w:ind w:left="80"/>
              <w:spacing w:after="0"/>
              <w:rPr>
                <w:sz w:val="20"/>
                <w:szCs w:val="20"/>
                <w:color w:val="auto"/>
              </w:rPr>
            </w:pPr>
            <w:r>
              <w:rPr>
                <w:rFonts w:ascii="Arial" w:cs="Arial" w:eastAsia="Arial" w:hAnsi="Arial"/>
                <w:sz w:val="17"/>
                <w:szCs w:val="17"/>
                <w:color w:val="auto"/>
                <w:w w:val="95"/>
              </w:rPr>
              <w:t>Total Prepaid Expenses</w:t>
            </w:r>
          </w:p>
        </w:tc>
        <w:tc>
          <w:tcPr>
            <w:tcW w:w="3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114,863</w:t>
            </w:r>
          </w:p>
        </w:tc>
        <w:tc>
          <w:tcPr>
            <w:tcW w:w="60" w:type="dxa"/>
            <w:vAlign w:val="bottom"/>
          </w:tcPr>
          <w:p>
            <w:pPr>
              <w:spacing w:after="0"/>
              <w:rPr>
                <w:sz w:val="17"/>
                <w:szCs w:val="17"/>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80,051</w:t>
            </w:r>
          </w:p>
        </w:tc>
        <w:tc>
          <w:tcPr>
            <w:tcW w:w="3420" w:type="dxa"/>
            <w:vAlign w:val="bottom"/>
          </w:tcPr>
          <w:p>
            <w:pPr>
              <w:spacing w:after="0"/>
              <w:rPr>
                <w:sz w:val="17"/>
                <w:szCs w:val="17"/>
                <w:color w:val="auto"/>
              </w:rPr>
            </w:pPr>
          </w:p>
        </w:tc>
      </w:tr>
      <w:tr>
        <w:trPr>
          <w:trHeight w:val="20"/>
        </w:trPr>
        <w:tc>
          <w:tcPr>
            <w:tcW w:w="34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5"/>
        </w:trPr>
        <w:tc>
          <w:tcPr>
            <w:tcW w:w="34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color w:val="auto"/>
              </w:rPr>
              <w:t>F-7</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380" w:hanging="378"/>
        <w:spacing w:after="0"/>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PROPERTY AND EQUIPMENT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 owned equipment recorded at cost which consisted of the following as of June 30, 2011 and December 31, 2010:</w:t>
      </w:r>
    </w:p>
    <w:p>
      <w:pPr>
        <w:spacing w:after="0" w:line="212"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1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color w:val="auto"/>
                <w:w w:val="91"/>
              </w:rPr>
              <w:t>December 31,</w:t>
            </w:r>
          </w:p>
        </w:tc>
      </w:tr>
      <w:tr>
        <w:trPr>
          <w:trHeight w:val="216"/>
        </w:trPr>
        <w:tc>
          <w:tcPr>
            <w:tcW w:w="19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9"/>
              </w:rPr>
              <w:t>June 30, 2011</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2010</w:t>
            </w:r>
          </w:p>
        </w:tc>
      </w:tr>
      <w:tr>
        <w:trPr>
          <w:trHeight w:val="197"/>
        </w:trPr>
        <w:tc>
          <w:tcPr>
            <w:tcW w:w="1980" w:type="dxa"/>
            <w:vAlign w:val="bottom"/>
            <w:tcBorders>
              <w:right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Computer equipment</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13,824</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13,824</w:t>
            </w:r>
          </w:p>
        </w:tc>
      </w:tr>
      <w:tr>
        <w:trPr>
          <w:trHeight w:val="204"/>
        </w:trPr>
        <w:tc>
          <w:tcPr>
            <w:tcW w:w="1980" w:type="dxa"/>
            <w:vAlign w:val="bottom"/>
          </w:tcPr>
          <w:p>
            <w:pPr>
              <w:ind w:left="80"/>
              <w:spacing w:after="0"/>
              <w:rPr>
                <w:sz w:val="20"/>
                <w:szCs w:val="20"/>
                <w:color w:val="auto"/>
              </w:rPr>
            </w:pPr>
            <w:r>
              <w:rPr>
                <w:rFonts w:ascii="Arial" w:cs="Arial" w:eastAsia="Arial" w:hAnsi="Arial"/>
                <w:sz w:val="17"/>
                <w:szCs w:val="17"/>
                <w:color w:val="auto"/>
              </w:rPr>
              <w:t>Furniture and fixtures</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4,293</w:t>
            </w: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4,293</w:t>
            </w:r>
          </w:p>
        </w:tc>
      </w:tr>
      <w:tr>
        <w:trPr>
          <w:trHeight w:val="196"/>
        </w:trPr>
        <w:tc>
          <w:tcPr>
            <w:tcW w:w="1980" w:type="dxa"/>
            <w:vAlign w:val="bottom"/>
            <w:tcBorders>
              <w:right w:val="single" w:sz="8" w:color="CCEECC"/>
            </w:tcBorders>
            <w:shd w:val="clear" w:color="auto" w:fill="CCEECC"/>
          </w:tcPr>
          <w:p>
            <w:pPr>
              <w:ind w:left="260"/>
              <w:spacing w:after="0"/>
              <w:rPr>
                <w:sz w:val="20"/>
                <w:szCs w:val="20"/>
                <w:color w:val="auto"/>
              </w:rPr>
            </w:pPr>
            <w:r>
              <w:rPr>
                <w:rFonts w:ascii="Arial" w:cs="Arial" w:eastAsia="Arial" w:hAnsi="Arial"/>
                <w:sz w:val="17"/>
                <w:szCs w:val="17"/>
                <w:color w:val="auto"/>
              </w:rPr>
              <w:t>Subtotal</w:t>
            </w:r>
          </w:p>
        </w:tc>
        <w:tc>
          <w:tcPr>
            <w:tcW w:w="120" w:type="dxa"/>
            <w:vAlign w:val="bottom"/>
            <w:shd w:val="clear" w:color="auto" w:fill="CCEECC"/>
          </w:tcPr>
          <w:p>
            <w:pPr>
              <w:spacing w:after="0"/>
              <w:rPr>
                <w:sz w:val="17"/>
                <w:szCs w:val="17"/>
                <w:color w:val="auto"/>
              </w:rPr>
            </w:pPr>
          </w:p>
        </w:tc>
        <w:tc>
          <w:tcPr>
            <w:tcW w:w="120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18,117</w:t>
            </w:r>
          </w:p>
        </w:tc>
        <w:tc>
          <w:tcPr>
            <w:tcW w:w="100" w:type="dxa"/>
            <w:vAlign w:val="bottom"/>
            <w:shd w:val="clear" w:color="auto" w:fill="CCEECC"/>
          </w:tcPr>
          <w:p>
            <w:pPr>
              <w:spacing w:after="0"/>
              <w:rPr>
                <w:sz w:val="17"/>
                <w:szCs w:val="17"/>
                <w:color w:val="auto"/>
              </w:rPr>
            </w:pP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18,117</w:t>
            </w:r>
          </w:p>
        </w:tc>
      </w:tr>
      <w:tr>
        <w:trPr>
          <w:trHeight w:val="204"/>
        </w:trPr>
        <w:tc>
          <w:tcPr>
            <w:tcW w:w="1980" w:type="dxa"/>
            <w:vAlign w:val="bottom"/>
          </w:tcPr>
          <w:p>
            <w:pPr>
              <w:ind w:left="80"/>
              <w:spacing w:after="0"/>
              <w:rPr>
                <w:sz w:val="20"/>
                <w:szCs w:val="20"/>
                <w:color w:val="auto"/>
              </w:rPr>
            </w:pPr>
            <w:r>
              <w:rPr>
                <w:rFonts w:ascii="Arial" w:cs="Arial" w:eastAsia="Arial" w:hAnsi="Arial"/>
                <w:sz w:val="17"/>
                <w:szCs w:val="17"/>
                <w:color w:val="auto"/>
                <w:w w:val="95"/>
              </w:rPr>
              <w:t>Accumulated depreciation</w:t>
            </w:r>
          </w:p>
        </w:tc>
        <w:tc>
          <w:tcPr>
            <w:tcW w:w="1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(5,962)</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(5,056)</w:t>
            </w:r>
          </w:p>
        </w:tc>
      </w:tr>
      <w:tr>
        <w:trPr>
          <w:trHeight w:val="184"/>
        </w:trPr>
        <w:tc>
          <w:tcPr>
            <w:tcW w:w="1980" w:type="dxa"/>
            <w:vAlign w:val="bottom"/>
            <w:tcBorders>
              <w:right w:val="single" w:sz="8" w:color="CCEECC"/>
            </w:tcBorders>
            <w:shd w:val="clear" w:color="auto" w:fill="CCEECC"/>
          </w:tcPr>
          <w:p>
            <w:pPr>
              <w:ind w:left="200"/>
              <w:spacing w:after="0" w:line="184" w:lineRule="exact"/>
              <w:rPr>
                <w:sz w:val="20"/>
                <w:szCs w:val="20"/>
                <w:color w:val="auto"/>
              </w:rPr>
            </w:pPr>
            <w:r>
              <w:rPr>
                <w:rFonts w:ascii="Arial" w:cs="Arial" w:eastAsia="Arial" w:hAnsi="Arial"/>
                <w:sz w:val="17"/>
                <w:szCs w:val="17"/>
                <w:color w:val="auto"/>
                <w:w w:val="93"/>
              </w:rPr>
              <w:t>Property and equipment,</w:t>
            </w:r>
          </w:p>
        </w:tc>
        <w:tc>
          <w:tcPr>
            <w:tcW w:w="120" w:type="dxa"/>
            <w:vAlign w:val="bottom"/>
            <w:tcBorders>
              <w:top w:val="single" w:sz="8" w:color="auto"/>
            </w:tcBorders>
            <w:shd w:val="clear" w:color="auto" w:fill="CCEECC"/>
          </w:tcPr>
          <w:p>
            <w:pPr>
              <w:spacing w:after="0"/>
              <w:rPr>
                <w:sz w:val="15"/>
                <w:szCs w:val="15"/>
                <w:color w:val="auto"/>
              </w:rPr>
            </w:pPr>
          </w:p>
        </w:tc>
        <w:tc>
          <w:tcPr>
            <w:tcW w:w="1200" w:type="dxa"/>
            <w:vAlign w:val="bottom"/>
            <w:tcBorders>
              <w:top w:val="single" w:sz="8" w:color="auto"/>
              <w:right w:val="single" w:sz="8" w:color="CCEECC"/>
            </w:tcBorders>
            <w:shd w:val="clear" w:color="auto" w:fill="CCEECC"/>
          </w:tcPr>
          <w:p>
            <w:pPr>
              <w:spacing w:after="0"/>
              <w:rPr>
                <w:sz w:val="15"/>
                <w:szCs w:val="15"/>
                <w:color w:val="auto"/>
              </w:rPr>
            </w:pPr>
          </w:p>
        </w:tc>
        <w:tc>
          <w:tcPr>
            <w:tcW w:w="100" w:type="dxa"/>
            <w:vAlign w:val="bottom"/>
            <w:tcBorders>
              <w:top w:val="single" w:sz="8" w:color="auto"/>
            </w:tcBorders>
            <w:shd w:val="clear" w:color="auto" w:fill="CCEECC"/>
          </w:tcPr>
          <w:p>
            <w:pPr>
              <w:spacing w:after="0"/>
              <w:rPr>
                <w:sz w:val="15"/>
                <w:szCs w:val="15"/>
                <w:color w:val="auto"/>
              </w:rPr>
            </w:pPr>
          </w:p>
        </w:tc>
        <w:tc>
          <w:tcPr>
            <w:tcW w:w="1160" w:type="dxa"/>
            <w:vAlign w:val="bottom"/>
            <w:tcBorders>
              <w:top w:val="single" w:sz="8" w:color="auto"/>
              <w:right w:val="single" w:sz="8" w:color="CCEECC"/>
            </w:tcBorders>
            <w:shd w:val="clear" w:color="auto" w:fill="CCEECC"/>
          </w:tcPr>
          <w:p>
            <w:pPr>
              <w:spacing w:after="0"/>
              <w:rPr>
                <w:sz w:val="15"/>
                <w:szCs w:val="15"/>
                <w:color w:val="auto"/>
              </w:rPr>
            </w:pPr>
          </w:p>
        </w:tc>
      </w:tr>
      <w:tr>
        <w:trPr>
          <w:trHeight w:val="236"/>
        </w:trPr>
        <w:tc>
          <w:tcPr>
            <w:tcW w:w="1980" w:type="dxa"/>
            <w:vAlign w:val="bottom"/>
            <w:tcBorders>
              <w:right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net</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12,155</w:t>
            </w: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13,061</w:t>
            </w:r>
          </w:p>
        </w:tc>
      </w:tr>
      <w:tr>
        <w:trPr>
          <w:trHeight w:val="20"/>
        </w:trPr>
        <w:tc>
          <w:tcPr>
            <w:tcW w:w="1980" w:type="dxa"/>
            <w:vAlign w:val="bottom"/>
            <w:tcBorders>
              <w:top w:val="single" w:sz="8" w:color="CCEECC"/>
              <w:right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was $904 and $844 for the six months ended June 30, 2011 and 2010, respectively.</w:t>
      </w:r>
    </w:p>
    <w:p>
      <w:pPr>
        <w:spacing w:after="0" w:line="212" w:lineRule="exact"/>
        <w:rPr>
          <w:sz w:val="20"/>
          <w:szCs w:val="20"/>
          <w:color w:val="auto"/>
        </w:rPr>
      </w:pPr>
    </w:p>
    <w:p>
      <w:pPr>
        <w:ind w:left="380" w:hanging="378"/>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WEBSITE DEVELOPMENT COSTS</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color w:val="auto"/>
        </w:rPr>
        <w:t>The Company has capitalized costs in developing their website and web-based products, which consisted of the following as of June 30, 2011 and December 31, 2010:</w:t>
      </w:r>
    </w:p>
    <w:p>
      <w:pPr>
        <w:spacing w:after="0" w:line="235"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96"/>
              </w:rPr>
              <w:t>June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540" w:type="dxa"/>
            <w:vAlign w:val="bottom"/>
            <w:tcBorders>
              <w:right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OptimizeRx Web development</w:t>
            </w:r>
          </w:p>
        </w:tc>
        <w:tc>
          <w:tcPr>
            <w:tcW w:w="180" w:type="dxa"/>
            <w:vAlign w:val="bottom"/>
            <w:shd w:val="clear" w:color="auto" w:fill="CCEECC"/>
          </w:tcPr>
          <w:p>
            <w:pPr>
              <w:jc w:val="right"/>
              <w:ind w:right="26"/>
              <w:spacing w:after="0"/>
              <w:rPr>
                <w:sz w:val="20"/>
                <w:szCs w:val="20"/>
                <w:color w:val="auto"/>
              </w:rPr>
            </w:pPr>
            <w:r>
              <w:rPr>
                <w:rFonts w:ascii="Arial" w:cs="Arial" w:eastAsia="Arial" w:hAnsi="Arial"/>
                <w:sz w:val="15"/>
                <w:szCs w:val="15"/>
                <w:color w:val="auto"/>
                <w:w w:val="71"/>
              </w:rPr>
              <w:t>$</w:t>
            </w:r>
          </w:p>
        </w:tc>
        <w:tc>
          <w:tcPr>
            <w:tcW w:w="14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154,133</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154,133</w:t>
            </w:r>
          </w:p>
        </w:tc>
      </w:tr>
      <w:tr>
        <w:trPr>
          <w:trHeight w:val="204"/>
        </w:trPr>
        <w:tc>
          <w:tcPr>
            <w:tcW w:w="2540" w:type="dxa"/>
            <w:vAlign w:val="bottom"/>
          </w:tcPr>
          <w:p>
            <w:pPr>
              <w:ind w:left="80"/>
              <w:spacing w:after="0"/>
              <w:rPr>
                <w:sz w:val="20"/>
                <w:szCs w:val="20"/>
                <w:color w:val="auto"/>
              </w:rPr>
            </w:pPr>
            <w:r>
              <w:rPr>
                <w:rFonts w:ascii="Arial" w:cs="Arial" w:eastAsia="Arial" w:hAnsi="Arial"/>
                <w:sz w:val="17"/>
                <w:szCs w:val="17"/>
                <w:color w:val="auto"/>
              </w:rPr>
              <w:t>SampleMD web development</w:t>
            </w: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414,957</w:t>
            </w:r>
          </w:p>
        </w:tc>
        <w:tc>
          <w:tcPr>
            <w:tcW w:w="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332,107</w:t>
            </w:r>
          </w:p>
        </w:tc>
      </w:tr>
      <w:tr>
        <w:trPr>
          <w:trHeight w:val="196"/>
        </w:trPr>
        <w:tc>
          <w:tcPr>
            <w:tcW w:w="2540" w:type="dxa"/>
            <w:vAlign w:val="bottom"/>
            <w:tcBorders>
              <w:right w:val="single" w:sz="8" w:color="CCEECC"/>
            </w:tcBorders>
            <w:shd w:val="clear" w:color="auto" w:fill="CCEECC"/>
          </w:tcPr>
          <w:p>
            <w:pPr>
              <w:ind w:left="220"/>
              <w:spacing w:after="0"/>
              <w:rPr>
                <w:sz w:val="20"/>
                <w:szCs w:val="20"/>
                <w:color w:val="auto"/>
              </w:rPr>
            </w:pPr>
            <w:r>
              <w:rPr>
                <w:rFonts w:ascii="Arial" w:cs="Arial" w:eastAsia="Arial" w:hAnsi="Arial"/>
                <w:sz w:val="17"/>
                <w:szCs w:val="17"/>
                <w:color w:val="auto"/>
                <w:w w:val="91"/>
              </w:rPr>
              <w:t>Subtotal, web development costs</w:t>
            </w:r>
          </w:p>
        </w:tc>
        <w:tc>
          <w:tcPr>
            <w:tcW w:w="180" w:type="dxa"/>
            <w:vAlign w:val="bottom"/>
            <w:shd w:val="clear" w:color="auto" w:fill="CCEECC"/>
          </w:tcPr>
          <w:p>
            <w:pPr>
              <w:spacing w:after="0"/>
              <w:rPr>
                <w:sz w:val="17"/>
                <w:szCs w:val="17"/>
                <w:color w:val="auto"/>
              </w:rPr>
            </w:pPr>
          </w:p>
        </w:tc>
        <w:tc>
          <w:tcPr>
            <w:tcW w:w="14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569,090</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486,240</w:t>
            </w:r>
          </w:p>
        </w:tc>
      </w:tr>
      <w:tr>
        <w:trPr>
          <w:trHeight w:val="204"/>
        </w:trPr>
        <w:tc>
          <w:tcPr>
            <w:tcW w:w="254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(126,891)</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(95,050)</w:t>
            </w:r>
          </w:p>
        </w:tc>
      </w:tr>
      <w:tr>
        <w:trPr>
          <w:trHeight w:val="204"/>
        </w:trPr>
        <w:tc>
          <w:tcPr>
            <w:tcW w:w="2540" w:type="dxa"/>
            <w:vAlign w:val="bottom"/>
            <w:tcBorders>
              <w:right w:val="single" w:sz="8" w:color="CCEECC"/>
            </w:tcBorders>
            <w:shd w:val="clear" w:color="auto" w:fill="CCEECC"/>
          </w:tcPr>
          <w:p>
            <w:pPr>
              <w:ind w:left="80"/>
              <w:spacing w:after="0"/>
              <w:rPr>
                <w:sz w:val="20"/>
                <w:szCs w:val="20"/>
                <w:color w:val="auto"/>
              </w:rPr>
            </w:pPr>
            <w:r>
              <w:rPr>
                <w:rFonts w:ascii="Arial" w:cs="Arial" w:eastAsia="Arial" w:hAnsi="Arial"/>
                <w:sz w:val="17"/>
                <w:szCs w:val="17"/>
                <w:color w:val="auto"/>
              </w:rPr>
              <w:t>Impairment</w:t>
            </w:r>
          </w:p>
        </w:tc>
        <w:tc>
          <w:tcPr>
            <w:tcW w:w="180" w:type="dxa"/>
            <w:vAlign w:val="bottom"/>
            <w:shd w:val="clear" w:color="auto" w:fill="CCEECC"/>
          </w:tcPr>
          <w:p>
            <w:pPr>
              <w:spacing w:after="0"/>
              <w:rPr>
                <w:sz w:val="17"/>
                <w:szCs w:val="17"/>
                <w:color w:val="auto"/>
              </w:rPr>
            </w:pPr>
          </w:p>
        </w:tc>
        <w:tc>
          <w:tcPr>
            <w:tcW w:w="14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c>
          <w:tcPr>
            <w:tcW w:w="80" w:type="dxa"/>
            <w:vAlign w:val="bottom"/>
            <w:shd w:val="clear" w:color="auto" w:fill="CCEECC"/>
          </w:tcPr>
          <w:p>
            <w:pPr>
              <w:spacing w:after="0"/>
              <w:rPr>
                <w:sz w:val="17"/>
                <w:szCs w:val="17"/>
                <w:color w:val="auto"/>
              </w:rPr>
            </w:pP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(59,083)</w:t>
            </w:r>
          </w:p>
        </w:tc>
      </w:tr>
      <w:tr>
        <w:trPr>
          <w:trHeight w:val="20"/>
        </w:trPr>
        <w:tc>
          <w:tcPr>
            <w:tcW w:w="2540" w:type="dxa"/>
            <w:vAlign w:val="bottom"/>
            <w:tcBorders>
              <w:right w:val="single" w:sz="8" w:color="CCEECC"/>
            </w:tcBorders>
            <w:shd w:val="clear" w:color="auto" w:fill="CCEE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Borders>
              <w:right w:val="single" w:sz="8" w:color="CCEECC"/>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80" w:type="dxa"/>
            <w:vAlign w:val="bottom"/>
            <w:tcBorders>
              <w:right w:val="single" w:sz="8" w:color="CCEECC"/>
            </w:tcBorders>
            <w:shd w:val="clear" w:color="auto" w:fill="000000"/>
          </w:tcPr>
          <w:p>
            <w:pPr>
              <w:spacing w:after="0" w:line="20" w:lineRule="exact"/>
              <w:rPr>
                <w:sz w:val="1"/>
                <w:szCs w:val="1"/>
                <w:color w:val="auto"/>
              </w:rPr>
            </w:pPr>
          </w:p>
        </w:tc>
      </w:tr>
      <w:tr>
        <w:trPr>
          <w:trHeight w:val="196"/>
        </w:trPr>
        <w:tc>
          <w:tcPr>
            <w:tcW w:w="2540" w:type="dxa"/>
            <w:vAlign w:val="bottom"/>
          </w:tcPr>
          <w:p>
            <w:pPr>
              <w:ind w:left="220"/>
              <w:spacing w:after="0"/>
              <w:rPr>
                <w:sz w:val="20"/>
                <w:szCs w:val="20"/>
                <w:color w:val="auto"/>
              </w:rPr>
            </w:pPr>
            <w:r>
              <w:rPr>
                <w:rFonts w:ascii="Arial" w:cs="Arial" w:eastAsia="Arial" w:hAnsi="Arial"/>
                <w:sz w:val="17"/>
                <w:szCs w:val="17"/>
                <w:color w:val="auto"/>
              </w:rPr>
              <w:t>Web development costs, net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440" w:type="dxa"/>
            <w:vAlign w:val="bottom"/>
          </w:tcPr>
          <w:p>
            <w:pPr>
              <w:jc w:val="right"/>
              <w:ind w:right="35"/>
              <w:spacing w:after="0"/>
              <w:rPr>
                <w:sz w:val="20"/>
                <w:szCs w:val="20"/>
                <w:color w:val="auto"/>
              </w:rPr>
            </w:pPr>
            <w:r>
              <w:rPr>
                <w:rFonts w:ascii="Arial" w:cs="Arial" w:eastAsia="Arial" w:hAnsi="Arial"/>
                <w:sz w:val="17"/>
                <w:szCs w:val="17"/>
                <w:color w:val="auto"/>
              </w:rPr>
              <w:t>383,116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332,107</w:t>
            </w:r>
          </w:p>
        </w:tc>
      </w:tr>
      <w:tr>
        <w:trPr>
          <w:trHeight w:val="20"/>
        </w:trPr>
        <w:tc>
          <w:tcPr>
            <w:tcW w:w="2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The Company began amortizing the OptimizeRx website costs, using the straight-line method over the estimated useful life of 5 years, once it was put into service in December of 2007. During the year end December 31, 2009, the Company began a new web-based project and the related programming and development costs have been capitalized for the SampleMD website. The project was completed in mid-December 2010 and no amortization was recorded in 2010. Amortization began on the straight-line method in January 2011 over the period of five years. Although the Project was completed in mid-December, the Company continues to enhance and upgrade the website. Monthly payments for these upgrades have been capitalized, but not amortized, as of June 30, 2011. The Company determined that the original OptimizeRx website was no longer useful so the remaining unamortized balance of $59,083 was impaired as of December 31, 2010. Amortization expense was $31,841 for the six months ended June 30, 2011 and $30,827 for the year ended December 31, 2010, respectively.</w:t>
      </w:r>
    </w:p>
    <w:p>
      <w:pPr>
        <w:spacing w:after="0" w:line="154" w:lineRule="exact"/>
        <w:rPr>
          <w:sz w:val="20"/>
          <w:szCs w:val="20"/>
          <w:color w:val="auto"/>
        </w:rPr>
      </w:pPr>
    </w:p>
    <w:p>
      <w:pPr>
        <w:ind w:left="380" w:hanging="378"/>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PATENT RIGHTS AND INTANGIBLE ASSETS</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380" w:hanging="378"/>
        <w:spacing w:after="0"/>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PATENT RIGHTS AND INTANGIBLE ASSETS (CONTINUED)</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the SampleMD patent, which consisted of the following as of June 30, 2011 and December 31, 2010:</w:t>
      </w:r>
    </w:p>
    <w:p>
      <w:pPr>
        <w:spacing w:after="0" w:line="212"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96"/>
              </w:rPr>
              <w:t>June 30, 2011</w:t>
            </w: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89"/>
              </w:rPr>
              <w:t>December 31, 2010</w:t>
            </w:r>
          </w:p>
        </w:tc>
      </w:tr>
      <w:tr>
        <w:trPr>
          <w:trHeight w:val="197"/>
        </w:trPr>
        <w:tc>
          <w:tcPr>
            <w:tcW w:w="2460" w:type="dxa"/>
            <w:vAlign w:val="bottom"/>
            <w:shd w:val="clear" w:color="auto" w:fill="CCEECC"/>
          </w:tcPr>
          <w:p>
            <w:pPr>
              <w:ind w:left="80"/>
              <w:spacing w:after="0"/>
              <w:rPr>
                <w:sz w:val="20"/>
                <w:szCs w:val="20"/>
                <w:color w:val="auto"/>
              </w:rPr>
            </w:pPr>
            <w:r>
              <w:rPr>
                <w:rFonts w:ascii="Arial" w:cs="Arial" w:eastAsia="Arial" w:hAnsi="Arial"/>
                <w:sz w:val="17"/>
                <w:szCs w:val="17"/>
                <w:color w:val="auto"/>
                <w:w w:val="90"/>
              </w:rPr>
              <w:t>Patent rights and intangible assets</w:t>
            </w:r>
          </w:p>
        </w:tc>
        <w:tc>
          <w:tcPr>
            <w:tcW w:w="260" w:type="dxa"/>
            <w:vAlign w:val="bottom"/>
            <w:gridSpan w:val="2"/>
            <w:shd w:val="clear" w:color="auto" w:fill="CCEECC"/>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930,000</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930,000</w:t>
            </w:r>
          </w:p>
        </w:tc>
      </w:tr>
      <w:tr>
        <w:trPr>
          <w:trHeight w:val="204"/>
        </w:trPr>
        <w:tc>
          <w:tcPr>
            <w:tcW w:w="2460" w:type="dxa"/>
            <w:vAlign w:val="bottom"/>
          </w:tcPr>
          <w:p>
            <w:pPr>
              <w:ind w:left="80"/>
              <w:spacing w:after="0"/>
              <w:rPr>
                <w:sz w:val="20"/>
                <w:szCs w:val="20"/>
                <w:color w:val="auto"/>
              </w:rPr>
            </w:pPr>
            <w:r>
              <w:rPr>
                <w:rFonts w:ascii="Arial" w:cs="Arial" w:eastAsia="Arial" w:hAnsi="Arial"/>
                <w:sz w:val="17"/>
                <w:szCs w:val="17"/>
                <w:color w:val="auto"/>
              </w:rPr>
              <w:t>Accumulated amortization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(54,706)</w:t>
            </w:r>
          </w:p>
        </w:tc>
        <w:tc>
          <w:tcPr>
            <w:tcW w:w="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(27,353)</w:t>
            </w:r>
          </w:p>
        </w:tc>
      </w:tr>
      <w:tr>
        <w:trPr>
          <w:trHeight w:val="184"/>
        </w:trPr>
        <w:tc>
          <w:tcPr>
            <w:tcW w:w="2460" w:type="dxa"/>
            <w:vAlign w:val="bottom"/>
            <w:shd w:val="clear" w:color="auto" w:fill="CCEECC"/>
          </w:tcPr>
          <w:p>
            <w:pPr>
              <w:ind w:left="220"/>
              <w:spacing w:after="0" w:line="184" w:lineRule="exact"/>
              <w:rPr>
                <w:sz w:val="20"/>
                <w:szCs w:val="20"/>
                <w:color w:val="auto"/>
              </w:rPr>
            </w:pPr>
            <w:r>
              <w:rPr>
                <w:rFonts w:ascii="Arial" w:cs="Arial" w:eastAsia="Arial" w:hAnsi="Arial"/>
                <w:sz w:val="17"/>
                <w:szCs w:val="17"/>
                <w:color w:val="auto"/>
              </w:rPr>
              <w:t>Patent rights and intangible</w:t>
            </w:r>
          </w:p>
        </w:tc>
        <w:tc>
          <w:tcPr>
            <w:tcW w:w="80" w:type="dxa"/>
            <w:vAlign w:val="bottom"/>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440" w:type="dxa"/>
            <w:vAlign w:val="bottom"/>
            <w:tcBorders>
              <w:top w:val="single" w:sz="8" w:color="auto"/>
              <w:right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480" w:type="dxa"/>
            <w:vAlign w:val="bottom"/>
            <w:tcBorders>
              <w:top w:val="single" w:sz="8" w:color="auto"/>
              <w:right w:val="single" w:sz="8" w:color="CCEECC"/>
            </w:tcBorders>
            <w:shd w:val="clear" w:color="auto" w:fill="CCEECC"/>
          </w:tcPr>
          <w:p>
            <w:pPr>
              <w:spacing w:after="0"/>
              <w:rPr>
                <w:sz w:val="15"/>
                <w:szCs w:val="15"/>
                <w:color w:val="auto"/>
              </w:rPr>
            </w:pPr>
          </w:p>
        </w:tc>
      </w:tr>
      <w:tr>
        <w:trPr>
          <w:trHeight w:val="236"/>
        </w:trPr>
        <w:tc>
          <w:tcPr>
            <w:tcW w:w="2460" w:type="dxa"/>
            <w:vAlign w:val="bottom"/>
            <w:shd w:val="clear" w:color="auto" w:fill="CCEECC"/>
          </w:tcPr>
          <w:p>
            <w:pPr>
              <w:ind w:left="80"/>
              <w:spacing w:after="0"/>
              <w:rPr>
                <w:sz w:val="20"/>
                <w:szCs w:val="20"/>
                <w:color w:val="auto"/>
              </w:rPr>
            </w:pPr>
            <w:r>
              <w:rPr>
                <w:rFonts w:ascii="Arial" w:cs="Arial" w:eastAsia="Arial" w:hAnsi="Arial"/>
                <w:sz w:val="17"/>
                <w:szCs w:val="17"/>
                <w:color w:val="auto"/>
              </w:rPr>
              <w:t>assets, net</w:t>
            </w:r>
          </w:p>
        </w:tc>
        <w:tc>
          <w:tcPr>
            <w:tcW w:w="260" w:type="dxa"/>
            <w:vAlign w:val="bottom"/>
            <w:gridSpan w:val="2"/>
            <w:shd w:val="clear" w:color="auto" w:fill="CCEECC"/>
          </w:tcPr>
          <w:p>
            <w:pPr>
              <w:jc w:val="right"/>
              <w:ind w:right="100"/>
              <w:spacing w:after="0"/>
              <w:rPr>
                <w:sz w:val="20"/>
                <w:szCs w:val="20"/>
                <w:color w:val="auto"/>
              </w:rPr>
            </w:pPr>
            <w:r>
              <w:rPr>
                <w:rFonts w:ascii="Arial" w:cs="Arial" w:eastAsia="Arial" w:hAnsi="Arial"/>
                <w:sz w:val="17"/>
                <w:szCs w:val="17"/>
                <w:color w:val="auto"/>
              </w:rPr>
              <w:t>$</w:t>
            </w:r>
          </w:p>
        </w:tc>
        <w:tc>
          <w:tcPr>
            <w:tcW w:w="1440" w:type="dxa"/>
            <w:vAlign w:val="bottom"/>
            <w:tcBorders>
              <w:right w:val="single" w:sz="8" w:color="CCEECC"/>
            </w:tcBorders>
            <w:shd w:val="clear" w:color="auto" w:fill="CCEECC"/>
          </w:tcPr>
          <w:p>
            <w:pPr>
              <w:jc w:val="right"/>
              <w:ind w:right="35"/>
              <w:spacing w:after="0"/>
              <w:rPr>
                <w:sz w:val="20"/>
                <w:szCs w:val="20"/>
                <w:color w:val="auto"/>
              </w:rPr>
            </w:pPr>
            <w:r>
              <w:rPr>
                <w:rFonts w:ascii="Arial" w:cs="Arial" w:eastAsia="Arial" w:hAnsi="Arial"/>
                <w:sz w:val="17"/>
                <w:szCs w:val="17"/>
                <w:color w:val="auto"/>
              </w:rPr>
              <w:t>875,294</w:t>
            </w:r>
          </w:p>
        </w:tc>
        <w:tc>
          <w:tcPr>
            <w:tcW w:w="8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902,647</w:t>
            </w:r>
          </w:p>
        </w:tc>
      </w:tr>
      <w:tr>
        <w:trPr>
          <w:trHeight w:val="20"/>
        </w:trPr>
        <w:tc>
          <w:tcPr>
            <w:tcW w:w="246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$27,353 for the six months ended June 30, 2011 and $27,353 for the year ended December 31, 2010, respectively.</w:t>
      </w:r>
    </w:p>
    <w:p>
      <w:pPr>
        <w:spacing w:after="0" w:line="200" w:lineRule="exact"/>
        <w:rPr>
          <w:sz w:val="20"/>
          <w:szCs w:val="20"/>
          <w:color w:val="auto"/>
        </w:rPr>
      </w:pPr>
    </w:p>
    <w:p>
      <w:pPr>
        <w:ind w:left="380" w:hanging="378"/>
        <w:spacing w:after="0"/>
        <w:tabs>
          <w:tab w:leader="none" w:pos="3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ACCRUED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Accrued expenses consisted of the following as of June 30, 2011 and December 31, 2010:</w:t>
      </w:r>
    </w:p>
    <w:p>
      <w:pPr>
        <w:spacing w:after="0" w:line="212" w:lineRule="exact"/>
        <w:rPr>
          <w:sz w:val="20"/>
          <w:szCs w:val="20"/>
          <w:color w:val="auto"/>
        </w:rPr>
      </w:pPr>
    </w:p>
    <w:tbl>
      <w:tblPr>
        <w:tblLayout w:type="fixed"/>
        <w:tblInd w:w="3440" w:type="dxa"/>
        <w:tblCellMar>
          <w:top w:w="0" w:type="dxa"/>
          <w:left w:w="0" w:type="dxa"/>
          <w:bottom w:w="0" w:type="dxa"/>
          <w:right w:w="0" w:type="dxa"/>
        </w:tblCellMar>
      </w:tblPr>
      <w:tr>
        <w:trPr>
          <w:trHeight w:val="204"/>
        </w:trPr>
        <w:tc>
          <w:tcPr>
            <w:tcW w:w="1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75"/>
              <w:spacing w:after="0"/>
              <w:rPr>
                <w:sz w:val="20"/>
                <w:szCs w:val="20"/>
                <w:color w:val="auto"/>
              </w:rPr>
            </w:pPr>
            <w:r>
              <w:rPr>
                <w:rFonts w:ascii="Arial" w:cs="Arial" w:eastAsia="Arial" w:hAnsi="Arial"/>
                <w:sz w:val="17"/>
                <w:szCs w:val="17"/>
                <w:color w:val="auto"/>
                <w:w w:val="89"/>
              </w:rPr>
              <w:t>December 31,</w:t>
            </w:r>
          </w:p>
        </w:tc>
      </w:tr>
      <w:tr>
        <w:trPr>
          <w:trHeight w:val="216"/>
        </w:trPr>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June 30, 2011</w:t>
            </w: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2010</w:t>
            </w:r>
          </w:p>
        </w:tc>
      </w:tr>
      <w:tr>
        <w:trPr>
          <w:trHeight w:val="197"/>
        </w:trPr>
        <w:tc>
          <w:tcPr>
            <w:tcW w:w="1780" w:type="dxa"/>
            <w:vAlign w:val="bottom"/>
            <w:shd w:val="clear" w:color="auto" w:fill="CCEECC"/>
          </w:tcPr>
          <w:p>
            <w:pPr>
              <w:ind w:left="80"/>
              <w:spacing w:after="0"/>
              <w:rPr>
                <w:sz w:val="20"/>
                <w:szCs w:val="20"/>
                <w:color w:val="auto"/>
              </w:rPr>
            </w:pPr>
            <w:r>
              <w:rPr>
                <w:rFonts w:ascii="Arial" w:cs="Arial" w:eastAsia="Arial" w:hAnsi="Arial"/>
                <w:sz w:val="17"/>
                <w:szCs w:val="17"/>
                <w:color w:val="auto"/>
              </w:rPr>
              <w:t>Accrued payroll taxes</w:t>
            </w:r>
          </w:p>
        </w:tc>
        <w:tc>
          <w:tcPr>
            <w:tcW w:w="1320" w:type="dxa"/>
            <w:vAlign w:val="bottom"/>
            <w:gridSpan w:val="2"/>
            <w:shd w:val="clear" w:color="auto" w:fill="CCEECC"/>
          </w:tcPr>
          <w:p>
            <w:pPr>
              <w:jc w:val="right"/>
              <w:ind w:right="941"/>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700</w:t>
            </w:r>
          </w:p>
        </w:tc>
      </w:tr>
      <w:tr>
        <w:trPr>
          <w:trHeight w:val="204"/>
        </w:trPr>
        <w:tc>
          <w:tcPr>
            <w:tcW w:w="1780" w:type="dxa"/>
            <w:vAlign w:val="bottom"/>
          </w:tcPr>
          <w:p>
            <w:pPr>
              <w:ind w:left="80"/>
              <w:spacing w:after="0"/>
              <w:rPr>
                <w:sz w:val="20"/>
                <w:szCs w:val="20"/>
                <w:color w:val="auto"/>
              </w:rPr>
            </w:pPr>
            <w:r>
              <w:rPr>
                <w:rFonts w:ascii="Arial" w:cs="Arial" w:eastAsia="Arial" w:hAnsi="Arial"/>
                <w:sz w:val="17"/>
                <w:szCs w:val="17"/>
                <w:color w:val="auto"/>
              </w:rPr>
              <w:t>Accrued audit fees</w:t>
            </w:r>
          </w:p>
        </w:tc>
        <w:tc>
          <w:tcPr>
            <w:tcW w:w="2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0</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5,000</w:t>
            </w:r>
          </w:p>
        </w:tc>
      </w:tr>
      <w:tr>
        <w:trPr>
          <w:trHeight w:val="216"/>
        </w:trPr>
        <w:tc>
          <w:tcPr>
            <w:tcW w:w="1780" w:type="dxa"/>
            <w:vAlign w:val="bottom"/>
            <w:shd w:val="clear" w:color="auto" w:fill="CCEECC"/>
          </w:tcPr>
          <w:p>
            <w:pPr>
              <w:ind w:left="24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CC"/>
          </w:tcPr>
          <w:p>
            <w:pPr>
              <w:spacing w:after="0"/>
              <w:rPr>
                <w:sz w:val="18"/>
                <w:szCs w:val="18"/>
                <w:color w:val="auto"/>
              </w:rPr>
            </w:pPr>
          </w:p>
        </w:tc>
        <w:tc>
          <w:tcPr>
            <w:tcW w:w="1100" w:type="dxa"/>
            <w:vAlign w:val="bottom"/>
            <w:shd w:val="clear" w:color="auto" w:fill="CCEECC"/>
          </w:tcPr>
          <w:p>
            <w:pPr>
              <w:jc w:val="right"/>
              <w:ind w:right="941"/>
              <w:spacing w:after="0"/>
              <w:rPr>
                <w:sz w:val="20"/>
                <w:szCs w:val="20"/>
                <w:color w:val="auto"/>
              </w:rPr>
            </w:pPr>
            <w:r>
              <w:rPr>
                <w:rFonts w:ascii="Arial" w:cs="Arial" w:eastAsia="Arial" w:hAnsi="Arial"/>
                <w:sz w:val="15"/>
                <w:szCs w:val="15"/>
                <w:color w:val="auto"/>
                <w:w w:val="71"/>
              </w:rPr>
              <w:t>$</w:t>
            </w:r>
          </w:p>
        </w:tc>
        <w:tc>
          <w:tcPr>
            <w:tcW w:w="2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w w:val="84"/>
              </w:rPr>
              <w:t>0</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5,700</w:t>
            </w:r>
          </w:p>
        </w:tc>
      </w:tr>
      <w:tr>
        <w:trPr>
          <w:trHeight w:val="20"/>
        </w:trPr>
        <w:tc>
          <w:tcPr>
            <w:tcW w:w="178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ind w:left="380" w:hanging="378"/>
        <w:spacing w:after="0"/>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DEFERRED REVENUE</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signed several contracts with customers for coupon redemptions on their website. The payments are not taken into revenue until the end user redeems the coupon. The redemptions are tracked via their website and revenues are recorded as the coupons are redeemed. Deferred revenue was $152,610 and $225,720 as of June 30, 2011 and December 31, 2010, respectively.</w:t>
      </w:r>
    </w:p>
    <w:p>
      <w:pPr>
        <w:spacing w:after="0" w:line="176" w:lineRule="exact"/>
        <w:rPr>
          <w:sz w:val="20"/>
          <w:szCs w:val="20"/>
          <w:color w:val="auto"/>
        </w:rPr>
      </w:pPr>
    </w:p>
    <w:p>
      <w:pPr>
        <w:ind w:left="380" w:hanging="378"/>
        <w:spacing w:after="0"/>
        <w:tabs>
          <w:tab w:leader="none" w:pos="3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NOTE PAYABLE</w:t>
      </w:r>
    </w:p>
    <w:p>
      <w:pPr>
        <w:spacing w:after="0" w:line="212"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On October 5, 2010, the Company issued a secured promissory note of $1,000,000 to an investor. The note accrues interest at 6% per annum, compounded on April and October each year and will be paid at the earliest of September 12, 2012 or earlier at the Company’s option. No principal or interest payments are required until the maturity date. Accrued interest was $15,000 as of December 31, 2010. The terms of the note also granted 1,000,000 stock warrants and 1,000,000 contingent stock warrants in connection with the financing. The non-contingent warrants were valued at $1,007,992 with $1,000,000 recorded as debt discount and $7,992 recorded as interest expense in the December 31, 2010 year. The Company analyzed the assumptions associated with the contingent warrants and determined that the performance objectives were not likely to occur in 2011. Therefore, no value was recorded for the contingent warrants. The debt discount derived from the warrant valuation of $1,000,000 will be amortized over the life of the loan using the straight-line method and charged to interest expense. As of June 30, 2011 and December 31, 2010, $333,333 and $83,333, respectively, had been amortized with the remaining balance of $666,667 at June 30, 2011 to be amortized through October 5, 2012.</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10. COMMON STOCK</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OptimizeRx Corporation has 500,000,000 shares of $.001 par value common stock authorized as of December 31, 2010. There were 13,869,202 and 13,606,676 common shares issued and outstanding at June 30, 2011 and December 31, 2010, respectively.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On March 11, 2010, the Company issued 12,000 shares of common stock for services valued at $27,960.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April 20, 2010, the Company issued 66,000 shares to board members for services valued at $130,680.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Additionally on May 27, 2010, the Company issued 25,000 for services valued at $42,500.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September 27, 2010, the Company issued 100,000 shares of common stock for services valued at $100,000.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October 14, 2010, the Company issued 24,000 shares to a board member or advisory services valued at $30,000.</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2010, the Company issued 410,520 shares of common stock to satisfy $700,000 of preferred dividends.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February 19, 2010, 75,400 stock warrants were exercised for 43,039 shares of common stock in a cashless exchange.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On May 19, 2010, 25,000 stock warrants were exercised for 25,000 shares of common stock for total proceeds of $8,750.</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April 26,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June 30, 2011, the Company issued 252,526 shares of common stock to satisfy $250,000 of preferred dividends.</w:t>
      </w:r>
    </w:p>
    <w:p>
      <w:pPr>
        <w:spacing w:after="0" w:line="2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On June 30, 2011, the Company entered into a settlement agreement with Midtown Partners. Under the settlement agreement, the Company will pay Midtown Partners $57,500 and grant 100,000 shares of its common stock. The cost of the settlement has been recorded as equity issuance costs. As a result of the settlement, the litigation in the Eastern District of Michigan will be dismissed.</w:t>
      </w:r>
    </w:p>
    <w:p>
      <w:pPr>
        <w:spacing w:after="0" w:line="182" w:lineRule="exact"/>
        <w:rPr>
          <w:sz w:val="20"/>
          <w:szCs w:val="20"/>
          <w:color w:val="auto"/>
        </w:rPr>
      </w:pPr>
    </w:p>
    <w:p>
      <w:pPr>
        <w:ind w:right="9580" w:firstLine="2"/>
        <w:spacing w:after="0" w:line="566" w:lineRule="auto"/>
        <w:tabs>
          <w:tab w:leader="none" w:pos="290" w:val="left"/>
        </w:tabs>
        <w:numPr>
          <w:ilvl w:val="0"/>
          <w:numId w:val="14"/>
        </w:numPr>
        <w:rPr>
          <w:rFonts w:ascii="Arial" w:cs="Arial" w:eastAsia="Arial" w:hAnsi="Arial"/>
          <w:sz w:val="15"/>
          <w:szCs w:val="15"/>
          <w:color w:val="auto"/>
        </w:rPr>
      </w:pPr>
      <w:r>
        <w:rPr>
          <w:rFonts w:ascii="Arial" w:cs="Arial" w:eastAsia="Arial" w:hAnsi="Arial"/>
          <w:sz w:val="15"/>
          <w:szCs w:val="15"/>
          <w:color w:val="auto"/>
        </w:rPr>
        <w:t xml:space="preserve">PREFERRED STOCK </w:t>
      </w:r>
      <w:r>
        <w:rPr>
          <w:rFonts w:ascii="Arial" w:cs="Arial" w:eastAsia="Arial" w:hAnsi="Arial"/>
          <w:sz w:val="15"/>
          <w:szCs w:val="15"/>
          <w:u w:val="single" w:color="auto"/>
          <w:color w:val="auto"/>
        </w:rPr>
        <w:t>Series A Preferred</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3" w:name="page14"/>
    <w:bookmarkEnd w:id="13"/>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11. PREFERRED STOCK (CONTINUED)</w:t>
      </w:r>
    </w:p>
    <w:p>
      <w:pPr>
        <w:spacing w:after="0" w:line="212" w:lineRule="exact"/>
        <w:rPr>
          <w:sz w:val="20"/>
          <w:szCs w:val="20"/>
          <w:color w:val="auto"/>
        </w:rPr>
      </w:pPr>
    </w:p>
    <w:p>
      <w:pPr>
        <w:jc w:val="both"/>
        <w:ind w:left="20"/>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50"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76"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Series B Preferred</w:t>
      </w:r>
    </w:p>
    <w:p>
      <w:pPr>
        <w:spacing w:after="0" w:line="212" w:lineRule="exact"/>
        <w:rPr>
          <w:sz w:val="20"/>
          <w:szCs w:val="20"/>
          <w:color w:val="auto"/>
        </w:rPr>
      </w:pPr>
    </w:p>
    <w:p>
      <w:pPr>
        <w:jc w:val="both"/>
        <w:ind w:left="20"/>
        <w:spacing w:after="0" w:line="261" w:lineRule="auto"/>
        <w:rPr>
          <w:sz w:val="20"/>
          <w:szCs w:val="20"/>
          <w:color w:val="auto"/>
        </w:rPr>
      </w:pPr>
      <w:r>
        <w:rPr>
          <w:rFonts w:ascii="Arial" w:cs="Arial" w:eastAsia="Arial" w:hAnsi="Arial"/>
          <w:sz w:val="17"/>
          <w:szCs w:val="17"/>
          <w:color w:val="auto"/>
        </w:rPr>
        <w:t>During the year ended December 31, 2010, 15 preferred shares were issued for $1,500,000. The 15 shares are convertible to 1,500,000 shares of common stock and bear a 10% cumulative dividend. In addition, there was a warrant issued to purchase 2,000,000 shares of common stock at an exercise price of $3 for a period of seven years.</w:t>
      </w:r>
    </w:p>
    <w:p>
      <w:pPr>
        <w:spacing w:after="0" w:line="176" w:lineRule="exact"/>
        <w:rPr>
          <w:sz w:val="20"/>
          <w:szCs w:val="20"/>
          <w:color w:val="auto"/>
        </w:rPr>
      </w:pPr>
    </w:p>
    <w:p>
      <w:pPr>
        <w:jc w:val="both"/>
        <w:ind w:left="20"/>
        <w:spacing w:after="0" w:line="312" w:lineRule="auto"/>
        <w:rPr>
          <w:sz w:val="20"/>
          <w:szCs w:val="20"/>
          <w:color w:val="auto"/>
        </w:rPr>
      </w:pPr>
      <w:r>
        <w:rPr>
          <w:rFonts w:ascii="Arial" w:cs="Arial" w:eastAsia="Arial" w:hAnsi="Arial"/>
          <w:sz w:val="15"/>
          <w:szCs w:val="15"/>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7"/>
          <w:szCs w:val="17"/>
          <w:u w:val="single" w:color="auto"/>
          <w:color w:val="auto"/>
        </w:rPr>
        <w:t>Series B Preferred</w:t>
      </w:r>
    </w:p>
    <w:p>
      <w:pPr>
        <w:spacing w:after="0" w:line="212" w:lineRule="exact"/>
        <w:rPr>
          <w:sz w:val="20"/>
          <w:szCs w:val="20"/>
          <w:color w:val="auto"/>
        </w:rPr>
      </w:pPr>
    </w:p>
    <w:p>
      <w:pPr>
        <w:jc w:val="both"/>
        <w:ind w:left="20"/>
        <w:spacing w:after="0" w:line="298" w:lineRule="auto"/>
        <w:rPr>
          <w:sz w:val="20"/>
          <w:szCs w:val="20"/>
          <w:color w:val="auto"/>
        </w:rPr>
      </w:pPr>
      <w:r>
        <w:rPr>
          <w:rFonts w:ascii="Arial" w:cs="Arial" w:eastAsia="Arial" w:hAnsi="Arial"/>
          <w:sz w:val="15"/>
          <w:szCs w:val="15"/>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13335</wp:posOffset>
            </wp:positionV>
            <wp:extent cx="72542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40"/>
          </w:cols>
          <w:pgMar w:left="220" w:top="229"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11. PREFERRED STOCK (CONTINUED)</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March 25, 2011, the Company’s Board declared and issued 75,758 common shares for its semi-annual dividend payment.</w:t>
      </w:r>
    </w:p>
    <w:p>
      <w:pPr>
        <w:spacing w:after="0" w:line="176"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In the event the Company has added at least 1,750 active physicians to the system, and added 35 brands, the Company may issue and sell at its option, and the Purchaser agrees to purchase, up to 15 shares of the Company’s Series B Preferred Stock at a subsequent date, provided that the date cannot occur earlier than November 1, 2010. If the conditions have not been fulfilled prior to June 30, 2011, the Purchaser shall have no obligation to purchase any securities from the Company.</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12. STOCK OPTIONS AND WARRANTS</w:t>
      </w:r>
    </w:p>
    <w:p>
      <w:pPr>
        <w:spacing w:after="0" w:line="212" w:lineRule="exact"/>
        <w:rPr>
          <w:sz w:val="20"/>
          <w:szCs w:val="20"/>
          <w:color w:val="auto"/>
        </w:rPr>
      </w:pPr>
    </w:p>
    <w:p>
      <w:pPr>
        <w:jc w:val="both"/>
        <w:spacing w:after="0" w:line="342" w:lineRule="auto"/>
        <w:rPr>
          <w:sz w:val="20"/>
          <w:szCs w:val="20"/>
          <w:color w:val="auto"/>
        </w:rPr>
      </w:pPr>
      <w:r>
        <w:rPr>
          <w:rFonts w:ascii="Arial" w:cs="Arial" w:eastAsia="Arial" w:hAnsi="Arial"/>
          <w:sz w:val="15"/>
          <w:szCs w:val="15"/>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January 6, 2010, the Company issued 25,000 stock warrants for services to a consultant with an exercise price of $0.35. The warrants were valued on the grant date using the Black-Scholes option-pricing model with the following assumptions: dividend yield of 0%, expected volatility of 259%, risk-free interest rate of 2.6% and expected life of 60 months. The Company recognized consulting expense of $57,425.</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4, 2010, the Company issued 3,000,000 stock warrants in connection with the preferred stock issuance with an exercise price of $3.00. The warrants were valued on the grant date using the Black-Scholes option-pricing model with the following assumptions: dividend yield of 0%, expected volatility of 260%, risk-free interest rate of 2.65% and expected life of 84 months. The Company recorded the stock warrants valued at $5,096,472 in an equity transaction.</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On July 1, 2010, the Company issued 100,000 stock warrants for services to a consultant with an exercise price of $2.50. The warrants were valued on the grant date using the Black-Scholes option-pricing model with the following assumptions: dividend yield of 0%, expected volatility of 241%, risk-free interest rate of 1.26% and expected life of 60 months. The Company recognized consulting expense of $129,000.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560" w:hanging="558"/>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STOCK OPTIONS AND WARRANTS (CONTINUED)</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On October 5, 2010, the Company issued 1,000,000 stock warrants and 1,000,000 contingent stock warrants in connection with the Company’s debt financing with an exercise price of $2.25. The warrants were valued on the grant date using the Black-Scholes option-pricing model with the following assumptions: dividend yield of 0%, expected volatility of 241%, risk-free interest rate of 1.83% and expected life of 84 months. The non-contingent warrants were valued at $1,007,992 with $1,000,000 recorded as debt discount and $7,992 recorded as interest expense in the current period. The company analyzed the assumptions associated with the contingent warrants and determined that the performance objectives were not likely to occur in 2011. Therefore, no value was recorded for the contingent warrants. The Company recorded $250,000 and $83,333 of the debt discount as interest expense in the six months ended June 30, 2011 and the year ended December 31, 2010 with the remaining balance of $666,667 to be amortized over the remaining term of the loan. See Note 9.</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On April 26, 2010, the Company issued 200,000 stock options to acquire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with an exercise price of $1.81. The options were valued on the grant date using the Black-Scholes option-pricing model with the following assumptions: dividend yield of 0%, expected volatility of 262%, risk-free interest rate of 2.54% and expected life of 60 months. The Company capitalized $360,000 as patent rights for these options.</w:t>
      </w:r>
    </w:p>
    <w:p>
      <w:pPr>
        <w:spacing w:after="0" w:line="183"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October 1, 2010, the Company issued 25,000 stock options to an employee with a vesting period of one year and an exercise price of $1.21. The options were valued on the grant date using the Black-Scholes option-pricing model with the following assumptions: dividend yield of 0%, expected volatility of 241%, risk-free interest rate of 1.26% and expected life of 60 months. The Company recognized share-based compensation expense of $6,203 during the year ended December 31, 2010 with the remaining balance of $18,610 to be recognized in 2011. $6,203 has been recognized in the six months ended June 30, 2011.</w:t>
      </w:r>
    </w:p>
    <w:p>
      <w:pPr>
        <w:spacing w:after="0" w:line="16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April 27, 2011, the Company issued 100,000 stock options to an individual at an exercise price of $0.73. The options were valued on the grant date using the Black-Scholes option-pricing model with the following assumptions: dividend yield of 0%, expected volatility of 221%, risk-free interest rate of 2.06% and expected life of 60 months. The agreement is for a period of six months. The Company recognized expenses of $27,717 during the six months ended June 30, 2011 with the remaining balance of $66,275 recorded as prepaid consulting to be expensed over the next four months.</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$26,715 during the six months ended June 30, 2011. The remaining balance will be recognized over the following eleven months.</w:t>
      </w:r>
    </w:p>
    <w:p>
      <w:pPr>
        <w:spacing w:after="0" w:line="162" w:lineRule="exact"/>
        <w:rPr>
          <w:sz w:val="20"/>
          <w:szCs w:val="20"/>
          <w:color w:val="auto"/>
        </w:rPr>
      </w:pPr>
    </w:p>
    <w:p>
      <w:pPr>
        <w:ind w:left="560" w:hanging="558"/>
        <w:spacing w:after="0"/>
        <w:tabs>
          <w:tab w:leader="none" w:pos="5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their offices for $2,500 a month on a month-to-month rental.</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ind w:left="560" w:hanging="558"/>
        <w:spacing w:after="0"/>
        <w:tabs>
          <w:tab w:leader="none" w:pos="5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RELATED PARTY TRANSACTIONS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 See Notes 6, 10 and 12.</w:t>
      </w:r>
    </w:p>
    <w:p>
      <w:pPr>
        <w:spacing w:after="0" w:line="180" w:lineRule="exact"/>
        <w:rPr>
          <w:sz w:val="20"/>
          <w:szCs w:val="20"/>
          <w:color w:val="auto"/>
        </w:rPr>
      </w:pPr>
    </w:p>
    <w:p>
      <w:pPr>
        <w:ind w:left="560" w:hanging="558"/>
        <w:spacing w:after="0"/>
        <w:tabs>
          <w:tab w:leader="none" w:pos="5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MAJOR CUSTOMERS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one major customer that accounted for 50% of the Company’s revenues and has two major customers that accounted for approximately 55% of revenues for the six months ended June 30, 2011 and for the year ended December 31, 2010, respectively. The Company expects to continue to maintain these relationships with the customers.</w:t>
      </w:r>
    </w:p>
    <w:p>
      <w:pPr>
        <w:spacing w:after="0" w:line="176" w:lineRule="exact"/>
        <w:rPr>
          <w:sz w:val="20"/>
          <w:szCs w:val="20"/>
          <w:color w:val="auto"/>
        </w:rPr>
      </w:pPr>
    </w:p>
    <w:p>
      <w:pPr>
        <w:ind w:left="560" w:hanging="558"/>
        <w:spacing w:after="0"/>
        <w:tabs>
          <w:tab w:leader="none" w:pos="5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INCOME TAXES</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For the six months ended June 30, 2011, the Company incurred a net loss of approximately $648,000 and therefore has no tax liability. The Company began operations in 2007 and has previous net operating loss carry-forwards of $11,359,000 through December 31, 2010. The cumulative loss of $12,007,000 will be carried forward and can be used through the year 2031 to offset future taxable income. In the future, the cumulative net operating loss carry-forward for income tax purposes may differ from the cumulative financial statement loss due to timing differences between book and tax reporting.</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provision for Federal income tax consists of the following for the six months ended June 30, 2011 and 2010:</w:t>
      </w:r>
    </w:p>
    <w:p>
      <w:pPr>
        <w:spacing w:after="0" w:line="212"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w w:val="90"/>
              </w:rPr>
              <w:t>June 30, 2011</w:t>
            </w:r>
          </w:p>
        </w:tc>
        <w:tc>
          <w:tcPr>
            <w:tcW w:w="60" w:type="dxa"/>
            <w:vAlign w:val="bottom"/>
          </w:tcPr>
          <w:p>
            <w:pPr>
              <w:spacing w:after="0"/>
              <w:rPr>
                <w:sz w:val="18"/>
                <w:szCs w:val="18"/>
                <w:color w:val="auto"/>
              </w:rPr>
            </w:pPr>
          </w:p>
        </w:tc>
        <w:tc>
          <w:tcPr>
            <w:tcW w:w="10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w w:val="89"/>
              </w:rPr>
              <w:t>June 30, 2010</w:t>
            </w:r>
          </w:p>
        </w:tc>
      </w:tr>
      <w:tr>
        <w:trPr>
          <w:trHeight w:val="184"/>
        </w:trPr>
        <w:tc>
          <w:tcPr>
            <w:tcW w:w="2420" w:type="dxa"/>
            <w:vAlign w:val="bottom"/>
            <w:shd w:val="clear" w:color="auto" w:fill="CCEECC"/>
          </w:tcPr>
          <w:p>
            <w:pPr>
              <w:spacing w:after="0" w:line="185" w:lineRule="exact"/>
              <w:rPr>
                <w:sz w:val="20"/>
                <w:szCs w:val="20"/>
                <w:color w:val="auto"/>
              </w:rPr>
            </w:pPr>
            <w:r>
              <w:rPr>
                <w:rFonts w:ascii="Arial" w:cs="Arial" w:eastAsia="Arial" w:hAnsi="Arial"/>
                <w:sz w:val="17"/>
                <w:szCs w:val="17"/>
                <w:color w:val="auto"/>
              </w:rPr>
              <w:t>Federal income tax benefit</w:t>
            </w:r>
          </w:p>
        </w:tc>
        <w:tc>
          <w:tcPr>
            <w:tcW w:w="22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760" w:type="dxa"/>
            <w:vAlign w:val="bottom"/>
            <w:shd w:val="clear" w:color="auto" w:fill="CCEECC"/>
          </w:tcPr>
          <w:p>
            <w:pPr>
              <w:spacing w:after="0"/>
              <w:rPr>
                <w:sz w:val="16"/>
                <w:szCs w:val="16"/>
                <w:color w:val="auto"/>
              </w:rPr>
            </w:pPr>
          </w:p>
        </w:tc>
        <w:tc>
          <w:tcPr>
            <w:tcW w:w="60" w:type="dxa"/>
            <w:vAlign w:val="bottom"/>
            <w:shd w:val="clear" w:color="auto" w:fill="CCEECC"/>
          </w:tcPr>
          <w:p>
            <w:pPr>
              <w:spacing w:after="0"/>
              <w:rPr>
                <w:sz w:val="16"/>
                <w:szCs w:val="16"/>
                <w:color w:val="auto"/>
              </w:rPr>
            </w:pPr>
          </w:p>
        </w:tc>
      </w:tr>
      <w:tr>
        <w:trPr>
          <w:trHeight w:val="216"/>
        </w:trPr>
        <w:tc>
          <w:tcPr>
            <w:tcW w:w="2420" w:type="dxa"/>
            <w:vAlign w:val="bottom"/>
            <w:shd w:val="clear" w:color="auto" w:fill="CCEECC"/>
          </w:tcPr>
          <w:p>
            <w:pPr>
              <w:spacing w:after="0"/>
              <w:rPr>
                <w:sz w:val="20"/>
                <w:szCs w:val="20"/>
                <w:color w:val="auto"/>
              </w:rPr>
            </w:pPr>
            <w:r>
              <w:rPr>
                <w:rFonts w:ascii="Arial" w:cs="Arial" w:eastAsia="Arial" w:hAnsi="Arial"/>
                <w:sz w:val="17"/>
                <w:szCs w:val="17"/>
                <w:color w:val="auto"/>
              </w:rPr>
              <w:t>attributable to:</w:t>
            </w: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04"/>
        </w:trPr>
        <w:tc>
          <w:tcPr>
            <w:tcW w:w="2420" w:type="dxa"/>
            <w:vAlign w:val="bottom"/>
          </w:tcPr>
          <w:p>
            <w:pPr>
              <w:ind w:left="40"/>
              <w:spacing w:after="0"/>
              <w:rPr>
                <w:sz w:val="20"/>
                <w:szCs w:val="20"/>
                <w:color w:val="auto"/>
              </w:rPr>
            </w:pPr>
            <w:r>
              <w:rPr>
                <w:rFonts w:ascii="Arial" w:cs="Arial" w:eastAsia="Arial" w:hAnsi="Arial"/>
                <w:sz w:val="17"/>
                <w:szCs w:val="17"/>
                <w:color w:val="auto"/>
              </w:rPr>
              <w:t>Current operations</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220,000</w:t>
            </w:r>
          </w:p>
        </w:tc>
        <w:tc>
          <w:tcPr>
            <w:tcW w:w="60" w:type="dxa"/>
            <w:vAlign w:val="bottom"/>
          </w:tcPr>
          <w:p>
            <w:pPr>
              <w:spacing w:after="0"/>
              <w:rPr>
                <w:sz w:val="17"/>
                <w:szCs w:val="17"/>
                <w:color w:val="auto"/>
              </w:rPr>
            </w:pPr>
          </w:p>
        </w:tc>
        <w:tc>
          <w:tcPr>
            <w:tcW w:w="28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386,000</w:t>
            </w:r>
          </w:p>
        </w:tc>
        <w:tc>
          <w:tcPr>
            <w:tcW w:w="60" w:type="dxa"/>
            <w:vAlign w:val="bottom"/>
          </w:tcPr>
          <w:p>
            <w:pPr>
              <w:spacing w:after="0"/>
              <w:rPr>
                <w:sz w:val="17"/>
                <w:szCs w:val="17"/>
                <w:color w:val="auto"/>
              </w:rPr>
            </w:pPr>
          </w:p>
        </w:tc>
      </w:tr>
      <w:tr>
        <w:trPr>
          <w:trHeight w:val="204"/>
        </w:trPr>
        <w:tc>
          <w:tcPr>
            <w:tcW w:w="2420" w:type="dxa"/>
            <w:vAlign w:val="bottom"/>
            <w:shd w:val="clear" w:color="auto" w:fill="CCEECC"/>
          </w:tcPr>
          <w:p>
            <w:pPr>
              <w:ind w:left="20"/>
              <w:spacing w:after="0"/>
              <w:rPr>
                <w:sz w:val="20"/>
                <w:szCs w:val="20"/>
                <w:color w:val="auto"/>
              </w:rPr>
            </w:pPr>
            <w:r>
              <w:rPr>
                <w:rFonts w:ascii="Arial" w:cs="Arial" w:eastAsia="Arial" w:hAnsi="Arial"/>
                <w:sz w:val="17"/>
                <w:szCs w:val="17"/>
                <w:color w:val="auto"/>
              </w:rPr>
              <w:t>Valuation allowance</w:t>
            </w:r>
          </w:p>
        </w:tc>
        <w:tc>
          <w:tcPr>
            <w:tcW w:w="220" w:type="dxa"/>
            <w:vAlign w:val="bottom"/>
            <w:shd w:val="clear" w:color="auto" w:fill="CCEECC"/>
          </w:tcPr>
          <w:p>
            <w:pPr>
              <w:spacing w:after="0"/>
              <w:rPr>
                <w:sz w:val="17"/>
                <w:szCs w:val="17"/>
                <w:color w:val="auto"/>
              </w:rPr>
            </w:pP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(220,000)</w:t>
            </w:r>
          </w:p>
        </w:tc>
        <w:tc>
          <w:tcPr>
            <w:tcW w:w="6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820" w:type="dxa"/>
            <w:vAlign w:val="bottom"/>
            <w:gridSpan w:val="2"/>
            <w:shd w:val="clear" w:color="auto" w:fill="CCEECC"/>
          </w:tcPr>
          <w:p>
            <w:pPr>
              <w:jc w:val="right"/>
              <w:spacing w:after="0"/>
              <w:rPr>
                <w:sz w:val="20"/>
                <w:szCs w:val="20"/>
                <w:color w:val="auto"/>
              </w:rPr>
            </w:pPr>
            <w:r>
              <w:rPr>
                <w:rFonts w:ascii="Arial" w:cs="Arial" w:eastAsia="Arial" w:hAnsi="Arial"/>
                <w:sz w:val="17"/>
                <w:szCs w:val="17"/>
                <w:color w:val="auto"/>
              </w:rPr>
              <w:t>(386,000)</w:t>
            </w:r>
          </w:p>
        </w:tc>
      </w:tr>
      <w:tr>
        <w:trPr>
          <w:trHeight w:val="184"/>
        </w:trPr>
        <w:tc>
          <w:tcPr>
            <w:tcW w:w="2420" w:type="dxa"/>
            <w:vAlign w:val="bottom"/>
            <w:tcBorders>
              <w:top w:val="single" w:sz="8" w:color="CCEECC"/>
            </w:tcBorders>
          </w:tcPr>
          <w:p>
            <w:pPr>
              <w:ind w:left="200"/>
              <w:spacing w:after="0" w:line="184" w:lineRule="exact"/>
              <w:rPr>
                <w:sz w:val="20"/>
                <w:szCs w:val="20"/>
                <w:color w:val="auto"/>
              </w:rPr>
            </w:pPr>
            <w:r>
              <w:rPr>
                <w:rFonts w:ascii="Arial" w:cs="Arial" w:eastAsia="Arial" w:hAnsi="Arial"/>
                <w:sz w:val="17"/>
                <w:szCs w:val="17"/>
                <w:color w:val="auto"/>
              </w:rPr>
              <w:t>Net provision for federal</w:t>
            </w: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Borders>
              <w:top w:val="single" w:sz="8" w:color="CCEECC"/>
            </w:tcBorders>
          </w:tcPr>
          <w:p>
            <w:pPr>
              <w:spacing w:after="0"/>
              <w:rPr>
                <w:sz w:val="15"/>
                <w:szCs w:val="15"/>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7"/>
                <w:szCs w:val="17"/>
                <w:color w:val="auto"/>
              </w:rPr>
              <w:t>income tax</w:t>
            </w:r>
          </w:p>
        </w:tc>
        <w:tc>
          <w:tcPr>
            <w:tcW w:w="220" w:type="dxa"/>
            <w:vAlign w:val="bottom"/>
          </w:tcPr>
          <w:p>
            <w:pPr>
              <w:jc w:val="right"/>
              <w:ind w:right="62"/>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c>
          <w:tcPr>
            <w:tcW w:w="28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0</w:t>
            </w:r>
          </w:p>
        </w:tc>
        <w:tc>
          <w:tcPr>
            <w:tcW w:w="60" w:type="dxa"/>
            <w:vAlign w:val="bottom"/>
          </w:tcPr>
          <w:p>
            <w:pPr>
              <w:spacing w:after="0"/>
              <w:rPr>
                <w:sz w:val="18"/>
                <w:szCs w:val="18"/>
                <w:color w:val="auto"/>
              </w:rPr>
            </w:pPr>
          </w:p>
        </w:tc>
      </w:tr>
      <w:tr>
        <w:trPr>
          <w:trHeight w:val="20"/>
        </w:trPr>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June 30, 2011 and December 31, 2010:</w:t>
      </w:r>
    </w:p>
    <w:p>
      <w:pPr>
        <w:spacing w:after="0" w:line="164" w:lineRule="exact"/>
        <w:rPr>
          <w:sz w:val="20"/>
          <w:szCs w:val="20"/>
          <w:color w:val="auto"/>
        </w:rPr>
      </w:pPr>
    </w:p>
    <w:tbl>
      <w:tblPr>
        <w:tblLayout w:type="fixed"/>
        <w:tblInd w:w="3140" w:type="dxa"/>
        <w:tblCellMar>
          <w:top w:w="0" w:type="dxa"/>
          <w:left w:w="0" w:type="dxa"/>
          <w:bottom w:w="0" w:type="dxa"/>
          <w:right w:w="0" w:type="dxa"/>
        </w:tblCellMar>
      </w:tblPr>
      <w:tr>
        <w:trPr>
          <w:trHeight w:val="204"/>
        </w:trPr>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5"/>
              <w:spacing w:after="0"/>
              <w:rPr>
                <w:sz w:val="20"/>
                <w:szCs w:val="20"/>
                <w:color w:val="auto"/>
              </w:rPr>
            </w:pPr>
            <w:r>
              <w:rPr>
                <w:rFonts w:ascii="Arial" w:cs="Arial" w:eastAsia="Arial" w:hAnsi="Arial"/>
                <w:sz w:val="17"/>
                <w:szCs w:val="17"/>
                <w:color w:val="auto"/>
                <w:w w:val="88"/>
              </w:rPr>
              <w:t>December 31,</w:t>
            </w:r>
          </w:p>
        </w:tc>
      </w:tr>
      <w:tr>
        <w:trPr>
          <w:trHeight w:val="216"/>
        </w:trPr>
        <w:tc>
          <w:tcPr>
            <w:tcW w:w="27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5"/>
              </w:rPr>
              <w:t>June 30, 2011</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2010</w:t>
            </w:r>
          </w:p>
        </w:tc>
      </w:tr>
      <w:tr>
        <w:trPr>
          <w:trHeight w:val="197"/>
        </w:trPr>
        <w:tc>
          <w:tcPr>
            <w:tcW w:w="2760" w:type="dxa"/>
            <w:vAlign w:val="bottom"/>
            <w:shd w:val="clear" w:color="auto" w:fill="CCEECC"/>
          </w:tcPr>
          <w:p>
            <w:pPr>
              <w:spacing w:after="0"/>
              <w:rPr>
                <w:sz w:val="20"/>
                <w:szCs w:val="20"/>
                <w:color w:val="auto"/>
              </w:rPr>
            </w:pPr>
            <w:r>
              <w:rPr>
                <w:rFonts w:ascii="Arial" w:cs="Arial" w:eastAsia="Arial" w:hAnsi="Arial"/>
                <w:sz w:val="17"/>
                <w:szCs w:val="17"/>
                <w:color w:val="auto"/>
              </w:rPr>
              <w:t>Deferred tax asset attributable to:</w:t>
            </w:r>
          </w:p>
        </w:tc>
        <w:tc>
          <w:tcPr>
            <w:tcW w:w="100" w:type="dxa"/>
            <w:vAlign w:val="bottom"/>
            <w:shd w:val="clear" w:color="auto" w:fill="CCEECC"/>
          </w:tcPr>
          <w:p>
            <w:pPr>
              <w:spacing w:after="0"/>
              <w:rPr>
                <w:sz w:val="17"/>
                <w:szCs w:val="17"/>
                <w:color w:val="auto"/>
              </w:rPr>
            </w:pPr>
          </w:p>
        </w:tc>
        <w:tc>
          <w:tcPr>
            <w:tcW w:w="1120" w:type="dxa"/>
            <w:vAlign w:val="bottom"/>
            <w:tcBorders>
              <w:right w:val="single" w:sz="8" w:color="CCEECC"/>
            </w:tcBorders>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60" w:type="dxa"/>
            <w:vAlign w:val="bottom"/>
            <w:tcBorders>
              <w:right w:val="single" w:sz="8" w:color="CCEECC"/>
            </w:tcBorders>
            <w:shd w:val="clear" w:color="auto" w:fill="CCEECC"/>
          </w:tcPr>
          <w:p>
            <w:pPr>
              <w:spacing w:after="0"/>
              <w:rPr>
                <w:sz w:val="17"/>
                <w:szCs w:val="17"/>
                <w:color w:val="auto"/>
              </w:rPr>
            </w:pPr>
          </w:p>
        </w:tc>
      </w:tr>
      <w:tr>
        <w:trPr>
          <w:trHeight w:val="204"/>
        </w:trPr>
        <w:tc>
          <w:tcPr>
            <w:tcW w:w="2760" w:type="dxa"/>
            <w:vAlign w:val="bottom"/>
          </w:tcPr>
          <w:p>
            <w:pPr>
              <w:ind w:left="40"/>
              <w:spacing w:after="0"/>
              <w:rPr>
                <w:sz w:val="20"/>
                <w:szCs w:val="20"/>
                <w:color w:val="auto"/>
              </w:rPr>
            </w:pPr>
            <w:r>
              <w:rPr>
                <w:rFonts w:ascii="Arial" w:cs="Arial" w:eastAsia="Arial" w:hAnsi="Arial"/>
                <w:sz w:val="17"/>
                <w:szCs w:val="17"/>
                <w:color w:val="auto"/>
              </w:rPr>
              <w:t>Net operating loss carryover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4,082,000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3,862,000</w:t>
            </w:r>
          </w:p>
        </w:tc>
      </w:tr>
      <w:tr>
        <w:trPr>
          <w:trHeight w:val="204"/>
        </w:trPr>
        <w:tc>
          <w:tcPr>
            <w:tcW w:w="2760" w:type="dxa"/>
            <w:vAlign w:val="bottom"/>
            <w:shd w:val="clear" w:color="auto" w:fill="CCEECC"/>
          </w:tcPr>
          <w:p>
            <w:pPr>
              <w:ind w:left="40"/>
              <w:spacing w:after="0"/>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CC"/>
          </w:tcPr>
          <w:p>
            <w:pPr>
              <w:spacing w:after="0"/>
              <w:rPr>
                <w:sz w:val="17"/>
                <w:szCs w:val="17"/>
                <w:color w:val="auto"/>
              </w:rPr>
            </w:pPr>
          </w:p>
        </w:tc>
        <w:tc>
          <w:tcPr>
            <w:tcW w:w="11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(4,082,000)</w:t>
            </w:r>
          </w:p>
        </w:tc>
        <w:tc>
          <w:tcPr>
            <w:tcW w:w="100" w:type="dxa"/>
            <w:vAlign w:val="bottom"/>
            <w:shd w:val="clear" w:color="auto" w:fill="CCEECC"/>
          </w:tcPr>
          <w:p>
            <w:pPr>
              <w:spacing w:after="0"/>
              <w:rPr>
                <w:sz w:val="17"/>
                <w:szCs w:val="17"/>
                <w:color w:val="auto"/>
              </w:rPr>
            </w:pPr>
          </w:p>
        </w:tc>
        <w:tc>
          <w:tcPr>
            <w:tcW w:w="10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(3,862,000)</w:t>
            </w:r>
          </w:p>
        </w:tc>
      </w:tr>
      <w:tr>
        <w:trPr>
          <w:trHeight w:val="20"/>
        </w:trPr>
        <w:tc>
          <w:tcPr>
            <w:tcW w:w="2760" w:type="dxa"/>
            <w:vAlign w:val="bottom"/>
            <w:shd w:val="clear" w:color="auto" w:fill="CCEE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CCEEC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CC"/>
            </w:tcBorders>
            <w:shd w:val="clear" w:color="auto" w:fill="000000"/>
          </w:tcPr>
          <w:p>
            <w:pPr>
              <w:spacing w:after="0" w:line="20" w:lineRule="exact"/>
              <w:rPr>
                <w:sz w:val="1"/>
                <w:szCs w:val="1"/>
                <w:color w:val="auto"/>
              </w:rPr>
            </w:pPr>
          </w:p>
        </w:tc>
      </w:tr>
      <w:tr>
        <w:trPr>
          <w:trHeight w:val="196"/>
        </w:trPr>
        <w:tc>
          <w:tcPr>
            <w:tcW w:w="2760" w:type="dxa"/>
            <w:vAlign w:val="bottom"/>
          </w:tcPr>
          <w:p>
            <w:pPr>
              <w:ind w:left="220"/>
              <w:spacing w:after="0"/>
              <w:rPr>
                <w:sz w:val="20"/>
                <w:szCs w:val="20"/>
                <w:color w:val="auto"/>
              </w:rPr>
            </w:pPr>
            <w:r>
              <w:rPr>
                <w:rFonts w:ascii="Arial" w:cs="Arial" w:eastAsia="Arial" w:hAnsi="Arial"/>
                <w:sz w:val="17"/>
                <w:szCs w:val="17"/>
                <w:color w:val="auto"/>
              </w:rPr>
              <w:t>Net deferred tax asset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0"/>
        </w:trPr>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Due to the change in ownership provisions of the Tax Reform Act of 1986, net operating loss carry forwards of approximately $12,007,000 for Federal income tax reporting purposes are subject to annual limitations. Should a change in ownership occur net operating loss carry forwards may be limited as to use in future years.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OPTIMIZERx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THE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JUNE 30, 2011</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17. OPERATING EXPENSES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consisted of the following for the three and six months ended June 30, 2011 and 2010:</w:t>
      </w:r>
    </w:p>
    <w:p>
      <w:pPr>
        <w:spacing w:after="0" w:line="212" w:lineRule="exact"/>
        <w:rPr>
          <w:sz w:val="20"/>
          <w:szCs w:val="20"/>
          <w:color w:val="auto"/>
        </w:rPr>
      </w:pPr>
    </w:p>
    <w:tbl>
      <w:tblPr>
        <w:tblLayout w:type="fixed"/>
        <w:tblInd w:w="2580" w:type="dxa"/>
        <w:tblCellMar>
          <w:top w:w="0" w:type="dxa"/>
          <w:left w:w="0" w:type="dxa"/>
          <w:bottom w:w="0" w:type="dxa"/>
          <w:right w:w="0" w:type="dxa"/>
        </w:tblCellMar>
      </w:tblPr>
      <w:tr>
        <w:trPr>
          <w:trHeight w:val="204"/>
        </w:trPr>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Three months</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9"/>
              </w:rPr>
              <w:t>Three months</w:t>
            </w:r>
          </w:p>
        </w:tc>
        <w:tc>
          <w:tcPr>
            <w:tcW w:w="120" w:type="dxa"/>
            <w:vAlign w:val="bottom"/>
          </w:tcPr>
          <w:p>
            <w:pPr>
              <w:spacing w:after="0"/>
              <w:rPr>
                <w:sz w:val="17"/>
                <w:szCs w:val="17"/>
                <w:color w:val="auto"/>
              </w:rPr>
            </w:pPr>
          </w:p>
        </w:tc>
        <w:tc>
          <w:tcPr>
            <w:tcW w:w="1000" w:type="dxa"/>
            <w:vAlign w:val="bottom"/>
          </w:tcPr>
          <w:p>
            <w:pPr>
              <w:jc w:val="center"/>
              <w:ind w:right="75"/>
              <w:spacing w:after="0"/>
              <w:rPr>
                <w:sz w:val="20"/>
                <w:szCs w:val="20"/>
                <w:color w:val="auto"/>
              </w:rPr>
            </w:pPr>
            <w:r>
              <w:rPr>
                <w:rFonts w:ascii="Arial" w:cs="Arial" w:eastAsia="Arial" w:hAnsi="Arial"/>
                <w:sz w:val="17"/>
                <w:szCs w:val="17"/>
                <w:color w:val="auto"/>
                <w:w w:val="90"/>
              </w:rPr>
              <w:t>Six months</w:t>
            </w:r>
          </w:p>
        </w:tc>
        <w:tc>
          <w:tcPr>
            <w:tcW w:w="120" w:type="dxa"/>
            <w:vAlign w:val="bottom"/>
          </w:tcPr>
          <w:p>
            <w:pPr>
              <w:spacing w:after="0"/>
              <w:rPr>
                <w:sz w:val="17"/>
                <w:szCs w:val="17"/>
                <w:color w:val="auto"/>
              </w:rPr>
            </w:pPr>
          </w:p>
        </w:tc>
        <w:tc>
          <w:tcPr>
            <w:tcW w:w="960" w:type="dxa"/>
            <w:vAlign w:val="bottom"/>
          </w:tcPr>
          <w:p>
            <w:pPr>
              <w:jc w:val="center"/>
              <w:ind w:right="35"/>
              <w:spacing w:after="0"/>
              <w:rPr>
                <w:sz w:val="20"/>
                <w:szCs w:val="20"/>
                <w:color w:val="auto"/>
              </w:rPr>
            </w:pPr>
            <w:r>
              <w:rPr>
                <w:rFonts w:ascii="Arial" w:cs="Arial" w:eastAsia="Arial" w:hAnsi="Arial"/>
                <w:sz w:val="17"/>
                <w:szCs w:val="17"/>
                <w:color w:val="auto"/>
                <w:w w:val="90"/>
              </w:rPr>
              <w:t>Six months</w:t>
            </w:r>
          </w:p>
        </w:tc>
      </w:tr>
      <w:tr>
        <w:trPr>
          <w:trHeight w:val="204"/>
        </w:trPr>
        <w:tc>
          <w:tcPr>
            <w:tcW w:w="1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6"/>
              </w:rPr>
              <w:t>ended June 30,</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5"/>
              </w:rPr>
              <w:t>ended June 30,</w:t>
            </w: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86"/>
              </w:rPr>
              <w:t>ended June 30,</w:t>
            </w:r>
          </w:p>
        </w:tc>
        <w:tc>
          <w:tcPr>
            <w:tcW w:w="1080" w:type="dxa"/>
            <w:vAlign w:val="bottom"/>
            <w:gridSpan w:val="2"/>
          </w:tcPr>
          <w:p>
            <w:pPr>
              <w:jc w:val="center"/>
              <w:spacing w:after="0"/>
              <w:rPr>
                <w:sz w:val="20"/>
                <w:szCs w:val="20"/>
                <w:color w:val="auto"/>
              </w:rPr>
            </w:pPr>
            <w:r>
              <w:rPr>
                <w:rFonts w:ascii="Arial" w:cs="Arial" w:eastAsia="Arial" w:hAnsi="Arial"/>
                <w:sz w:val="17"/>
                <w:szCs w:val="17"/>
                <w:color w:val="auto"/>
                <w:w w:val="86"/>
              </w:rPr>
              <w:t>ended June 30,</w:t>
            </w:r>
          </w:p>
        </w:tc>
      </w:tr>
      <w:tr>
        <w:trPr>
          <w:trHeight w:val="216"/>
        </w:trPr>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color w:val="auto"/>
                <w:w w:val="89"/>
              </w:rPr>
              <w:t>2011</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95"/>
              <w:spacing w:after="0"/>
              <w:rPr>
                <w:sz w:val="20"/>
                <w:szCs w:val="20"/>
                <w:color w:val="auto"/>
              </w:rPr>
            </w:pPr>
            <w:r>
              <w:rPr>
                <w:rFonts w:ascii="Arial" w:cs="Arial" w:eastAsia="Arial" w:hAnsi="Arial"/>
                <w:sz w:val="17"/>
                <w:szCs w:val="17"/>
                <w:color w:val="auto"/>
                <w:w w:val="89"/>
              </w:rPr>
              <w:t>2010</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2011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9"/>
              </w:rPr>
              <w:t>2010</w:t>
            </w:r>
          </w:p>
        </w:tc>
      </w:tr>
      <w:tr>
        <w:trPr>
          <w:trHeight w:val="197"/>
        </w:trPr>
        <w:tc>
          <w:tcPr>
            <w:tcW w:w="1620" w:type="dxa"/>
            <w:vAlign w:val="bottom"/>
            <w:shd w:val="clear" w:color="auto" w:fill="CCEECC"/>
          </w:tcPr>
          <w:p>
            <w:pPr>
              <w:ind w:left="80"/>
              <w:spacing w:after="0"/>
              <w:rPr>
                <w:sz w:val="20"/>
                <w:szCs w:val="20"/>
                <w:color w:val="auto"/>
              </w:rPr>
            </w:pPr>
            <w:r>
              <w:rPr>
                <w:rFonts w:ascii="Arial" w:cs="Arial" w:eastAsia="Arial" w:hAnsi="Arial"/>
                <w:sz w:val="17"/>
                <w:szCs w:val="17"/>
                <w:color w:val="auto"/>
              </w:rPr>
              <w:t>Advertising</w:t>
            </w:r>
          </w:p>
        </w:tc>
        <w:tc>
          <w:tcPr>
            <w:tcW w:w="440" w:type="dxa"/>
            <w:vAlign w:val="bottom"/>
            <w:gridSpan w:val="2"/>
            <w:shd w:val="clear" w:color="auto" w:fill="CCEECC"/>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6,030</w:t>
            </w:r>
          </w:p>
        </w:tc>
        <w:tc>
          <w:tcPr>
            <w:tcW w:w="220" w:type="dxa"/>
            <w:vAlign w:val="bottom"/>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57,160</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43,295</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91,265</w:t>
            </w:r>
          </w:p>
        </w:tc>
      </w:tr>
      <w:tr>
        <w:trPr>
          <w:trHeight w:val="204"/>
        </w:trPr>
        <w:tc>
          <w:tcPr>
            <w:tcW w:w="1620" w:type="dxa"/>
            <w:vAlign w:val="bottom"/>
          </w:tcPr>
          <w:p>
            <w:pPr>
              <w:ind w:left="80"/>
              <w:spacing w:after="0"/>
              <w:rPr>
                <w:sz w:val="20"/>
                <w:szCs w:val="20"/>
                <w:color w:val="auto"/>
              </w:rPr>
            </w:pPr>
            <w:r>
              <w:rPr>
                <w:rFonts w:ascii="Arial" w:cs="Arial" w:eastAsia="Arial" w:hAnsi="Arial"/>
                <w:sz w:val="17"/>
                <w:szCs w:val="17"/>
                <w:color w:val="auto"/>
              </w:rPr>
              <w:t>Professional fees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106,675</w:t>
            </w:r>
          </w:p>
        </w:tc>
        <w:tc>
          <w:tcPr>
            <w:tcW w:w="220" w:type="dxa"/>
            <w:vAlign w:val="bottom"/>
          </w:tcPr>
          <w:p>
            <w:pPr>
              <w:spacing w:after="0"/>
              <w:rPr>
                <w:sz w:val="17"/>
                <w:szCs w:val="17"/>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53,751</w:t>
            </w:r>
          </w:p>
        </w:tc>
        <w:tc>
          <w:tcPr>
            <w:tcW w:w="120" w:type="dxa"/>
            <w:vAlign w:val="bottom"/>
          </w:tcPr>
          <w:p>
            <w:pPr>
              <w:spacing w:after="0"/>
              <w:rPr>
                <w:sz w:val="17"/>
                <w:szCs w:val="17"/>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212,889</w:t>
            </w: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71,105</w:t>
            </w:r>
          </w:p>
        </w:tc>
      </w:tr>
      <w:tr>
        <w:trPr>
          <w:trHeight w:val="204"/>
        </w:trPr>
        <w:tc>
          <w:tcPr>
            <w:tcW w:w="1620" w:type="dxa"/>
            <w:vAlign w:val="bottom"/>
            <w:shd w:val="clear" w:color="auto" w:fill="CCEECC"/>
          </w:tcPr>
          <w:p>
            <w:pPr>
              <w:ind w:left="80"/>
              <w:spacing w:after="0"/>
              <w:rPr>
                <w:sz w:val="20"/>
                <w:szCs w:val="20"/>
                <w:color w:val="auto"/>
              </w:rPr>
            </w:pPr>
            <w:r>
              <w:rPr>
                <w:rFonts w:ascii="Arial" w:cs="Arial" w:eastAsia="Arial" w:hAnsi="Arial"/>
                <w:sz w:val="17"/>
                <w:szCs w:val="17"/>
                <w:color w:val="auto"/>
              </w:rPr>
              <w:t>Consulting</w:t>
            </w: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35,326</w:t>
            </w:r>
          </w:p>
        </w:tc>
        <w:tc>
          <w:tcPr>
            <w:tcW w:w="220" w:type="dxa"/>
            <w:vAlign w:val="bottom"/>
            <w:shd w:val="clear" w:color="auto" w:fill="CCEECC"/>
          </w:tcPr>
          <w:p>
            <w:pPr>
              <w:spacing w:after="0"/>
              <w:rPr>
                <w:sz w:val="17"/>
                <w:szCs w:val="17"/>
                <w:color w:val="auto"/>
              </w:rPr>
            </w:pP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369,828</w:t>
            </w:r>
          </w:p>
        </w:tc>
        <w:tc>
          <w:tcPr>
            <w:tcW w:w="120" w:type="dxa"/>
            <w:vAlign w:val="bottom"/>
            <w:shd w:val="clear" w:color="auto" w:fill="CCEECC"/>
          </w:tcPr>
          <w:p>
            <w:pPr>
              <w:spacing w:after="0"/>
              <w:rPr>
                <w:sz w:val="17"/>
                <w:szCs w:val="17"/>
                <w:color w:val="auto"/>
              </w:rPr>
            </w:pPr>
          </w:p>
        </w:tc>
        <w:tc>
          <w:tcPr>
            <w:tcW w:w="10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82,101</w:t>
            </w:r>
          </w:p>
        </w:tc>
        <w:tc>
          <w:tcPr>
            <w:tcW w:w="120" w:type="dxa"/>
            <w:vAlign w:val="bottom"/>
            <w:shd w:val="clear" w:color="auto" w:fill="CCEECC"/>
          </w:tcPr>
          <w:p>
            <w:pPr>
              <w:spacing w:after="0"/>
              <w:rPr>
                <w:sz w:val="17"/>
                <w:szCs w:val="17"/>
                <w:color w:val="auto"/>
              </w:rPr>
            </w:pPr>
          </w:p>
        </w:tc>
        <w:tc>
          <w:tcPr>
            <w:tcW w:w="9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401,472</w:t>
            </w:r>
          </w:p>
        </w:tc>
      </w:tr>
      <w:tr>
        <w:trPr>
          <w:trHeight w:val="191"/>
        </w:trPr>
        <w:tc>
          <w:tcPr>
            <w:tcW w:w="1620" w:type="dxa"/>
            <w:vAlign w:val="bottom"/>
          </w:tcPr>
          <w:p>
            <w:pPr>
              <w:ind w:left="80"/>
              <w:spacing w:after="0" w:line="191" w:lineRule="exact"/>
              <w:rPr>
                <w:sz w:val="20"/>
                <w:szCs w:val="20"/>
                <w:color w:val="auto"/>
              </w:rPr>
            </w:pPr>
            <w:r>
              <w:rPr>
                <w:rFonts w:ascii="Arial" w:cs="Arial" w:eastAsia="Arial" w:hAnsi="Arial"/>
                <w:sz w:val="17"/>
                <w:szCs w:val="17"/>
                <w:color w:val="auto"/>
                <w:w w:val="99"/>
              </w:rPr>
              <w:t>Salaries, wages and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1620" w:type="dxa"/>
            <w:vAlign w:val="bottom"/>
          </w:tcPr>
          <w:p>
            <w:pPr>
              <w:ind w:left="80"/>
              <w:spacing w:after="0"/>
              <w:rPr>
                <w:sz w:val="20"/>
                <w:szCs w:val="20"/>
                <w:color w:val="auto"/>
              </w:rPr>
            </w:pPr>
            <w:r>
              <w:rPr>
                <w:rFonts w:ascii="Arial" w:cs="Arial" w:eastAsia="Arial" w:hAnsi="Arial"/>
                <w:sz w:val="17"/>
                <w:szCs w:val="17"/>
                <w:color w:val="auto"/>
              </w:rPr>
              <w:t>benefits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206,627</w:t>
            </w:r>
          </w:p>
        </w:tc>
        <w:tc>
          <w:tcPr>
            <w:tcW w:w="220" w:type="dxa"/>
            <w:vAlign w:val="bottom"/>
          </w:tcPr>
          <w:p>
            <w:pPr>
              <w:spacing w:after="0"/>
              <w:rPr>
                <w:sz w:val="18"/>
                <w:szCs w:val="18"/>
                <w:color w:val="auto"/>
              </w:rPr>
            </w:pPr>
          </w:p>
        </w:tc>
        <w:tc>
          <w:tcPr>
            <w:tcW w:w="900" w:type="dxa"/>
            <w:vAlign w:val="bottom"/>
          </w:tcPr>
          <w:p>
            <w:pPr>
              <w:jc w:val="right"/>
              <w:ind w:right="15"/>
              <w:spacing w:after="0"/>
              <w:rPr>
                <w:sz w:val="20"/>
                <w:szCs w:val="20"/>
                <w:color w:val="auto"/>
              </w:rPr>
            </w:pPr>
            <w:r>
              <w:rPr>
                <w:rFonts w:ascii="Arial" w:cs="Arial" w:eastAsia="Arial" w:hAnsi="Arial"/>
                <w:sz w:val="17"/>
                <w:szCs w:val="17"/>
                <w:color w:val="auto"/>
              </w:rPr>
              <w:t>180,961</w:t>
            </w:r>
          </w:p>
        </w:tc>
        <w:tc>
          <w:tcPr>
            <w:tcW w:w="120" w:type="dxa"/>
            <w:vAlign w:val="bottom"/>
          </w:tcPr>
          <w:p>
            <w:pPr>
              <w:spacing w:after="0"/>
              <w:rPr>
                <w:sz w:val="18"/>
                <w:szCs w:val="18"/>
                <w:color w:val="auto"/>
              </w:rPr>
            </w:pPr>
          </w:p>
        </w:tc>
        <w:tc>
          <w:tcPr>
            <w:tcW w:w="1000" w:type="dxa"/>
            <w:vAlign w:val="bottom"/>
          </w:tcPr>
          <w:p>
            <w:pPr>
              <w:jc w:val="right"/>
              <w:ind w:right="15"/>
              <w:spacing w:after="0"/>
              <w:rPr>
                <w:sz w:val="20"/>
                <w:szCs w:val="20"/>
                <w:color w:val="auto"/>
              </w:rPr>
            </w:pPr>
            <w:r>
              <w:rPr>
                <w:rFonts w:ascii="Arial" w:cs="Arial" w:eastAsia="Arial" w:hAnsi="Arial"/>
                <w:sz w:val="17"/>
                <w:szCs w:val="17"/>
                <w:color w:val="auto"/>
              </w:rPr>
              <w:t>380,341</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318,185</w:t>
            </w:r>
          </w:p>
        </w:tc>
      </w:tr>
      <w:tr>
        <w:trPr>
          <w:trHeight w:val="204"/>
        </w:trPr>
        <w:tc>
          <w:tcPr>
            <w:tcW w:w="1620" w:type="dxa"/>
            <w:vAlign w:val="bottom"/>
            <w:shd w:val="clear" w:color="auto" w:fill="CCEECC"/>
          </w:tcPr>
          <w:p>
            <w:pPr>
              <w:ind w:left="80"/>
              <w:spacing w:after="0"/>
              <w:rPr>
                <w:sz w:val="20"/>
                <w:szCs w:val="20"/>
                <w:color w:val="auto"/>
              </w:rPr>
            </w:pPr>
            <w:r>
              <w:rPr>
                <w:rFonts w:ascii="Arial" w:cs="Arial" w:eastAsia="Arial" w:hAnsi="Arial"/>
                <w:sz w:val="17"/>
                <w:szCs w:val="17"/>
                <w:color w:val="auto"/>
              </w:rPr>
              <w:t>Rent</w:t>
            </w:r>
          </w:p>
        </w:tc>
        <w:tc>
          <w:tcPr>
            <w:tcW w:w="22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7,500</w:t>
            </w:r>
          </w:p>
        </w:tc>
        <w:tc>
          <w:tcPr>
            <w:tcW w:w="220" w:type="dxa"/>
            <w:vAlign w:val="bottom"/>
            <w:shd w:val="clear" w:color="auto" w:fill="CCEECC"/>
          </w:tcPr>
          <w:p>
            <w:pPr>
              <w:spacing w:after="0"/>
              <w:rPr>
                <w:sz w:val="17"/>
                <w:szCs w:val="17"/>
                <w:color w:val="auto"/>
              </w:rPr>
            </w:pP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7,500</w:t>
            </w:r>
          </w:p>
        </w:tc>
        <w:tc>
          <w:tcPr>
            <w:tcW w:w="120" w:type="dxa"/>
            <w:vAlign w:val="bottom"/>
            <w:shd w:val="clear" w:color="auto" w:fill="CCEECC"/>
          </w:tcPr>
          <w:p>
            <w:pPr>
              <w:spacing w:after="0"/>
              <w:rPr>
                <w:sz w:val="17"/>
                <w:szCs w:val="17"/>
                <w:color w:val="auto"/>
              </w:rPr>
            </w:pPr>
          </w:p>
        </w:tc>
        <w:tc>
          <w:tcPr>
            <w:tcW w:w="10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15,000</w:t>
            </w:r>
          </w:p>
        </w:tc>
        <w:tc>
          <w:tcPr>
            <w:tcW w:w="120" w:type="dxa"/>
            <w:vAlign w:val="bottom"/>
            <w:shd w:val="clear" w:color="auto" w:fill="CCEECC"/>
          </w:tcPr>
          <w:p>
            <w:pPr>
              <w:spacing w:after="0"/>
              <w:rPr>
                <w:sz w:val="17"/>
                <w:szCs w:val="17"/>
                <w:color w:val="auto"/>
              </w:rPr>
            </w:pPr>
          </w:p>
        </w:tc>
        <w:tc>
          <w:tcPr>
            <w:tcW w:w="9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15,000</w:t>
            </w:r>
          </w:p>
        </w:tc>
      </w:tr>
      <w:tr>
        <w:trPr>
          <w:trHeight w:val="191"/>
        </w:trPr>
        <w:tc>
          <w:tcPr>
            <w:tcW w:w="1620" w:type="dxa"/>
            <w:vAlign w:val="bottom"/>
          </w:tcPr>
          <w:p>
            <w:pPr>
              <w:ind w:left="80"/>
              <w:spacing w:after="0" w:line="191" w:lineRule="exact"/>
              <w:rPr>
                <w:sz w:val="20"/>
                <w:szCs w:val="20"/>
                <w:color w:val="auto"/>
              </w:rPr>
            </w:pPr>
            <w:r>
              <w:rPr>
                <w:rFonts w:ascii="Arial" w:cs="Arial" w:eastAsia="Arial" w:hAnsi="Arial"/>
                <w:sz w:val="17"/>
                <w:szCs w:val="17"/>
                <w:color w:val="auto"/>
              </w:rPr>
              <w:t>General and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6"/>
        </w:trPr>
        <w:tc>
          <w:tcPr>
            <w:tcW w:w="1620" w:type="dxa"/>
            <w:vAlign w:val="bottom"/>
          </w:tcPr>
          <w:p>
            <w:pPr>
              <w:ind w:left="80"/>
              <w:spacing w:after="0"/>
              <w:rPr>
                <w:sz w:val="20"/>
                <w:szCs w:val="20"/>
                <w:color w:val="auto"/>
              </w:rPr>
            </w:pPr>
            <w:r>
              <w:rPr>
                <w:rFonts w:ascii="Arial" w:cs="Arial" w:eastAsia="Arial" w:hAnsi="Arial"/>
                <w:sz w:val="17"/>
                <w:szCs w:val="17"/>
                <w:color w:val="auto"/>
              </w:rPr>
              <w:t>administrative</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130,996</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222,883</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228,809</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258,150</w:t>
            </w:r>
          </w:p>
        </w:tc>
      </w:tr>
      <w:tr>
        <w:trPr>
          <w:trHeight w:val="184"/>
        </w:trPr>
        <w:tc>
          <w:tcPr>
            <w:tcW w:w="1620" w:type="dxa"/>
            <w:vAlign w:val="bottom"/>
            <w:shd w:val="clear" w:color="auto" w:fill="CCEECC"/>
          </w:tcPr>
          <w:p>
            <w:pPr>
              <w:ind w:left="220"/>
              <w:spacing w:after="0" w:line="185" w:lineRule="exact"/>
              <w:rPr>
                <w:sz w:val="20"/>
                <w:szCs w:val="20"/>
                <w:color w:val="auto"/>
              </w:rPr>
            </w:pPr>
            <w:r>
              <w:rPr>
                <w:rFonts w:ascii="Arial" w:cs="Arial" w:eastAsia="Arial" w:hAnsi="Arial"/>
                <w:sz w:val="17"/>
                <w:szCs w:val="17"/>
                <w:color w:val="auto"/>
              </w:rPr>
              <w:t>Total Operating</w:t>
            </w:r>
          </w:p>
        </w:tc>
        <w:tc>
          <w:tcPr>
            <w:tcW w:w="220" w:type="dxa"/>
            <w:vAlign w:val="bottom"/>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900" w:type="dxa"/>
            <w:vAlign w:val="bottom"/>
            <w:tcBorders>
              <w:right w:val="single" w:sz="8" w:color="CCEECC"/>
            </w:tcBorders>
            <w:shd w:val="clear" w:color="auto" w:fill="CCEECC"/>
          </w:tcPr>
          <w:p>
            <w:pPr>
              <w:spacing w:after="0"/>
              <w:rPr>
                <w:sz w:val="16"/>
                <w:szCs w:val="16"/>
                <w:color w:val="auto"/>
              </w:rPr>
            </w:pPr>
          </w:p>
        </w:tc>
        <w:tc>
          <w:tcPr>
            <w:tcW w:w="220" w:type="dxa"/>
            <w:vAlign w:val="bottom"/>
            <w:shd w:val="clear" w:color="auto" w:fill="CCEECC"/>
          </w:tcPr>
          <w:p>
            <w:pPr>
              <w:spacing w:after="0"/>
              <w:rPr>
                <w:sz w:val="16"/>
                <w:szCs w:val="16"/>
                <w:color w:val="auto"/>
              </w:rPr>
            </w:pPr>
          </w:p>
        </w:tc>
        <w:tc>
          <w:tcPr>
            <w:tcW w:w="900" w:type="dxa"/>
            <w:vAlign w:val="bottom"/>
            <w:tcBorders>
              <w:right w:val="single" w:sz="8" w:color="CCEECC"/>
            </w:tcBorders>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1000" w:type="dxa"/>
            <w:vAlign w:val="bottom"/>
            <w:tcBorders>
              <w:right w:val="single" w:sz="8" w:color="CCEECC"/>
            </w:tcBorders>
            <w:shd w:val="clear" w:color="auto" w:fill="CCEECC"/>
          </w:tcPr>
          <w:p>
            <w:pPr>
              <w:spacing w:after="0"/>
              <w:rPr>
                <w:sz w:val="16"/>
                <w:szCs w:val="16"/>
                <w:color w:val="auto"/>
              </w:rPr>
            </w:pPr>
          </w:p>
        </w:tc>
        <w:tc>
          <w:tcPr>
            <w:tcW w:w="120" w:type="dxa"/>
            <w:vAlign w:val="bottom"/>
            <w:shd w:val="clear" w:color="auto" w:fill="CCEECC"/>
          </w:tcPr>
          <w:p>
            <w:pPr>
              <w:spacing w:after="0"/>
              <w:rPr>
                <w:sz w:val="16"/>
                <w:szCs w:val="16"/>
                <w:color w:val="auto"/>
              </w:rPr>
            </w:pPr>
          </w:p>
        </w:tc>
        <w:tc>
          <w:tcPr>
            <w:tcW w:w="960" w:type="dxa"/>
            <w:vAlign w:val="bottom"/>
            <w:tcBorders>
              <w:right w:val="single" w:sz="8" w:color="CCEECC"/>
            </w:tcBorders>
            <w:shd w:val="clear" w:color="auto" w:fill="CCEECC"/>
          </w:tcPr>
          <w:p>
            <w:pPr>
              <w:spacing w:after="0"/>
              <w:rPr>
                <w:sz w:val="16"/>
                <w:szCs w:val="16"/>
                <w:color w:val="auto"/>
              </w:rPr>
            </w:pPr>
          </w:p>
        </w:tc>
      </w:tr>
      <w:tr>
        <w:trPr>
          <w:trHeight w:val="236"/>
        </w:trPr>
        <w:tc>
          <w:tcPr>
            <w:tcW w:w="1620" w:type="dxa"/>
            <w:vAlign w:val="bottom"/>
            <w:shd w:val="clear" w:color="auto" w:fill="CCEECC"/>
          </w:tcPr>
          <w:p>
            <w:pPr>
              <w:ind w:left="80"/>
              <w:spacing w:after="0"/>
              <w:rPr>
                <w:sz w:val="20"/>
                <w:szCs w:val="20"/>
                <w:color w:val="auto"/>
              </w:rPr>
            </w:pPr>
            <w:r>
              <w:rPr>
                <w:rFonts w:ascii="Arial" w:cs="Arial" w:eastAsia="Arial" w:hAnsi="Arial"/>
                <w:sz w:val="17"/>
                <w:szCs w:val="17"/>
                <w:color w:val="auto"/>
              </w:rPr>
              <w:t>Expenses</w:t>
            </w:r>
          </w:p>
        </w:tc>
        <w:tc>
          <w:tcPr>
            <w:tcW w:w="440" w:type="dxa"/>
            <w:vAlign w:val="bottom"/>
            <w:gridSpan w:val="2"/>
            <w:shd w:val="clear" w:color="auto" w:fill="CCEECC"/>
          </w:tcPr>
          <w:p>
            <w:pPr>
              <w:jc w:val="right"/>
              <w:ind w:right="55"/>
              <w:spacing w:after="0"/>
              <w:rPr>
                <w:sz w:val="20"/>
                <w:szCs w:val="20"/>
                <w:color w:val="auto"/>
              </w:rPr>
            </w:pPr>
            <w:r>
              <w:rPr>
                <w:rFonts w:ascii="Arial" w:cs="Arial" w:eastAsia="Arial" w:hAnsi="Arial"/>
                <w:sz w:val="17"/>
                <w:szCs w:val="17"/>
                <w:color w:val="auto"/>
              </w:rPr>
              <w:t>$</w:t>
            </w: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493,154</w:t>
            </w:r>
          </w:p>
        </w:tc>
        <w:tc>
          <w:tcPr>
            <w:tcW w:w="220" w:type="dxa"/>
            <w:vAlign w:val="bottom"/>
            <w:shd w:val="clear" w:color="auto" w:fill="CCEECC"/>
          </w:tcPr>
          <w:p>
            <w:pPr>
              <w:jc w:val="right"/>
              <w:ind w:right="61"/>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892,083</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right w:val="single" w:sz="8" w:color="CCEECC"/>
            </w:tcBorders>
            <w:shd w:val="clear" w:color="auto" w:fill="CCEECC"/>
          </w:tcPr>
          <w:p>
            <w:pPr>
              <w:jc w:val="right"/>
              <w:ind w:right="15"/>
              <w:spacing w:after="0"/>
              <w:rPr>
                <w:sz w:val="20"/>
                <w:szCs w:val="20"/>
                <w:color w:val="auto"/>
              </w:rPr>
            </w:pPr>
            <w:r>
              <w:rPr>
                <w:rFonts w:ascii="Arial" w:cs="Arial" w:eastAsia="Arial" w:hAnsi="Arial"/>
                <w:sz w:val="17"/>
                <w:szCs w:val="17"/>
                <w:color w:val="auto"/>
              </w:rPr>
              <w:t>962,435</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1,155,177</w:t>
            </w:r>
          </w:p>
        </w:tc>
      </w:tr>
      <w:tr>
        <w:trPr>
          <w:trHeight w:val="20"/>
        </w:trPr>
        <w:tc>
          <w:tcPr>
            <w:tcW w:w="162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CCEECC"/>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18. GOING CONCERN</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The Company has sustained substantial losses from operations.</w:t>
      </w:r>
    </w:p>
    <w:p>
      <w:pPr>
        <w:spacing w:after="0" w:line="1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view of this matter, the ability of the Company to continue as a going concern is dependent upon growth of revenues and the ability of the Company to raise additional capital. Management believes that its successful ability to raise capital and their plans for increases in revenues will provide the opportunity for the Company to continue as a going concern.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19. SUBSEQUENT EVENTS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accordance with ASC 855-10, the Company has analyzed its operations subsequent to June 30, 2011 through August 10, 2011 and has determined that it does not have any material subsequent events to disclose in these financial statements.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16" w:lineRule="exact"/>
        <w:rPr>
          <w:sz w:val="20"/>
          <w:szCs w:val="20"/>
          <w:color w:val="auto"/>
        </w:rPr>
      </w:pPr>
    </w:p>
    <w:p>
      <w:pPr>
        <w:jc w:val="both"/>
        <w:spacing w:after="0" w:line="288" w:lineRule="auto"/>
        <w:rPr>
          <w:sz w:val="20"/>
          <w:szCs w:val="20"/>
          <w:color w:val="auto"/>
        </w:rPr>
      </w:pPr>
      <w:r>
        <w:rPr>
          <w:rFonts w:ascii="Arial" w:cs="Arial" w:eastAsia="Arial" w:hAnsi="Arial"/>
          <w:sz w:val="15"/>
          <w:szCs w:val="15"/>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affect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6"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have worked diligently to build our SampleMD™ solution which provides the ability to search and select free sample vouchers and co-pay assistance by prescribing clinicians on behalf of their patents. We installed the SampleMD™ solution within our first health system in November of 2010. In parallel to our efforts of providing the doctors desktop version of the SampleMD™ solution to health systems that have eliminated access to pharmaceutical representatives, we have also worked with Allscripts to integrate its solution right within their electronic prescribing application. The Allscripts ePrescribe solution was launched in mid December of 2010. These launches where inclusive of those handful of early adopting pharmaceutical manufacturers which saw the benefits and potentials of this new channel in reaching prescribing clinicians that prior where inaccessible.</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With the completed launch of SampleMD™ to various health systems and within the Allscripts solutions, we began 2011 with two major focuses. First, we set out to improve the field functionality and adoption by prescribing clinicians of our SampleMD™ solution. Early feedback from prescribing clinicians was positive. Overall,</w:t>
      </w:r>
    </w:p>
    <w:p>
      <w:pPr>
        <w:jc w:val="both"/>
        <w:spacing w:after="0" w:line="258" w:lineRule="auto"/>
        <w:rPr>
          <w:sz w:val="20"/>
          <w:szCs w:val="20"/>
          <w:color w:val="auto"/>
        </w:rPr>
      </w:pPr>
      <w:r>
        <w:rPr>
          <w:rFonts w:ascii="Arial" w:cs="Arial" w:eastAsia="Arial" w:hAnsi="Arial"/>
          <w:sz w:val="15"/>
          <w:szCs w:val="15"/>
          <w:color w:val="auto"/>
        </w:rPr>
        <w:t>for both installed environments, desk top and eRx, clinicians were satisfied with the ease and availability of our SampleMD</w:t>
      </w:r>
      <w:r>
        <w:rPr>
          <w:rFonts w:ascii="Arial" w:cs="Arial" w:eastAsia="Arial" w:hAnsi="Arial"/>
          <w:sz w:val="25"/>
          <w:szCs w:val="25"/>
          <w:color w:val="auto"/>
          <w:vertAlign w:val="superscript"/>
        </w:rPr>
        <w:t>TM</w:t>
      </w:r>
      <w:r>
        <w:rPr>
          <w:rFonts w:ascii="Arial" w:cs="Arial" w:eastAsia="Arial" w:hAnsi="Arial"/>
          <w:sz w:val="15"/>
          <w:szCs w:val="15"/>
          <w:color w:val="auto"/>
        </w:rPr>
        <w:t xml:space="preserve"> solution. With the feedback we received, we continued to enhance and update product ease, usability and speed. We project that our SampleMD™ 3.0 will feature components with easier access to formulary information, broader search capabilities and a scheduler for pharmaceutical representatives. Additionally, SampleMD™ will be integrated not only within ePrescribing environments, but also within Electronic Medical (EMR) and Electronic Health Record (EHR) environments – right within the clinicians work stream.</w:t>
      </w:r>
    </w:p>
    <w:p>
      <w:pPr>
        <w:spacing w:after="0" w:line="17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Our second focus was to evaluate market trends and consumer demands to adjust our market message and product performance and pricing. With increasing demand for our product, we have adjusted our pricing and have been aggressively selling and positioning within the market. At the end of the first six months of 2011, our portfolio consists of nine (9) major pharmaceutical manufacturers, forty (40) brands and over fifty-three (53) offerings, with commitments from other major manufacturers to integrate their brand within the SampleMD™ solution. All of this has been reflective in seeing revenues generated from setups, redemptions and print activity. We have, and intend to continue to, acquire additional resources to assist in positioning and securing new sales and recruiting new channel partners for integration of our solution.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 for the Three and Six Months Ended June 30, 2011 and 2010</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total revenue reported for three months ended June 30, 2011 was $200,174, an increase from $16,720 for the three months ended June 30, 2010. Our total revenue reported for six months ended June 30, 2011 was $594,017, an increase from $18,003 for the six months ended June 30, 2010.</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Our increased revenue for the three and six months ended June 30, 2011 as compared with the prior year periods is a result of our SampleMD solution and the setup and integration fees for pharmaceutical manufacturers which are participating within this offering. We are in the process of extending and renewing existing contracts, solidifying new contracts, and broadening our distribution channel with leading e-prescribers and electronic medical record providers. We expect that these efforts will result in larger revenues for our third quarter.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Operating expenses decreased to $493,154 for the three months ended June 30, 2011 from $892,083 for the same period ended 2010. Operating expenses decreased to $962,435 for the six months ended June 30, 2011 from $1,155,177 for the same period ended 2010. A detail of the significant expenses for the three and six months ended June 30, 2011 as compared to the prior year period is set forth below:</w:t>
      </w:r>
    </w:p>
    <w:p>
      <w:pPr>
        <w:spacing w:after="0" w:line="176" w:lineRule="exact"/>
        <w:rPr>
          <w:sz w:val="20"/>
          <w:szCs w:val="20"/>
          <w:color w:val="auto"/>
        </w:rPr>
      </w:pPr>
    </w:p>
    <w:tbl>
      <w:tblPr>
        <w:tblLayout w:type="fixed"/>
        <w:tblInd w:w="172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89"/>
              </w:rPr>
              <w:t>Three months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Three months</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4"/>
        </w:trPr>
        <w:tc>
          <w:tcPr>
            <w:tcW w:w="2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Arial" w:cs="Arial" w:eastAsia="Arial" w:hAnsi="Arial"/>
                <w:sz w:val="17"/>
                <w:szCs w:val="17"/>
                <w:color w:val="auto"/>
                <w:w w:val="86"/>
              </w:rPr>
              <w:t>ended 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ended June 30,</w:t>
            </w:r>
          </w:p>
        </w:tc>
        <w:tc>
          <w:tcPr>
            <w:tcW w:w="1440" w:type="dxa"/>
            <w:vAlign w:val="bottom"/>
            <w:gridSpan w:val="3"/>
          </w:tcPr>
          <w:p>
            <w:pPr>
              <w:jc w:val="center"/>
              <w:ind w:right="60"/>
              <w:spacing w:after="0"/>
              <w:rPr>
                <w:sz w:val="20"/>
                <w:szCs w:val="20"/>
                <w:color w:val="auto"/>
              </w:rPr>
            </w:pPr>
            <w:r>
              <w:rPr>
                <w:rFonts w:ascii="Arial" w:cs="Arial" w:eastAsia="Arial" w:hAnsi="Arial"/>
                <w:sz w:val="17"/>
                <w:szCs w:val="17"/>
                <w:color w:val="auto"/>
                <w:w w:val="89"/>
              </w:rPr>
              <w:t>Six months ended</w:t>
            </w:r>
          </w:p>
        </w:tc>
        <w:tc>
          <w:tcPr>
            <w:tcW w:w="1360" w:type="dxa"/>
            <w:vAlign w:val="bottom"/>
            <w:gridSpan w:val="2"/>
          </w:tcPr>
          <w:p>
            <w:pPr>
              <w:jc w:val="right"/>
              <w:spacing w:after="0"/>
              <w:rPr>
                <w:sz w:val="20"/>
                <w:szCs w:val="20"/>
                <w:color w:val="auto"/>
              </w:rPr>
            </w:pPr>
            <w:r>
              <w:rPr>
                <w:rFonts w:ascii="Arial" w:cs="Arial" w:eastAsia="Arial" w:hAnsi="Arial"/>
                <w:sz w:val="17"/>
                <w:szCs w:val="17"/>
                <w:color w:val="auto"/>
                <w:w w:val="94"/>
              </w:rPr>
              <w:t>Six months ended</w:t>
            </w:r>
          </w:p>
        </w:tc>
      </w:tr>
      <w:tr>
        <w:trPr>
          <w:trHeight w:val="216"/>
        </w:trPr>
        <w:tc>
          <w:tcPr>
            <w:tcW w:w="2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2011</w:t>
            </w:r>
          </w:p>
        </w:tc>
        <w:tc>
          <w:tcPr>
            <w:tcW w:w="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2010</w:t>
            </w: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7"/>
                <w:szCs w:val="17"/>
                <w:color w:val="auto"/>
                <w:w w:val="87"/>
              </w:rPr>
              <w:t>June 30, 2011</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90"/>
              </w:rPr>
              <w:t>June 30, 2010</w:t>
            </w:r>
          </w:p>
        </w:tc>
      </w:tr>
      <w:tr>
        <w:trPr>
          <w:trHeight w:val="197"/>
        </w:trPr>
        <w:tc>
          <w:tcPr>
            <w:tcW w:w="2160" w:type="dxa"/>
            <w:vAlign w:val="bottom"/>
            <w:shd w:val="clear" w:color="auto" w:fill="CCEECC"/>
          </w:tcPr>
          <w:p>
            <w:pPr>
              <w:ind w:left="100"/>
              <w:spacing w:after="0"/>
              <w:rPr>
                <w:sz w:val="20"/>
                <w:szCs w:val="20"/>
                <w:color w:val="auto"/>
              </w:rPr>
            </w:pPr>
            <w:r>
              <w:rPr>
                <w:rFonts w:ascii="Arial" w:cs="Arial" w:eastAsia="Arial" w:hAnsi="Arial"/>
                <w:sz w:val="17"/>
                <w:szCs w:val="17"/>
                <w:color w:val="auto"/>
              </w:rPr>
              <w:t>Advertising</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6,030</w:t>
            </w:r>
          </w:p>
        </w:tc>
        <w:tc>
          <w:tcPr>
            <w:tcW w:w="80" w:type="dxa"/>
            <w:vAlign w:val="bottom"/>
            <w:shd w:val="clear" w:color="auto" w:fill="CCEECC"/>
          </w:tcPr>
          <w:p>
            <w:pPr>
              <w:spacing w:after="0"/>
              <w:rPr>
                <w:sz w:val="17"/>
                <w:szCs w:val="17"/>
                <w:color w:val="auto"/>
              </w:rPr>
            </w:pPr>
          </w:p>
        </w:tc>
        <w:tc>
          <w:tcPr>
            <w:tcW w:w="20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300" w:type="dxa"/>
            <w:vAlign w:val="bottom"/>
            <w:tcBorders>
              <w:right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57,160</w:t>
            </w:r>
          </w:p>
        </w:tc>
        <w:tc>
          <w:tcPr>
            <w:tcW w:w="160" w:type="dxa"/>
            <w:vAlign w:val="bottom"/>
            <w:shd w:val="clear" w:color="auto" w:fill="CCEECC"/>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right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43,295</w:t>
            </w:r>
          </w:p>
        </w:tc>
        <w:tc>
          <w:tcPr>
            <w:tcW w:w="160" w:type="dxa"/>
            <w:vAlign w:val="bottom"/>
            <w:shd w:val="clear" w:color="auto" w:fill="CCEEC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91,265</w:t>
            </w:r>
          </w:p>
        </w:tc>
      </w:tr>
      <w:tr>
        <w:trPr>
          <w:trHeight w:val="204"/>
        </w:trPr>
        <w:tc>
          <w:tcPr>
            <w:tcW w:w="2160" w:type="dxa"/>
            <w:vAlign w:val="bottom"/>
          </w:tcPr>
          <w:p>
            <w:pPr>
              <w:ind w:left="100"/>
              <w:spacing w:after="0"/>
              <w:rPr>
                <w:sz w:val="20"/>
                <w:szCs w:val="20"/>
                <w:color w:val="auto"/>
              </w:rPr>
            </w:pPr>
            <w:r>
              <w:rPr>
                <w:rFonts w:ascii="Arial" w:cs="Arial" w:eastAsia="Arial" w:hAnsi="Arial"/>
                <w:sz w:val="17"/>
                <w:szCs w:val="17"/>
                <w:color w:val="auto"/>
              </w:rPr>
              <w:t>Professional fees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106,675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53,751</w:t>
            </w: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212,889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71,105</w:t>
            </w:r>
          </w:p>
        </w:tc>
      </w:tr>
      <w:tr>
        <w:trPr>
          <w:trHeight w:val="204"/>
        </w:trPr>
        <w:tc>
          <w:tcPr>
            <w:tcW w:w="2160" w:type="dxa"/>
            <w:vAlign w:val="bottom"/>
            <w:shd w:val="clear" w:color="auto" w:fill="CCEECC"/>
          </w:tcPr>
          <w:p>
            <w:pPr>
              <w:ind w:left="100"/>
              <w:spacing w:after="0"/>
              <w:rPr>
                <w:sz w:val="20"/>
                <w:szCs w:val="20"/>
                <w:color w:val="auto"/>
              </w:rPr>
            </w:pPr>
            <w:r>
              <w:rPr>
                <w:rFonts w:ascii="Arial" w:cs="Arial" w:eastAsia="Arial" w:hAnsi="Arial"/>
                <w:sz w:val="17"/>
                <w:szCs w:val="17"/>
                <w:color w:val="auto"/>
              </w:rPr>
              <w:t>Consulting</w:t>
            </w: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40" w:type="dxa"/>
            <w:vAlign w:val="bottom"/>
            <w:gridSpan w:val="2"/>
            <w:shd w:val="clear" w:color="auto" w:fill="CCEECC"/>
          </w:tcPr>
          <w:p>
            <w:pPr>
              <w:jc w:val="right"/>
              <w:ind w:right="80"/>
              <w:spacing w:after="0"/>
              <w:rPr>
                <w:sz w:val="20"/>
                <w:szCs w:val="20"/>
                <w:color w:val="auto"/>
              </w:rPr>
            </w:pPr>
            <w:r>
              <w:rPr>
                <w:rFonts w:ascii="Arial" w:cs="Arial" w:eastAsia="Arial" w:hAnsi="Arial"/>
                <w:sz w:val="17"/>
                <w:szCs w:val="17"/>
                <w:color w:val="auto"/>
              </w:rPr>
              <w:t>35,326</w:t>
            </w: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369,828</w:t>
            </w:r>
          </w:p>
        </w:tc>
        <w:tc>
          <w:tcPr>
            <w:tcW w:w="140" w:type="dxa"/>
            <w:vAlign w:val="bottom"/>
            <w:tcBorders>
              <w:right w:val="single" w:sz="8" w:color="CCEECC"/>
            </w:tcBorders>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80" w:type="dxa"/>
            <w:vAlign w:val="bottom"/>
            <w:tcBorders>
              <w:right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82,101</w:t>
            </w:r>
          </w:p>
        </w:tc>
        <w:tc>
          <w:tcPr>
            <w:tcW w:w="160" w:type="dxa"/>
            <w:vAlign w:val="bottom"/>
            <w:shd w:val="clear" w:color="auto" w:fill="CCEECC"/>
          </w:tcPr>
          <w:p>
            <w:pPr>
              <w:spacing w:after="0"/>
              <w:rPr>
                <w:sz w:val="17"/>
                <w:szCs w:val="17"/>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401,472</w:t>
            </w:r>
          </w:p>
        </w:tc>
      </w:tr>
      <w:tr>
        <w:trPr>
          <w:trHeight w:val="204"/>
        </w:trPr>
        <w:tc>
          <w:tcPr>
            <w:tcW w:w="2160" w:type="dxa"/>
            <w:vAlign w:val="bottom"/>
          </w:tcPr>
          <w:p>
            <w:pPr>
              <w:ind w:left="100"/>
              <w:spacing w:after="0"/>
              <w:rPr>
                <w:sz w:val="20"/>
                <w:szCs w:val="20"/>
                <w:color w:val="auto"/>
              </w:rPr>
            </w:pPr>
            <w:r>
              <w:rPr>
                <w:rFonts w:ascii="Arial" w:cs="Arial" w:eastAsia="Arial" w:hAnsi="Arial"/>
                <w:sz w:val="17"/>
                <w:szCs w:val="17"/>
                <w:color w:val="auto"/>
                <w:w w:val="93"/>
              </w:rPr>
              <w:t>Salaries, wages and benefits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206,627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180,961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380,341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318,185</w:t>
            </w:r>
          </w:p>
        </w:tc>
      </w:tr>
      <w:tr>
        <w:trPr>
          <w:trHeight w:val="204"/>
        </w:trPr>
        <w:tc>
          <w:tcPr>
            <w:tcW w:w="2160" w:type="dxa"/>
            <w:vAlign w:val="bottom"/>
            <w:shd w:val="clear" w:color="auto" w:fill="CCEECC"/>
          </w:tcPr>
          <w:p>
            <w:pPr>
              <w:ind w:left="100"/>
              <w:spacing w:after="0"/>
              <w:rPr>
                <w:sz w:val="20"/>
                <w:szCs w:val="20"/>
                <w:color w:val="auto"/>
              </w:rPr>
            </w:pPr>
            <w:r>
              <w:rPr>
                <w:rFonts w:ascii="Arial" w:cs="Arial" w:eastAsia="Arial" w:hAnsi="Arial"/>
                <w:sz w:val="17"/>
                <w:szCs w:val="17"/>
                <w:color w:val="auto"/>
              </w:rPr>
              <w:t>Rent</w:t>
            </w: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7,500</w:t>
            </w: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7,500</w:t>
            </w:r>
          </w:p>
        </w:tc>
        <w:tc>
          <w:tcPr>
            <w:tcW w:w="140" w:type="dxa"/>
            <w:vAlign w:val="bottom"/>
            <w:tcBorders>
              <w:right w:val="single" w:sz="8" w:color="CCEECC"/>
            </w:tcBorders>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80" w:type="dxa"/>
            <w:vAlign w:val="bottom"/>
            <w:tcBorders>
              <w:right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7"/>
                <w:szCs w:val="17"/>
                <w:color w:val="auto"/>
              </w:rPr>
              <w:t>15,000</w:t>
            </w:r>
          </w:p>
        </w:tc>
        <w:tc>
          <w:tcPr>
            <w:tcW w:w="160" w:type="dxa"/>
            <w:vAlign w:val="bottom"/>
            <w:shd w:val="clear" w:color="auto" w:fill="CCEECC"/>
          </w:tcPr>
          <w:p>
            <w:pPr>
              <w:spacing w:after="0"/>
              <w:rPr>
                <w:sz w:val="17"/>
                <w:szCs w:val="17"/>
                <w:color w:val="auto"/>
              </w:rPr>
            </w:pP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15,000</w:t>
            </w:r>
          </w:p>
        </w:tc>
      </w:tr>
      <w:tr>
        <w:trPr>
          <w:trHeight w:val="204"/>
        </w:trPr>
        <w:tc>
          <w:tcPr>
            <w:tcW w:w="216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130,996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222,883</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228,809</w:t>
            </w: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258,150</w:t>
            </w:r>
          </w:p>
        </w:tc>
      </w:tr>
      <w:tr>
        <w:trPr>
          <w:trHeight w:val="216"/>
        </w:trPr>
        <w:tc>
          <w:tcPr>
            <w:tcW w:w="2160" w:type="dxa"/>
            <w:vAlign w:val="bottom"/>
            <w:shd w:val="clear" w:color="auto" w:fill="CCEECC"/>
          </w:tcPr>
          <w:p>
            <w:pPr>
              <w:ind w:left="220"/>
              <w:spacing w:after="0"/>
              <w:rPr>
                <w:sz w:val="20"/>
                <w:szCs w:val="20"/>
                <w:color w:val="auto"/>
              </w:rPr>
            </w:pPr>
            <w:r>
              <w:rPr>
                <w:rFonts w:ascii="Arial" w:cs="Arial" w:eastAsia="Arial" w:hAnsi="Arial"/>
                <w:sz w:val="17"/>
                <w:szCs w:val="17"/>
                <w:color w:val="auto"/>
                <w:w w:val="97"/>
              </w:rPr>
              <w:t>Total Operating Expenses</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493,154</w:t>
            </w: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40"/>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CC"/>
          </w:tcPr>
          <w:p>
            <w:pPr>
              <w:jc w:val="right"/>
              <w:spacing w:after="0"/>
              <w:rPr>
                <w:sz w:val="20"/>
                <w:szCs w:val="20"/>
                <w:color w:val="auto"/>
              </w:rPr>
            </w:pPr>
            <w:r>
              <w:rPr>
                <w:rFonts w:ascii="Arial" w:cs="Arial" w:eastAsia="Arial" w:hAnsi="Arial"/>
                <w:sz w:val="17"/>
                <w:szCs w:val="17"/>
                <w:color w:val="auto"/>
              </w:rPr>
              <w:t>892,083</w:t>
            </w:r>
          </w:p>
        </w:tc>
        <w:tc>
          <w:tcPr>
            <w:tcW w:w="140" w:type="dxa"/>
            <w:vAlign w:val="bottom"/>
            <w:tcBorders>
              <w:right w:val="single" w:sz="8" w:color="CCEECC"/>
            </w:tcBorders>
            <w:shd w:val="clear" w:color="auto" w:fill="CCEECC"/>
          </w:tcPr>
          <w:p>
            <w:pPr>
              <w:spacing w:after="0"/>
              <w:rPr>
                <w:sz w:val="18"/>
                <w:szCs w:val="18"/>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CC"/>
          </w:tcPr>
          <w:p>
            <w:pPr>
              <w:jc w:val="right"/>
              <w:spacing w:after="0"/>
              <w:rPr>
                <w:sz w:val="20"/>
                <w:szCs w:val="20"/>
                <w:color w:val="auto"/>
              </w:rPr>
            </w:pPr>
            <w:r>
              <w:rPr>
                <w:rFonts w:ascii="Arial" w:cs="Arial" w:eastAsia="Arial" w:hAnsi="Arial"/>
                <w:sz w:val="17"/>
                <w:szCs w:val="17"/>
                <w:color w:val="auto"/>
              </w:rPr>
              <w:t>962,435</w:t>
            </w:r>
          </w:p>
        </w:tc>
        <w:tc>
          <w:tcPr>
            <w:tcW w:w="140" w:type="dxa"/>
            <w:vAlign w:val="bottom"/>
            <w:tcBorders>
              <w:right w:val="single" w:sz="8" w:color="CCEECC"/>
            </w:tcBorders>
            <w:shd w:val="clear" w:color="auto" w:fill="CCEECC"/>
          </w:tcPr>
          <w:p>
            <w:pPr>
              <w:spacing w:after="0"/>
              <w:rPr>
                <w:sz w:val="18"/>
                <w:szCs w:val="18"/>
                <w:color w:val="auto"/>
              </w:rPr>
            </w:pPr>
          </w:p>
        </w:tc>
        <w:tc>
          <w:tcPr>
            <w:tcW w:w="160" w:type="dxa"/>
            <w:vAlign w:val="bottom"/>
            <w:shd w:val="clear" w:color="auto" w:fill="CCEECC"/>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7"/>
                <w:szCs w:val="17"/>
                <w:color w:val="auto"/>
              </w:rPr>
              <w:t>1,155,177</w:t>
            </w:r>
          </w:p>
        </w:tc>
      </w:tr>
      <w:tr>
        <w:trPr>
          <w:trHeight w:val="20"/>
        </w:trPr>
        <w:tc>
          <w:tcPr>
            <w:tcW w:w="2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80" w:type="dxa"/>
            <w:vAlign w:val="bottom"/>
            <w:tcBorders>
              <w:top w:val="single" w:sz="8" w:color="CCEECC"/>
            </w:tcBorders>
            <w:shd w:val="clear" w:color="auto" w:fill="CCEE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right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CC"/>
              <w:right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CC"/>
            </w:tcBorders>
            <w:shd w:val="clear" w:color="auto" w:fill="000000"/>
          </w:tcPr>
          <w:p>
            <w:pPr>
              <w:spacing w:after="0" w:line="20" w:lineRule="exact"/>
              <w:rPr>
                <w:sz w:val="1"/>
                <w:szCs w:val="1"/>
                <w:color w:val="auto"/>
              </w:rPr>
            </w:pPr>
          </w:p>
        </w:tc>
      </w:tr>
    </w:tbl>
    <w:p>
      <w:pPr>
        <w:spacing w:after="0" w:line="191"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Our operating expenses have decreased in the three and six months ended June 30, 2011 as compared with the prior year periods largely as a result of a decrease in stock-based compensation, which is included in the category for “consulting” expenses. Professional fees and salaries wages and benefits, however, are all higher in the three and six months ended June 30, 2011 as compared to the prior year periods as a result of ramping up operations, as we have transformed from a development stage company to an operating company. For the third quarter, we expect to have higher operating expenses as we bring on account manager and sales positions.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Income/Expenses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Other expenses were $139,703 for the three months ended June 30, 2011 as compared with other income of $460 for same period ended 2010. Other expenses were $279,197 for the six months ended June 30, 2011 as compared with other income of $1,304 for same period ended 2010. Interest expenses were the major factor for other expenses for the periods ended June 30,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Loss</w:t>
      </w:r>
    </w:p>
    <w:p>
      <w:pPr>
        <w:spacing w:after="0" w:line="21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Net loss for the three months ended June 30, 2011 was $432,683, compared to net loss of $874,903 for the same period 2010. Net loss for the six months ended June 30, 2011 was $647,615, compared to net loss of $1,135,870 for the same period 2010.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 of June 30, 2011, we had total current assets of $1,724,728 and total assets in the amount of $3,161,960. Our total current liabilities as of June 30, 2011 were $862,570. We had working capital of $862,158 as of June 30, 2011.</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Operating activities used $225,479 in cash for the six months ended June 30, 2011. Our net loss of $647,615, deferred revenue of $73,110 and prepaid expenses of $34,813 were the primary components of our negative operating cash flow, offset mainly by $250,000 in amortization of debt discount, $85,900 in accounts receivable, $83,992 in stock issued for services, and $60,100 in depreciation and amortization. Investing activities used $82,850 during the six months ended June 30, 2011 as a result of website development costs. Financing activities provided $0 for the six months ended June 30, 2011.</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As of June 30, 2011, with the current level of financing and cash on hand, we have sufficient cash to operate our business at the current level for the next twelve months but insufficient cash to achieve our business goals unless we: a) realize cash revenues on sales generated; b) meet the milestones as defined in the second round of financing with Vicis Capital Master Fund, a sub-trust of Vicis Capital Series Master Trust, a unit trust organized and existing under the laws of the Cayman Islands (“Vicis”) and satisfy the conditions to secure the second tranche of funding; and/or c) obtain additional financing through debt and/or equity based financing arrangements which may be insufficient to fund our capital expenditures, working capital, or other cash requirements. There can be no assurance that such additional financing will be available to us on acceptable terms, or at all.</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As of June 30, 2011, there were no off balance sheet arrangements.</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4T.</w:t>
      </w:r>
      <w:r>
        <w:rPr>
          <w:sz w:val="20"/>
          <w:szCs w:val="20"/>
          <w:color w:val="auto"/>
        </w:rPr>
        <w:tab/>
      </w:r>
      <w:r>
        <w:rPr>
          <w:rFonts w:ascii="Arial" w:cs="Arial" w:eastAsia="Arial" w:hAnsi="Arial"/>
          <w:sz w:val="15"/>
          <w:szCs w:val="15"/>
          <w:b w:val="1"/>
          <w:bCs w:val="1"/>
          <w:color w:val="auto"/>
        </w:rPr>
        <w:t>Controls and Procedures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June 30, 2011. This evaluation was carried out under the supervision and with the participation of our Chief Executive Officer and Chief Financial Officer, Mr. David Lester. Based upon that evaluation, our Chief Executive Officer and Chief Financial Officer concluded that, as of June 30, 2011, our disclosure controls and procedures are effective. There have been no significant changes in our internal controls over financial reporting during the quarter ended June 30, 2011 that have materially affected or are reasonably likely to materially affect such controls.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Limitations on the Effectiveness of Internal Controls</w:t>
      </w:r>
    </w:p>
    <w:p>
      <w:pPr>
        <w:spacing w:after="0" w:line="212"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Our management does not expect that our disclosure controls and procedures or our internal control over financial reporting will necessarily prevent all fraud and material error. An internal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internal control. The design of any system of controls also is based in part upon certain assumptions about the likelihood of future events, and there can be no assurance that any design will succeed in achieving its stated goals under all potential future conditions. Over time, control may become inadequate because of changes in conditions, or the degree of compliance with the policies or procedures may deteriorate.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1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1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Aside from the following, we are not a party to any pending legal proceeding, and we are not aware of any pending legal proceeding to which any of our officers, directors, or any beneficial holders of 5% or more of our voting securities are adverse to us or have a material interest adverse to us.</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February 10, 2011, we commenced an action against Beringea, LLC (“Beringea”) in the Circuit Court for the County of Oakland in the State of Michigan. The action is based on a dispute between our company and Beringea surrounding a capital raising agreement that was entered into on October 15, 2009. We have alleged that Beringea has failed to perform under the agreement, misinformed us about “tail” liability, and is wrongfully withholding funds due to us. We are seeking $400,000 in damages.</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August 18, 2010, we commenced an action against Midtown Partners &amp; Co., LLC (“Midtwon Partners”) in the Circuit Court for the County of Oakland in the State of Michigan. The action is based on a dispute between our company and Midtown Partners surrounding a placement agent agreement that was entered into on June 27, 2008. We filed the action seeking declaratory relief that no compensation is due and owing to Midtown Partners in connection with an investment made by on June 4, 2010.</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Midtown Partners removed the action to the United States District Court for the Eastern District of Michigan. On June 30, 2011 , we entered into a settlement agreement with Midtown Partners. Under the settlement agreement, we paid Midtown Partners $57,500 and issued the company 100,000 shares of our common stock. As a result of the settlement, the litigation in the Eastern District of Michigan will be dismissed.</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A smaller reporting company is not required to provide the information required by this Item.</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During the current reporting period, we issued the following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During the quarter ended June 30, 2011, we issued 252,526 shares of common stock to satisfy $250,000 of preferred dividends to Vicis.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During the quarter ended June 30, 2011, we issued options to purchase 285,000 shares of our common stock to our directors at an exercise price of $1.00.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On June 30, 2011, we issued 100,000 shares of our common stock in connection with a settlement of our dispute with Midtown Partners.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176"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color w:val="auto"/>
        </w:rPr>
        <w:t>Removed and Reserved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Exhibit Number Description of Exhibit</w:t>
      </w:r>
    </w:p>
    <w:tbl>
      <w:tblPr>
        <w:tblLayout w:type="fixed"/>
        <w:tblInd w:w="0" w:type="dxa"/>
        <w:tblCellMar>
          <w:top w:w="0" w:type="dxa"/>
          <w:left w:w="0" w:type="dxa"/>
          <w:bottom w:w="0" w:type="dxa"/>
          <w:right w:w="0" w:type="dxa"/>
        </w:tblCellMar>
      </w:tblPr>
      <w:tr>
        <w:trPr>
          <w:trHeight w:val="186"/>
        </w:trPr>
        <w:tc>
          <w:tcPr>
            <w:tcW w:w="1120" w:type="dxa"/>
            <w:vAlign w:val="bottom"/>
          </w:tcPr>
          <w:p>
            <w:pPr>
              <w:jc w:val="right"/>
              <w:ind w:right="735"/>
              <w:spacing w:after="0" w:line="186" w:lineRule="exact"/>
              <w:rPr>
                <w:sz w:val="20"/>
                <w:szCs w:val="20"/>
                <w:color w:val="auto"/>
              </w:rPr>
            </w:pPr>
            <w:r>
              <w:rPr>
                <w:rFonts w:ascii="Arial" w:cs="Arial" w:eastAsia="Arial" w:hAnsi="Arial"/>
                <w:sz w:val="17"/>
                <w:szCs w:val="17"/>
                <w:color w:val="auto"/>
                <w:w w:val="84"/>
              </w:rPr>
              <w:t>10.1</w:t>
            </w:r>
          </w:p>
        </w:tc>
        <w:tc>
          <w:tcPr>
            <w:tcW w:w="2960" w:type="dxa"/>
            <w:vAlign w:val="bottom"/>
            <w:tcBorders>
              <w:bottom w:val="single" w:sz="8" w:color="0000EE"/>
            </w:tcBorders>
          </w:tcPr>
          <w:p>
            <w:pPr>
              <w:spacing w:after="0" w:line="186" w:lineRule="exact"/>
              <w:rPr>
                <w:sz w:val="20"/>
                <w:szCs w:val="20"/>
                <w:color w:val="auto"/>
              </w:rPr>
            </w:pPr>
            <w:r>
              <w:rPr>
                <w:rFonts w:ascii="Arial" w:cs="Arial" w:eastAsia="Arial" w:hAnsi="Arial"/>
                <w:sz w:val="17"/>
                <w:szCs w:val="17"/>
                <w:color w:val="0000EE"/>
                <w:w w:val="88"/>
              </w:rPr>
              <w:t>Settlement Agreement, dated June 30, 2011</w:t>
            </w:r>
          </w:p>
        </w:tc>
        <w:tc>
          <w:tcPr>
            <w:tcW w:w="7340" w:type="dxa"/>
            <w:vAlign w:val="bottom"/>
            <w:gridSpan w:val="6"/>
          </w:tcPr>
          <w:p>
            <w:pPr>
              <w:spacing w:after="0"/>
              <w:rPr>
                <w:sz w:val="16"/>
                <w:szCs w:val="16"/>
                <w:color w:val="auto"/>
              </w:rPr>
            </w:pPr>
          </w:p>
        </w:tc>
      </w:tr>
      <w:tr>
        <w:trPr>
          <w:trHeight w:val="184"/>
        </w:trPr>
        <w:tc>
          <w:tcPr>
            <w:tcW w:w="1120" w:type="dxa"/>
            <w:vAlign w:val="bottom"/>
          </w:tcPr>
          <w:p>
            <w:pPr>
              <w:jc w:val="right"/>
              <w:ind w:right="735"/>
              <w:spacing w:after="0" w:line="184" w:lineRule="exact"/>
              <w:rPr>
                <w:sz w:val="20"/>
                <w:szCs w:val="20"/>
                <w:color w:val="auto"/>
              </w:rPr>
            </w:pPr>
            <w:r>
              <w:rPr>
                <w:rFonts w:ascii="Arial" w:cs="Arial" w:eastAsia="Arial" w:hAnsi="Arial"/>
                <w:sz w:val="17"/>
                <w:szCs w:val="17"/>
                <w:color w:val="auto"/>
                <w:w w:val="84"/>
              </w:rPr>
              <w:t>31.1</w:t>
            </w:r>
          </w:p>
        </w:tc>
        <w:tc>
          <w:tcPr>
            <w:tcW w:w="1030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Executive Officer pursuant to 18 U.S.C. Section 1350, as adopted pursuant to</w:t>
            </w:r>
          </w:p>
        </w:tc>
      </w:tr>
      <w:tr>
        <w:trPr>
          <w:trHeight w:val="184"/>
        </w:trPr>
        <w:tc>
          <w:tcPr>
            <w:tcW w:w="1120" w:type="dxa"/>
            <w:vAlign w:val="bottom"/>
          </w:tcPr>
          <w:p>
            <w:pPr>
              <w:spacing w:after="0"/>
              <w:rPr>
                <w:sz w:val="15"/>
                <w:szCs w:val="15"/>
                <w:color w:val="auto"/>
              </w:rPr>
            </w:pPr>
          </w:p>
        </w:tc>
        <w:tc>
          <w:tcPr>
            <w:tcW w:w="3220" w:type="dxa"/>
            <w:vAlign w:val="bottom"/>
            <w:tcBorders>
              <w:top w:val="single" w:sz="8" w:color="0000EE"/>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Section 302 of the Sarbanes-Oxley Act of 2002</w:t>
            </w:r>
          </w:p>
        </w:tc>
        <w:tc>
          <w:tcPr>
            <w:tcW w:w="3540" w:type="dxa"/>
            <w:vAlign w:val="bottom"/>
            <w:tcBorders>
              <w:top w:val="single" w:sz="8" w:color="0000EE"/>
            </w:tcBorders>
            <w:gridSpan w:val="4"/>
          </w:tcPr>
          <w:p>
            <w:pPr>
              <w:spacing w:after="0"/>
              <w:rPr>
                <w:sz w:val="15"/>
                <w:szCs w:val="15"/>
                <w:color w:val="auto"/>
              </w:rPr>
            </w:pPr>
          </w:p>
        </w:tc>
        <w:tc>
          <w:tcPr>
            <w:tcW w:w="3540" w:type="dxa"/>
            <w:vAlign w:val="bottom"/>
          </w:tcPr>
          <w:p>
            <w:pPr>
              <w:spacing w:after="0"/>
              <w:rPr>
                <w:sz w:val="15"/>
                <w:szCs w:val="15"/>
                <w:color w:val="auto"/>
              </w:rPr>
            </w:pPr>
          </w:p>
        </w:tc>
      </w:tr>
      <w:tr>
        <w:trPr>
          <w:trHeight w:val="184"/>
        </w:trPr>
        <w:tc>
          <w:tcPr>
            <w:tcW w:w="1120" w:type="dxa"/>
            <w:vAlign w:val="bottom"/>
          </w:tcPr>
          <w:p>
            <w:pPr>
              <w:jc w:val="right"/>
              <w:ind w:right="735"/>
              <w:spacing w:after="0" w:line="184" w:lineRule="exact"/>
              <w:rPr>
                <w:sz w:val="20"/>
                <w:szCs w:val="20"/>
                <w:color w:val="auto"/>
              </w:rPr>
            </w:pPr>
            <w:r>
              <w:rPr>
                <w:rFonts w:ascii="Arial" w:cs="Arial" w:eastAsia="Arial" w:hAnsi="Arial"/>
                <w:sz w:val="17"/>
                <w:szCs w:val="17"/>
                <w:color w:val="auto"/>
                <w:w w:val="84"/>
              </w:rPr>
              <w:t>31.2</w:t>
            </w:r>
          </w:p>
        </w:tc>
        <w:tc>
          <w:tcPr>
            <w:tcW w:w="6720" w:type="dxa"/>
            <w:vAlign w:val="bottom"/>
            <w:tcBorders>
              <w:bottom w:val="single" w:sz="8" w:color="0000EE"/>
            </w:tcBorders>
            <w:gridSpan w:val="5"/>
          </w:tcPr>
          <w:p>
            <w:pPr>
              <w:spacing w:after="0" w:line="184" w:lineRule="exact"/>
              <w:rPr>
                <w:sz w:val="20"/>
                <w:szCs w:val="20"/>
                <w:color w:val="auto"/>
              </w:rPr>
            </w:pPr>
            <w:r>
              <w:rPr>
                <w:rFonts w:ascii="Arial" w:cs="Arial" w:eastAsia="Arial" w:hAnsi="Arial"/>
                <w:sz w:val="17"/>
                <w:szCs w:val="17"/>
                <w:color w:val="0000EE"/>
                <w:w w:val="91"/>
              </w:rPr>
              <w:t>Certification of Chief Financial Officer pursuant to 18 U.S.C. Section 1350, as adopted pursuant to</w:t>
            </w:r>
          </w:p>
        </w:tc>
        <w:tc>
          <w:tcPr>
            <w:tcW w:w="3580" w:type="dxa"/>
            <w:vAlign w:val="bottom"/>
            <w:gridSpan w:val="2"/>
          </w:tcPr>
          <w:p>
            <w:pPr>
              <w:spacing w:after="0"/>
              <w:rPr>
                <w:sz w:val="15"/>
                <w:szCs w:val="15"/>
                <w:color w:val="auto"/>
              </w:rPr>
            </w:pPr>
          </w:p>
        </w:tc>
      </w:tr>
      <w:tr>
        <w:trPr>
          <w:trHeight w:val="184"/>
        </w:trPr>
        <w:tc>
          <w:tcPr>
            <w:tcW w:w="1120" w:type="dxa"/>
            <w:vAlign w:val="bottom"/>
          </w:tcPr>
          <w:p>
            <w:pPr>
              <w:spacing w:after="0"/>
              <w:rPr>
                <w:sz w:val="15"/>
                <w:szCs w:val="15"/>
                <w:color w:val="auto"/>
              </w:rPr>
            </w:pPr>
          </w:p>
        </w:tc>
        <w:tc>
          <w:tcPr>
            <w:tcW w:w="3220" w:type="dxa"/>
            <w:vAlign w:val="bottom"/>
            <w:tcBorders>
              <w:bottom w:val="single" w:sz="8" w:color="0000EE"/>
            </w:tcBorders>
            <w:gridSpan w:val="2"/>
          </w:tcPr>
          <w:p>
            <w:pPr>
              <w:spacing w:after="0" w:line="184" w:lineRule="exact"/>
              <w:rPr>
                <w:sz w:val="20"/>
                <w:szCs w:val="20"/>
                <w:color w:val="auto"/>
              </w:rPr>
            </w:pPr>
            <w:r>
              <w:rPr>
                <w:rFonts w:ascii="Arial" w:cs="Arial" w:eastAsia="Arial" w:hAnsi="Arial"/>
                <w:sz w:val="17"/>
                <w:szCs w:val="17"/>
                <w:color w:val="0000EE"/>
                <w:w w:val="90"/>
              </w:rPr>
              <w:t>Section 302 of the Sarbanes-Oxley Act of 2002</w:t>
            </w:r>
          </w:p>
        </w:tc>
        <w:tc>
          <w:tcPr>
            <w:tcW w:w="7080" w:type="dxa"/>
            <w:vAlign w:val="bottom"/>
            <w:gridSpan w:val="5"/>
          </w:tcPr>
          <w:p>
            <w:pPr>
              <w:spacing w:after="0"/>
              <w:rPr>
                <w:sz w:val="15"/>
                <w:szCs w:val="15"/>
                <w:color w:val="auto"/>
              </w:rPr>
            </w:pPr>
          </w:p>
        </w:tc>
      </w:tr>
      <w:tr>
        <w:trPr>
          <w:trHeight w:val="184"/>
        </w:trPr>
        <w:tc>
          <w:tcPr>
            <w:tcW w:w="1120" w:type="dxa"/>
            <w:vAlign w:val="bottom"/>
          </w:tcPr>
          <w:p>
            <w:pPr>
              <w:jc w:val="right"/>
              <w:ind w:right="735"/>
              <w:spacing w:after="0" w:line="184" w:lineRule="exact"/>
              <w:rPr>
                <w:sz w:val="20"/>
                <w:szCs w:val="20"/>
                <w:color w:val="auto"/>
              </w:rPr>
            </w:pPr>
            <w:r>
              <w:rPr>
                <w:rFonts w:ascii="Arial" w:cs="Arial" w:eastAsia="Arial" w:hAnsi="Arial"/>
                <w:sz w:val="17"/>
                <w:szCs w:val="17"/>
                <w:color w:val="auto"/>
                <w:w w:val="84"/>
              </w:rPr>
              <w:t>32.1</w:t>
            </w:r>
          </w:p>
        </w:tc>
        <w:tc>
          <w:tcPr>
            <w:tcW w:w="10300" w:type="dxa"/>
            <w:vAlign w:val="bottom"/>
            <w:gridSpan w:val="7"/>
          </w:tcPr>
          <w:p>
            <w:pPr>
              <w:spacing w:after="0" w:line="184" w:lineRule="exact"/>
              <w:rPr>
                <w:sz w:val="20"/>
                <w:szCs w:val="20"/>
                <w:color w:val="auto"/>
              </w:rPr>
            </w:pPr>
            <w:r>
              <w:rPr>
                <w:rFonts w:ascii="Arial" w:cs="Arial" w:eastAsia="Arial" w:hAnsi="Arial"/>
                <w:sz w:val="17"/>
                <w:szCs w:val="17"/>
                <w:color w:val="0000EE"/>
              </w:rPr>
              <w:t>Certification of Chief Executive Officer and Chief Financial Officer pursuant to 18 U.S.C. Section</w:t>
            </w:r>
          </w:p>
        </w:tc>
      </w:tr>
      <w:tr>
        <w:trPr>
          <w:trHeight w:val="184"/>
        </w:trPr>
        <w:tc>
          <w:tcPr>
            <w:tcW w:w="1120" w:type="dxa"/>
            <w:vAlign w:val="bottom"/>
          </w:tcPr>
          <w:p>
            <w:pPr>
              <w:spacing w:after="0"/>
              <w:rPr>
                <w:sz w:val="15"/>
                <w:szCs w:val="15"/>
                <w:color w:val="auto"/>
              </w:rPr>
            </w:pPr>
          </w:p>
        </w:tc>
        <w:tc>
          <w:tcPr>
            <w:tcW w:w="6680" w:type="dxa"/>
            <w:vAlign w:val="bottom"/>
            <w:tcBorders>
              <w:top w:val="single" w:sz="8" w:color="0000EE"/>
            </w:tcBorders>
            <w:gridSpan w:val="4"/>
          </w:tcPr>
          <w:p>
            <w:pPr>
              <w:spacing w:after="0" w:line="184" w:lineRule="exact"/>
              <w:rPr>
                <w:sz w:val="20"/>
                <w:szCs w:val="20"/>
                <w:color w:val="auto"/>
              </w:rPr>
            </w:pPr>
            <w:r>
              <w:rPr>
                <w:rFonts w:ascii="Arial" w:cs="Arial" w:eastAsia="Arial" w:hAnsi="Arial"/>
                <w:sz w:val="17"/>
                <w:szCs w:val="17"/>
                <w:color w:val="0000EE"/>
              </w:rPr>
              <w:t>1350, as adopted pursuant to Section 906 of the Sarbanes-Oxley Act of 2002</w:t>
            </w:r>
          </w:p>
        </w:tc>
        <w:tc>
          <w:tcPr>
            <w:tcW w:w="3620" w:type="dxa"/>
            <w:vAlign w:val="bottom"/>
            <w:gridSpan w:val="3"/>
          </w:tcPr>
          <w:p>
            <w:pPr>
              <w:spacing w:after="0"/>
              <w:rPr>
                <w:sz w:val="15"/>
                <w:szCs w:val="15"/>
                <w:color w:val="auto"/>
              </w:rPr>
            </w:pPr>
          </w:p>
        </w:tc>
      </w:tr>
      <w:tr>
        <w:trPr>
          <w:trHeight w:val="628"/>
        </w:trPr>
        <w:tc>
          <w:tcPr>
            <w:tcW w:w="1120" w:type="dxa"/>
            <w:vAlign w:val="bottom"/>
            <w:tcBorders>
              <w:bottom w:val="single" w:sz="8" w:color="auto"/>
            </w:tcBorders>
          </w:tcPr>
          <w:p>
            <w:pPr>
              <w:spacing w:after="0"/>
              <w:rPr>
                <w:sz w:val="24"/>
                <w:szCs w:val="24"/>
                <w:color w:val="auto"/>
              </w:rPr>
            </w:pPr>
          </w:p>
        </w:tc>
        <w:tc>
          <w:tcPr>
            <w:tcW w:w="5200" w:type="dxa"/>
            <w:vAlign w:val="bottom"/>
            <w:tcBorders>
              <w:top w:val="single" w:sz="8" w:color="0000EE"/>
              <w:bottom w:val="single" w:sz="8" w:color="auto"/>
            </w:tcBorders>
            <w:gridSpan w:val="3"/>
          </w:tcPr>
          <w:p>
            <w:pPr>
              <w:ind w:left="4560"/>
              <w:spacing w:after="0"/>
              <w:rPr>
                <w:sz w:val="20"/>
                <w:szCs w:val="20"/>
                <w:color w:val="auto"/>
              </w:rPr>
            </w:pPr>
            <w:r>
              <w:rPr>
                <w:rFonts w:ascii="Arial" w:cs="Arial" w:eastAsia="Arial" w:hAnsi="Arial"/>
                <w:sz w:val="17"/>
                <w:szCs w:val="17"/>
                <w:color w:val="auto"/>
              </w:rPr>
              <w:t>9</w:t>
            </w:r>
          </w:p>
        </w:tc>
        <w:tc>
          <w:tcPr>
            <w:tcW w:w="1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9"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SIGNATURES</w:t>
      </w:r>
    </w:p>
    <w:p>
      <w:pPr>
        <w:spacing w:after="0" w:line="216"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accordance with the requirements of the Securities and Exchange Act of 1934, the Registrant has duly caused this report to be signed on its behalf by the undersigned, thereunto duly authorized.</w:t>
      </w:r>
    </w:p>
    <w:p>
      <w:pPr>
        <w:spacing w:after="0" w:line="164"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OptimizeRx Corporation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17, 2011</w:t>
      </w:r>
    </w:p>
    <w:p>
      <w:pPr>
        <w:spacing w:after="0" w:line="212"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David Lester</w:t>
      </w:r>
    </w:p>
    <w:p>
      <w:pPr>
        <w:spacing w:after="0" w:line="20"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David Lester</w:t>
      </w:r>
    </w:p>
    <w:p>
      <w:pPr>
        <w:spacing w:after="0" w:line="8"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 xml:space="preserve">Title: </w:t>
      </w:r>
      <w:r>
        <w:rPr>
          <w:rFonts w:ascii="Arial" w:cs="Arial" w:eastAsia="Arial" w:hAnsi="Arial"/>
          <w:sz w:val="17"/>
          <w:szCs w:val="17"/>
          <w:b w:val="1"/>
          <w:bCs w:val="1"/>
          <w:color w:val="auto"/>
        </w:rPr>
        <w:t>Chief Executive Officer, Chief Financial Officer, and Director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5" w:name="page26"/>
    <w:bookmarkEnd w:id="2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rFonts w:ascii="Arial" w:cs="Arial" w:eastAsia="Arial" w:hAnsi="Arial"/>
          <w:sz w:val="17"/>
          <w:szCs w:val="17"/>
          <w:b w:val="1"/>
          <w:bCs w:val="1"/>
          <w:u w:val="single" w:color="auto"/>
          <w:color w:val="auto"/>
        </w:rPr>
        <w:t>SETTLEMENT AGREEMENT AND RELEASE</w:t>
      </w:r>
    </w:p>
    <w:p>
      <w:pPr>
        <w:spacing w:after="0" w:line="24" w:lineRule="exact"/>
        <w:rPr>
          <w:sz w:val="20"/>
          <w:szCs w:val="20"/>
          <w:color w:val="auto"/>
        </w:rPr>
      </w:pPr>
    </w:p>
    <w:p>
      <w:pPr>
        <w:jc w:val="both"/>
        <w:ind w:firstLine="611"/>
        <w:spacing w:after="0" w:line="278" w:lineRule="auto"/>
        <w:rPr>
          <w:sz w:val="20"/>
          <w:szCs w:val="20"/>
          <w:color w:val="auto"/>
        </w:rPr>
      </w:pPr>
      <w:r>
        <w:rPr>
          <w:rFonts w:ascii="Arial" w:cs="Arial" w:eastAsia="Arial" w:hAnsi="Arial"/>
          <w:sz w:val="16"/>
          <w:szCs w:val="16"/>
          <w:color w:val="auto"/>
        </w:rPr>
        <w:t>This Settlement Agreement and Release ("Settlement Agreement") is entered into effective June 30, 2011, by and between OptimizeRx. Corporation, located at 407 Sixth Street, Rochester, Michigan 48307 ("OptimizeRx."), and Midtown P8.1iners &amp; Co., LLC, with offices at 4218 West Linebaugh Avenue, Tampa, Florida 33624 ("Midtown"). OptimizeRx. and Midtown may collectively be referred to herein as the "Parties," or individually as a "Party."</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RECITALS</w:t>
      </w:r>
    </w:p>
    <w:p>
      <w:pPr>
        <w:spacing w:after="0" w:line="216"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A. This matter pertains to a dispute regarding that certain Placement Agent Agreement entered into on or around June 27, 2008 by and between OptimizeRx and Midtown (the "Placement Agreement") and Midtown's performance under the Agreement (the "Dispute").</w:t>
      </w:r>
    </w:p>
    <w:p>
      <w:pPr>
        <w:spacing w:after="0" w:line="368" w:lineRule="exact"/>
        <w:rPr>
          <w:sz w:val="20"/>
          <w:szCs w:val="20"/>
          <w:color w:val="auto"/>
        </w:rPr>
      </w:pPr>
    </w:p>
    <w:p>
      <w:pPr>
        <w:jc w:val="both"/>
        <w:ind w:left="520" w:hanging="202"/>
        <w:spacing w:after="0" w:line="273" w:lineRule="auto"/>
        <w:rPr>
          <w:sz w:val="20"/>
          <w:szCs w:val="20"/>
          <w:color w:val="auto"/>
        </w:rPr>
      </w:pPr>
      <w:r>
        <w:rPr>
          <w:rFonts w:ascii="Arial" w:cs="Arial" w:eastAsia="Arial" w:hAnsi="Arial"/>
          <w:sz w:val="16"/>
          <w:szCs w:val="16"/>
          <w:color w:val="auto"/>
        </w:rPr>
        <w:t>B. Midtown contends that, upon completion of the investment by Vicis Capital Master Fund on or about June 4, 2010, Midtown became entitled to receive under the Placement Agreement: (a) a Common Stock Purchase Warrant exercisable into 100,000 shares of common stock of OptimizeRx, at a strike price of $1.00, and (b) a Common Stock Purchase Warrant exercisable into 300,000 shares of common stock of OptimizeRx., at a strike price of $3.00 (collectively referred to herein as the "Warrant Shares and the "Warrants"). Pursuant to the tem1S of the Placement Agreement, the Warrants contain cashless exercise features. In exchange for the issuance of the Warrants under the Placement Agreement, and Warrant Shares issuable upon exercise of such Warrants, OptimizeRx· is issuing to Midtown the shares described in paragraph 1.B below.</w:t>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 OpimizeRx commenced a lawsuit (the "Lawsuit") against Midtown regarding the· Dispute, which is currently pending before the Honorable Lawrence P.</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Zatkoffin the United States District Court for the Eastern District of Michigan and having Case No. 2:10-cv-13678.</w:t>
      </w:r>
    </w:p>
    <w:p>
      <w:pPr>
        <w:spacing w:after="0" w:line="200" w:lineRule="exact"/>
        <w:rPr>
          <w:sz w:val="20"/>
          <w:szCs w:val="20"/>
          <w:color w:val="auto"/>
        </w:rPr>
      </w:pPr>
    </w:p>
    <w:p>
      <w:pPr>
        <w:spacing w:after="0" w:line="204" w:lineRule="exact"/>
        <w:rPr>
          <w:sz w:val="20"/>
          <w:szCs w:val="20"/>
          <w:color w:val="auto"/>
        </w:rPr>
      </w:pPr>
    </w:p>
    <w:p>
      <w:pPr>
        <w:jc w:val="both"/>
        <w:ind w:left="520" w:hanging="202"/>
        <w:spacing w:after="0" w:line="274" w:lineRule="auto"/>
        <w:rPr>
          <w:sz w:val="20"/>
          <w:szCs w:val="20"/>
          <w:color w:val="auto"/>
        </w:rPr>
      </w:pPr>
      <w:r>
        <w:rPr>
          <w:rFonts w:ascii="Arial" w:cs="Arial" w:eastAsia="Arial" w:hAnsi="Arial"/>
          <w:sz w:val="17"/>
          <w:szCs w:val="17"/>
          <w:color w:val="auto"/>
        </w:rPr>
        <w:t>D. The Parties have reached an amicable resolution of the Dispute and desire to resolve the Dispute, the Lawsuit, and all issues and claims raised or which could have been raised in the Lawsuit, pursuant to the following terms and conditions: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AGREEMENT</w:t>
      </w:r>
    </w:p>
    <w:p>
      <w:pPr>
        <w:spacing w:after="0" w:line="2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NOW THEREFORE, for good and valuable consideration, the receipt and sufficiency of which is hereby acknowledged, the Parties agree as follows:</w:t>
      </w:r>
    </w:p>
    <w:p>
      <w:pPr>
        <w:spacing w:after="0" w:line="200" w:lineRule="exact"/>
        <w:rPr>
          <w:sz w:val="20"/>
          <w:szCs w:val="20"/>
          <w:color w:val="auto"/>
        </w:rPr>
      </w:pPr>
    </w:p>
    <w:p>
      <w:pPr>
        <w:ind w:left="180" w:hanging="178"/>
        <w:spacing w:after="0"/>
        <w:tabs>
          <w:tab w:leader="none" w:pos="1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 consideration of the Settlement Agreement reached between the P8.1ties and the releases granted herein, OptimizeRx agrees to compensate Midtown as follows:</w:t>
      </w:r>
    </w:p>
    <w:p>
      <w:pPr>
        <w:spacing w:after="0" w:line="234" w:lineRule="exact"/>
        <w:rPr>
          <w:rFonts w:ascii="Arial" w:cs="Arial" w:eastAsia="Arial" w:hAnsi="Arial"/>
          <w:sz w:val="15"/>
          <w:szCs w:val="15"/>
          <w:color w:val="auto"/>
        </w:rPr>
      </w:pPr>
    </w:p>
    <w:p>
      <w:pPr>
        <w:ind w:left="5680"/>
        <w:spacing w:after="0"/>
        <w:rPr>
          <w:rFonts w:ascii="Arial" w:cs="Arial" w:eastAsia="Arial" w:hAnsi="Arial"/>
          <w:sz w:val="15"/>
          <w:szCs w:val="15"/>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7" w:name="page28"/>
    <w:bookmarkEnd w:id="27"/>
    <w:p>
      <w:pPr>
        <w:ind w:left="520" w:hanging="202"/>
        <w:spacing w:after="0" w:line="306" w:lineRule="auto"/>
        <w:rPr>
          <w:sz w:val="20"/>
          <w:szCs w:val="20"/>
          <w:color w:val="auto"/>
        </w:rPr>
      </w:pPr>
      <w:r>
        <w:rPr>
          <w:rFonts w:ascii="Arial" w:cs="Arial" w:eastAsia="Arial" w:hAnsi="Arial"/>
          <w:sz w:val="16"/>
          <w:szCs w:val="16"/>
          <w:color w:val="auto"/>
        </w:rPr>
        <w:t>A. OptimizeRx shall cause to be transferred to an amount controlled by Midtown the amount of Fifty Seven Thousand Five Hundred United States Dollars ($57,500 US) ("Settlement Funds"), pursuant to wire transfer instructions provided to OptimizeRx by Midtown on or before June 30, 2011, and</w:t>
      </w:r>
    </w:p>
    <w:p>
      <w:pPr>
        <w:spacing w:after="0" w:line="345" w:lineRule="exact"/>
        <w:rPr>
          <w:sz w:val="20"/>
          <w:szCs w:val="20"/>
          <w:color w:val="auto"/>
        </w:rPr>
      </w:pPr>
    </w:p>
    <w:p>
      <w:pPr>
        <w:ind w:left="520" w:hanging="213"/>
        <w:spacing w:after="0" w:line="342" w:lineRule="auto"/>
        <w:tabs>
          <w:tab w:leader="none" w:pos="520" w:val="left"/>
        </w:tabs>
        <w:numPr>
          <w:ilvl w:val="1"/>
          <w:numId w:val="21"/>
        </w:numPr>
        <w:rPr>
          <w:rFonts w:ascii="Arial" w:cs="Arial" w:eastAsia="Arial" w:hAnsi="Arial"/>
          <w:sz w:val="15"/>
          <w:szCs w:val="15"/>
          <w:color w:val="auto"/>
        </w:rPr>
      </w:pPr>
      <w:r>
        <w:rPr>
          <w:rFonts w:ascii="Arial" w:cs="Arial" w:eastAsia="Arial" w:hAnsi="Arial"/>
          <w:sz w:val="15"/>
          <w:szCs w:val="15"/>
          <w:color w:val="auto"/>
        </w:rPr>
        <w:t>OptimizeRx shall issue to Midtown via a transfer agent selected by OptimizeRx the amount of One Hundred Thousand (100,000) shares of Restricted Common Stock of OptimizeRx Corporation (the "Shares"), within 10 days of the date of the execution of this Settlement Agreement by the last Party to execute it.</w:t>
      </w:r>
    </w:p>
    <w:p>
      <w:pPr>
        <w:spacing w:after="0" w:line="322" w:lineRule="exact"/>
        <w:rPr>
          <w:rFonts w:ascii="Arial" w:cs="Arial" w:eastAsia="Arial" w:hAnsi="Arial"/>
          <w:sz w:val="15"/>
          <w:szCs w:val="15"/>
          <w:color w:val="auto"/>
        </w:rPr>
      </w:pPr>
    </w:p>
    <w:p>
      <w:pPr>
        <w:jc w:val="both"/>
        <w:ind w:firstLine="2"/>
        <w:spacing w:after="0" w:line="257" w:lineRule="auto"/>
        <w:tabs>
          <w:tab w:leader="none" w:pos="175"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OptimizeRx and Midtown both expressly agree that the Placement Agreement is terminated and is and shall forever be null and void, and that immediately upon the termination of the Placement Agreement as set forth in this paragraph, both OptimizeRx and Midtown release and discharge each other from any and all rights and obligations, real and perceived, arising directly or indirectly from, or in any way related to, the Placement Agreement. Nothing in this Section shall affect Section 3 and 4 below.</w:t>
      </w:r>
    </w:p>
    <w:p>
      <w:pPr>
        <w:spacing w:after="0" w:line="180" w:lineRule="exact"/>
        <w:rPr>
          <w:rFonts w:ascii="Arial" w:cs="Arial" w:eastAsia="Arial" w:hAnsi="Arial"/>
          <w:sz w:val="17"/>
          <w:szCs w:val="17"/>
          <w:color w:val="auto"/>
        </w:rPr>
      </w:pPr>
    </w:p>
    <w:p>
      <w:pPr>
        <w:jc w:val="both"/>
        <w:ind w:firstLine="2"/>
        <w:spacing w:after="0" w:line="254" w:lineRule="auto"/>
        <w:tabs>
          <w:tab w:leader="none" w:pos="182"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Midtown for itself and its members, partners, representatives, successors and assigns, releases and forever discharges OptimizeRx, and its sureties, representatives, parents, related parties, successors, assigns, agents, insurers, attorneys, accountants, affiliates, employees, officers, shareholders, directors, and/or trustees, past and present, from any and all payments, damages, costs, fees, Claims, demands, injuries, actions, causes of action, obligations, penalties and losses, known or unknown, contingent or accrued, now existing or hereafter arising, directly or indirectly, in connection with the Dispute, the Litigation, and any and all issues and claims that were or could have been raised or asserted in the Dispute and/or in the Litigation, under the Placement Agreement or otherwise.</w:t>
      </w:r>
    </w:p>
    <w:p>
      <w:pPr>
        <w:spacing w:after="0" w:line="183" w:lineRule="exact"/>
        <w:rPr>
          <w:rFonts w:ascii="Arial" w:cs="Arial" w:eastAsia="Arial" w:hAnsi="Arial"/>
          <w:sz w:val="17"/>
          <w:szCs w:val="17"/>
          <w:color w:val="auto"/>
        </w:rPr>
      </w:pPr>
    </w:p>
    <w:p>
      <w:pPr>
        <w:jc w:val="both"/>
        <w:ind w:firstLine="2"/>
        <w:spacing w:after="0" w:line="298" w:lineRule="auto"/>
        <w:tabs>
          <w:tab w:leader="none" w:pos="170" w:val="left"/>
        </w:tabs>
        <w:numPr>
          <w:ilvl w:val="0"/>
          <w:numId w:val="22"/>
        </w:numPr>
        <w:rPr>
          <w:rFonts w:ascii="Arial" w:cs="Arial" w:eastAsia="Arial" w:hAnsi="Arial"/>
          <w:sz w:val="15"/>
          <w:szCs w:val="15"/>
          <w:color w:val="auto"/>
        </w:rPr>
      </w:pPr>
      <w:r>
        <w:rPr>
          <w:rFonts w:ascii="Arial" w:cs="Arial" w:eastAsia="Arial" w:hAnsi="Arial"/>
          <w:sz w:val="15"/>
          <w:szCs w:val="15"/>
          <w:color w:val="auto"/>
        </w:rPr>
        <w:t>Upon Midtown's receipt of the Settlement Funds and Shares, OptimizeRx for itself and its shareholders, representatives, successors and assigns, releases and forever discharges Midtown, and its sureties, representatives, parents, related parties, successors, assigns, agents, insurers, attorneys, accountants, affiliates, employees, officers, members, partners, directors, and/or trustees, past and present, from any and all payments, damages, costs, fees, claims, demands, i!1iuries, actions, causes of action, obligations, penalties and losses, known or unknown, contingent or accrued, now existing or hereafter arising, directly or indirectly, in connection with the Dispute, the Litigation, and any and all issues and claims that were or could have been asserted in the Dispute and/or in the Litigation, under the Placement Agreement or otherwise.</w:t>
      </w:r>
    </w:p>
    <w:p>
      <w:pPr>
        <w:spacing w:after="0" w:line="150" w:lineRule="exact"/>
        <w:rPr>
          <w:rFonts w:ascii="Arial" w:cs="Arial" w:eastAsia="Arial" w:hAnsi="Arial"/>
          <w:sz w:val="15"/>
          <w:szCs w:val="15"/>
          <w:color w:val="auto"/>
        </w:rPr>
      </w:pPr>
    </w:p>
    <w:p>
      <w:pPr>
        <w:ind w:firstLine="2"/>
        <w:spacing w:after="0" w:line="274" w:lineRule="auto"/>
        <w:tabs>
          <w:tab w:leader="none" w:pos="182" w:val="left"/>
        </w:tabs>
        <w:numPr>
          <w:ilvl w:val="0"/>
          <w:numId w:val="22"/>
        </w:numPr>
        <w:rPr>
          <w:rFonts w:ascii="Arial" w:cs="Arial" w:eastAsia="Arial" w:hAnsi="Arial"/>
          <w:sz w:val="17"/>
          <w:szCs w:val="17"/>
          <w:color w:val="auto"/>
        </w:rPr>
      </w:pPr>
      <w:r>
        <w:rPr>
          <w:rFonts w:ascii="Arial" w:cs="Arial" w:eastAsia="Arial" w:hAnsi="Arial"/>
          <w:sz w:val="17"/>
          <w:szCs w:val="17"/>
          <w:color w:val="auto"/>
        </w:rPr>
        <w:t>Upon Midtown's receipt of the Settlement Funds and Shares, counsel for OptimizeRx will cause to be entered with the United States District Court a stipulated dismissal with prejudice of the Lawsuit in the form attached as Exhibit A 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28" w:name="page29"/>
    <w:bookmarkEnd w:id="28"/>
    <w:p>
      <w:pPr>
        <w:jc w:val="both"/>
        <w:ind w:firstLine="2"/>
        <w:spacing w:after="0" w:line="255" w:lineRule="auto"/>
        <w:tabs>
          <w:tab w:leader="none" w:pos="182"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Parties agree that the terms and conditions of this Settlement Agreement are, and shall forever remain, confidential information. The Parties agree that such confidential information shall not hereafter be used or shown, disseminated, copied, or in any way communicated to anyone, for any purpose whatsoever, except those disclosures that are either a reasonable business necessity, or those disclosures ordered by court or required by law. If a Party is required by subpoena or other court order to disclose such confidential information, that Party shall provide 14 days written notice of the court order to the other Party to allow the other Party time in 'which to challenge the court order.</w:t>
      </w:r>
    </w:p>
    <w:p>
      <w:pPr>
        <w:spacing w:after="0" w:line="182" w:lineRule="exact"/>
        <w:rPr>
          <w:rFonts w:ascii="Arial" w:cs="Arial" w:eastAsia="Arial" w:hAnsi="Arial"/>
          <w:sz w:val="17"/>
          <w:szCs w:val="17"/>
          <w:color w:val="auto"/>
        </w:rPr>
      </w:pPr>
    </w:p>
    <w:p>
      <w:pPr>
        <w:ind w:firstLine="2"/>
        <w:spacing w:after="0" w:line="274" w:lineRule="auto"/>
        <w:tabs>
          <w:tab w:leader="none" w:pos="1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Parties acknowledge and agree that no part of the claims released in the Settlement Agreement have been assigned, in whole or in part, to any person, partnership, corporation, firm or other corporate entity.</w:t>
      </w:r>
    </w:p>
    <w:p>
      <w:pPr>
        <w:spacing w:after="0" w:line="164" w:lineRule="exact"/>
        <w:rPr>
          <w:rFonts w:ascii="Arial" w:cs="Arial" w:eastAsia="Arial" w:hAnsi="Arial"/>
          <w:sz w:val="17"/>
          <w:szCs w:val="17"/>
          <w:color w:val="auto"/>
        </w:rPr>
      </w:pPr>
    </w:p>
    <w:p>
      <w:pPr>
        <w:jc w:val="both"/>
        <w:ind w:firstLine="2"/>
        <w:spacing w:after="0" w:line="261" w:lineRule="auto"/>
        <w:tabs>
          <w:tab w:leader="none" w:pos="17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settlement represented by this Settlement Agreement is a compromise by the Parties of disputed claims and the Parties agree that the payments made, the claims released, and this Settlement Agreement, are not to be construed as, and are not, admissions of liability, fault, negligence, or any other wrongdoing on the part of any Party; any and all liability, fault, negligence or any wrongdoing by any and all Parties is specifically denied.</w:t>
      </w:r>
    </w:p>
    <w:p>
      <w:pPr>
        <w:spacing w:after="0" w:line="176" w:lineRule="exact"/>
        <w:rPr>
          <w:rFonts w:ascii="Arial" w:cs="Arial" w:eastAsia="Arial" w:hAnsi="Arial"/>
          <w:sz w:val="17"/>
          <w:szCs w:val="17"/>
          <w:color w:val="auto"/>
        </w:rPr>
      </w:pPr>
    </w:p>
    <w:p>
      <w:pPr>
        <w:jc w:val="both"/>
        <w:ind w:firstLine="2"/>
        <w:spacing w:after="0" w:line="285" w:lineRule="auto"/>
        <w:tabs>
          <w:tab w:leader="none" w:pos="17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of the terms of this Settlement Agreement are contractual including those terms contained in the "Recitals" section of this Settlement Agreement.' This Settlement Agreement shall be binding upon and shall inure to the benefit of the Parties and their sureties, representatives, related parties, successors, assigns, agents, insurers, attorneys, accountants, affiliates, employees, officers, shareholders, directors, members, partners, and/or trustees, past and present.</w:t>
      </w:r>
    </w:p>
    <w:p>
      <w:pPr>
        <w:spacing w:after="0" w:line="158" w:lineRule="exact"/>
        <w:rPr>
          <w:rFonts w:ascii="Arial" w:cs="Arial" w:eastAsia="Arial" w:hAnsi="Arial"/>
          <w:sz w:val="16"/>
          <w:szCs w:val="16"/>
          <w:color w:val="auto"/>
        </w:rPr>
      </w:pPr>
    </w:p>
    <w:p>
      <w:pPr>
        <w:jc w:val="both"/>
        <w:ind w:firstLine="2"/>
        <w:spacing w:after="0" w:line="272" w:lineRule="auto"/>
        <w:tabs>
          <w:tab w:leader="none" w:pos="254"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Parties hereby covenant and agree that each shall not knowingly make, at any time or place, any disparaging remarks, verbally or in writing, concerning any of their respective actions or perceived omissions, regarding any matter or allegation connected with this Settlement Agreement and/or the relationship between tile Parties. The Parties expressly understand and acknowledge that each Party's business and reputation are of special, unique and extraordinary character, which give them a particular value, the loss of which cannot reasonably be compensated in damages in an action at law. Accordingly, the Parties further agree that in addition to any other rights or remedies that any other party may possess at law, any aggrieved Party shall be entitled to injunctive and other equitable relief in order to prevent or remedy a breach of the provisions of this section by any Party hereto. Nothing contained in this Settlement Agreement shall preclude a lawsuit by any Party hereto against another Party for the enforcement of this Agreement and in particular this Section.</w:t>
      </w:r>
    </w:p>
    <w:p>
      <w:pPr>
        <w:spacing w:after="0" w:line="168" w:lineRule="exact"/>
        <w:rPr>
          <w:rFonts w:ascii="Arial" w:cs="Arial" w:eastAsia="Arial" w:hAnsi="Arial"/>
          <w:sz w:val="16"/>
          <w:szCs w:val="16"/>
          <w:color w:val="auto"/>
        </w:rPr>
      </w:pPr>
    </w:p>
    <w:p>
      <w:pPr>
        <w:ind w:left="240" w:hanging="238"/>
        <w:spacing w:after="0"/>
        <w:tabs>
          <w:tab w:leader="none" w:pos="2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Settlement Agreement shall survive the release of any claims.</w:t>
      </w:r>
    </w:p>
    <w:p>
      <w:pPr>
        <w:spacing w:after="0" w:line="211" w:lineRule="exact"/>
        <w:rPr>
          <w:rFonts w:ascii="Arial" w:cs="Arial" w:eastAsia="Arial" w:hAnsi="Arial"/>
          <w:sz w:val="17"/>
          <w:szCs w:val="17"/>
          <w:color w:val="auto"/>
        </w:rPr>
      </w:pPr>
    </w:p>
    <w:p>
      <w:pPr>
        <w:jc w:val="both"/>
        <w:ind w:firstLine="2"/>
        <w:spacing w:after="0" w:line="257" w:lineRule="auto"/>
        <w:tabs>
          <w:tab w:leader="none" w:pos="2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This Settlement Agreement represents the entire understanding and agreement between tile Parties with respect to the subject matter hereof and cannot be amended, supplemented, or changed in any respect, except by a written instrument signed by the Party against whom enforcement of any such amendment, supplement, or modification is sought. This Settlement Agreement supersedes all prior negotiations, understandings, agreements, or representations, oral or written, between or among the Parties with respect to the subject matter 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29" w:name="page30"/>
    <w:bookmarkEnd w:id="29"/>
    <w:p>
      <w:pPr>
        <w:ind w:firstLine="2"/>
        <w:spacing w:after="0" w:line="274" w:lineRule="auto"/>
        <w:tabs>
          <w:tab w:leader="none" w:pos="2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This Settlement Agreement may be executed in one or more counterparts (including by facsimile signatures), each of which fully signed counterpart shall be deemed to be an original for all purposes, and all of which together shall constitute one and the same instrument.</w:t>
      </w:r>
    </w:p>
    <w:p>
      <w:pPr>
        <w:spacing w:after="0" w:line="164" w:lineRule="exact"/>
        <w:rPr>
          <w:rFonts w:ascii="Arial" w:cs="Arial" w:eastAsia="Arial" w:hAnsi="Arial"/>
          <w:sz w:val="17"/>
          <w:szCs w:val="17"/>
          <w:color w:val="auto"/>
        </w:rPr>
      </w:pPr>
    </w:p>
    <w:p>
      <w:pPr>
        <w:jc w:val="both"/>
        <w:ind w:firstLine="2"/>
        <w:spacing w:after="0" w:line="261" w:lineRule="auto"/>
        <w:tabs>
          <w:tab w:leader="none" w:pos="267"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terms of this Agreement are severable. If any portion of this Settlement Agreement shall for any reason be held invalid or unenforceable, such invalidity or unenforceability shall not affect any other provision contained in this Settlement Agreement, and instead, this Settlement Agreement shall be construed as if such invalid or unenforceable provision had never been contained therein.</w:t>
      </w:r>
    </w:p>
    <w:p>
      <w:pPr>
        <w:spacing w:after="0" w:line="176" w:lineRule="exact"/>
        <w:rPr>
          <w:rFonts w:ascii="Arial" w:cs="Arial" w:eastAsia="Arial" w:hAnsi="Arial"/>
          <w:sz w:val="17"/>
          <w:szCs w:val="17"/>
          <w:color w:val="auto"/>
        </w:rPr>
      </w:pPr>
    </w:p>
    <w:p>
      <w:pPr>
        <w:ind w:left="260" w:hanging="258"/>
        <w:spacing w:after="0"/>
        <w:tabs>
          <w:tab w:leader="none" w:pos="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Those signing on behalf of the Parties to this Settlement Agreement each individually warrant that they are duly authorized to sign on behalf of such party.</w:t>
      </w:r>
    </w:p>
    <w:p>
      <w:pPr>
        <w:spacing w:after="0" w:line="223" w:lineRule="exact"/>
        <w:rPr>
          <w:rFonts w:ascii="Arial" w:cs="Arial" w:eastAsia="Arial" w:hAnsi="Arial"/>
          <w:sz w:val="16"/>
          <w:szCs w:val="16"/>
          <w:color w:val="auto"/>
        </w:rPr>
      </w:pPr>
    </w:p>
    <w:p>
      <w:pPr>
        <w:jc w:val="both"/>
        <w:ind w:firstLine="2"/>
        <w:spacing w:after="0" w:line="279" w:lineRule="auto"/>
        <w:tabs>
          <w:tab w:leader="none" w:pos="254" w:val="left"/>
        </w:tabs>
        <w:numPr>
          <w:ilvl w:val="0"/>
          <w:numId w:val="24"/>
        </w:numPr>
        <w:rPr>
          <w:rFonts w:ascii="Arial" w:cs="Arial" w:eastAsia="Arial" w:hAnsi="Arial"/>
          <w:sz w:val="16"/>
          <w:szCs w:val="16"/>
          <w:color w:val="auto"/>
        </w:rPr>
      </w:pPr>
      <w:r>
        <w:rPr>
          <w:rFonts w:ascii="Arial" w:cs="Arial" w:eastAsia="Arial" w:hAnsi="Arial"/>
          <w:sz w:val="16"/>
          <w:szCs w:val="16"/>
          <w:color w:val="auto"/>
        </w:rPr>
        <w:t>Each Party acknowledges that the party had the opportunity to seek the advice of counsel of the Party's choosing in reviewing this Settlement Agreement and each acknowledges that the Party enters into this Settlement Agreement of the Party's own free and voluntary act and will and is under no duress or undue influence. The Parties also agree that the Parties and/or their counsel participated in the negotiation and drafting of this Settlement Agreement. The terms of the Settlement Agreement shall not be construed against a Party solely because of a Party's participation in the drafting of this Settlement Agreement</w:t>
      </w:r>
    </w:p>
    <w:p>
      <w:pPr>
        <w:spacing w:after="0" w:line="162" w:lineRule="exact"/>
        <w:rPr>
          <w:rFonts w:ascii="Arial" w:cs="Arial" w:eastAsia="Arial" w:hAnsi="Arial"/>
          <w:sz w:val="16"/>
          <w:szCs w:val="16"/>
          <w:color w:val="auto"/>
        </w:rPr>
      </w:pPr>
    </w:p>
    <w:p>
      <w:pPr>
        <w:ind w:left="260" w:hanging="258"/>
        <w:spacing w:after="0"/>
        <w:tabs>
          <w:tab w:leader="none" w:pos="26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SECURITIES LAW REPRESENTATIONS</w:t>
      </w:r>
      <w:r>
        <w:rPr>
          <w:rFonts w:ascii="Arial" w:cs="Arial" w:eastAsia="Arial" w:hAnsi="Arial"/>
          <w:sz w:val="17"/>
          <w:szCs w:val="17"/>
          <w:color w:val="auto"/>
        </w:rPr>
        <w:t>. Midtown hereby represents, warrants and agrees to the following:</w:t>
      </w:r>
    </w:p>
    <w:p>
      <w:pPr>
        <w:spacing w:after="0" w:line="212" w:lineRule="exact"/>
        <w:rPr>
          <w:sz w:val="20"/>
          <w:szCs w:val="20"/>
          <w:color w:val="auto"/>
        </w:rPr>
      </w:pPr>
    </w:p>
    <w:p>
      <w:pPr>
        <w:jc w:val="both"/>
        <w:ind w:firstLine="2"/>
        <w:spacing w:after="0" w:line="273" w:lineRule="auto"/>
        <w:tabs>
          <w:tab w:leader="none" w:pos="243"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SHARES TO BE ISSUED PURSUANT TO SECTION 1(B) ABOVE HAVE NOT BEEN REGISTERED UNDER THE SECURITIES ACT OF 1933, AS AMENDED (THE "ACT"), OR THE SECURITIES LAWS OF ANY STATE, AND ARE BEING ISSUED IN RELIANCE ON EXEMPTIONS FROM THE REGISTRATION REQUIREMENTS OF THE ACT AND SUCH LAWS. THE SHARES HAVE NOT BEEN APPROVED OR DISAPPROVED BY THE SECURITIES AND EXCHANGE COMMISSION, OR BY THE SECURITIES REGULATORY AUTHORITY OF ANY STATE, NOR HAVE ANY OF THE FOREGOING AUTHORITIES PASSED UPON OR ENDORSED THE MERITS OF THIS INVESTMENT. ANY REPRESENTATION TO THE CONTRARY IS UNLAWFUL. THE SHARES MAY NOT BE TRANSFERRED, WHOLLY OR IN PART, EXCEPT IN COMPLIANCE WITH APPLICABLE SECURITIES LAWS.</w:t>
      </w:r>
    </w:p>
    <w:p>
      <w:pPr>
        <w:spacing w:after="0" w:line="169" w:lineRule="exact"/>
        <w:rPr>
          <w:rFonts w:ascii="Arial" w:cs="Arial" w:eastAsia="Arial" w:hAnsi="Arial"/>
          <w:sz w:val="16"/>
          <w:szCs w:val="16"/>
          <w:color w:val="auto"/>
        </w:rPr>
      </w:pPr>
    </w:p>
    <w:p>
      <w:pPr>
        <w:jc w:val="both"/>
        <w:ind w:firstLine="2"/>
        <w:spacing w:after="0" w:line="257" w:lineRule="auto"/>
        <w:tabs>
          <w:tab w:leader="none" w:pos="2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Shares are being issued for Midtown's own account for investment and not with a view for distribution or resale to others. Midtown agrees that it will not sell or otherwise transfer the Shares unless: (i) the Shares represented have been registered under the Act and applicable state securities laws or, in the opinion of counsel acceptable to OptimizeRx, an exemption from registration is available; and (ii) such transfer will riot, in the opinion of counsel acceptable to OptimizeRx, cause OptimizeRx to violate any of the applicable federal and state securities laws and regulations.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7254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636"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color w:val="auto"/>
        </w:rPr>
        <w:t>(c). Midtown is an "Accredited Investor" as deemed in Rule 501 of Regulation D under the Act.</w:t>
      </w:r>
    </w:p>
    <w:p>
      <w:pPr>
        <w:spacing w:after="0" w:line="212" w:lineRule="exact"/>
        <w:rPr>
          <w:sz w:val="20"/>
          <w:szCs w:val="20"/>
          <w:color w:val="auto"/>
        </w:rPr>
      </w:pPr>
    </w:p>
    <w:p>
      <w:pPr>
        <w:ind w:firstLine="2"/>
        <w:spacing w:after="0" w:line="274" w:lineRule="auto"/>
        <w:tabs>
          <w:tab w:leader="none" w:pos="2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Midtown has such knowledge and experience in financial and business matters in general and in particular with respect to this type of investment that Midtown is capable of evaluating the merits and risks of an investment in OptimizeRx.</w:t>
      </w:r>
    </w:p>
    <w:p>
      <w:pPr>
        <w:spacing w:after="0" w:line="164" w:lineRule="exact"/>
        <w:rPr>
          <w:rFonts w:ascii="Arial" w:cs="Arial" w:eastAsia="Arial" w:hAnsi="Arial"/>
          <w:sz w:val="17"/>
          <w:szCs w:val="17"/>
          <w:color w:val="auto"/>
        </w:rPr>
      </w:pPr>
    </w:p>
    <w:p>
      <w:pPr>
        <w:ind w:firstLine="2"/>
        <w:spacing w:after="0" w:line="274" w:lineRule="auto"/>
        <w:tabs>
          <w:tab w:leader="none" w:pos="2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Midtown represents that it has adequate means of providing for its current needs and possible future financial contingencies and that Midtown has no need for liquidity in the Shares.</w:t>
      </w:r>
    </w:p>
    <w:p>
      <w:pPr>
        <w:spacing w:after="0" w:line="164" w:lineRule="exact"/>
        <w:rPr>
          <w:rFonts w:ascii="Arial" w:cs="Arial" w:eastAsia="Arial" w:hAnsi="Arial"/>
          <w:sz w:val="17"/>
          <w:szCs w:val="17"/>
          <w:color w:val="auto"/>
        </w:rPr>
      </w:pPr>
    </w:p>
    <w:p>
      <w:pPr>
        <w:jc w:val="both"/>
        <w:ind w:firstLine="2"/>
        <w:spacing w:after="0" w:line="254" w:lineRule="auto"/>
        <w:tabs>
          <w:tab w:leader="none" w:pos="224"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Midtown recognizes, understands and has evaluated all of the disclosures and risk factors related to OptimizeRx and the Shares as disclosed in OptimizeRx's periodic reports filed with the U.S. Securities and Exchange Commission. Midtown is aware that this investment is speculative and involves a high degree of risk and that there is no assurance as to the future performance of OptimizeRx. Midtown has been given an opportunity to ask OptimizeRx questions related to OptimizeRx's financial condition and plans of operations. OPTIMIZERX HAS NOT MADE TO MIDTOWN, NOR IS HEREBY MAKING TO MIDTOWN, ANY REPRESENTATION OR WARRANTY RELATING TO ITS CURRENT OR FUTURE FINANCIAL CONDITION OR TO ANY OF ITS CURRENT OR FUTURE PLANS OF OPERATIONS.</w:t>
      </w:r>
    </w:p>
    <w:p>
      <w:pPr>
        <w:spacing w:after="0" w:line="183" w:lineRule="exact"/>
        <w:rPr>
          <w:rFonts w:ascii="Arial" w:cs="Arial" w:eastAsia="Arial" w:hAnsi="Arial"/>
          <w:sz w:val="17"/>
          <w:szCs w:val="17"/>
          <w:color w:val="auto"/>
        </w:rPr>
      </w:pPr>
    </w:p>
    <w:p>
      <w:pPr>
        <w:ind w:firstLine="2"/>
        <w:spacing w:after="0" w:line="274" w:lineRule="auto"/>
        <w:tabs>
          <w:tab w:leader="none" w:pos="253" w:val="left"/>
        </w:tabs>
        <w:numPr>
          <w:ilvl w:val="0"/>
          <w:numId w:val="26"/>
        </w:numPr>
        <w:rPr>
          <w:rFonts w:ascii="Arial" w:cs="Arial" w:eastAsia="Arial" w:hAnsi="Arial"/>
          <w:sz w:val="17"/>
          <w:szCs w:val="17"/>
          <w:color w:val="auto"/>
        </w:rPr>
      </w:pPr>
      <w:r>
        <w:rPr>
          <w:rFonts w:ascii="Arial" w:cs="Arial" w:eastAsia="Arial" w:hAnsi="Arial"/>
          <w:sz w:val="17"/>
          <w:szCs w:val="17"/>
          <w:color w:val="auto"/>
        </w:rPr>
        <w:t>Midtown hereby acknowledges that it has discussed with its professional, legal, tax and financial advisors the suitability of an investment in OptimizeRx for Midtown's particular tax and financial situation.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signed this Settlement Agreement effective the date first written above.</w:t>
      </w:r>
    </w:p>
    <w:p>
      <w:pPr>
        <w:spacing w:after="0" w:line="212" w:lineRule="exact"/>
        <w:rPr>
          <w:sz w:val="20"/>
          <w:szCs w:val="20"/>
          <w:color w:val="auto"/>
        </w:rPr>
      </w:pPr>
    </w:p>
    <w:p>
      <w:pPr>
        <w:ind w:left="8580"/>
        <w:spacing w:after="0"/>
        <w:rPr>
          <w:sz w:val="20"/>
          <w:szCs w:val="20"/>
          <w:color w:val="auto"/>
        </w:rPr>
      </w:pPr>
      <w:r>
        <w:rPr>
          <w:rFonts w:ascii="Arial" w:cs="Arial" w:eastAsia="Arial" w:hAnsi="Arial"/>
          <w:sz w:val="17"/>
          <w:szCs w:val="17"/>
          <w:color w:val="auto"/>
        </w:rPr>
        <w:t>OPTIMIZERX CORPORATION</w:t>
      </w:r>
    </w:p>
    <w:p>
      <w:pPr>
        <w:spacing w:after="0" w:line="20" w:lineRule="exact"/>
        <w:rPr>
          <w:sz w:val="20"/>
          <w:szCs w:val="20"/>
          <w:color w:val="auto"/>
        </w:rPr>
      </w:pPr>
    </w:p>
    <w:p>
      <w:pPr>
        <w:ind w:left="100"/>
        <w:spacing w:after="0"/>
        <w:tabs>
          <w:tab w:leader="none" w:pos="8080" w:val="left"/>
          <w:tab w:leader="none" w:pos="8560" w:val="left"/>
        </w:tabs>
        <w:rPr>
          <w:sz w:val="20"/>
          <w:szCs w:val="20"/>
          <w:color w:val="auto"/>
        </w:rPr>
      </w:pPr>
      <w:r>
        <w:rPr>
          <w:rFonts w:ascii="Arial" w:cs="Arial" w:eastAsia="Arial" w:hAnsi="Arial"/>
          <w:sz w:val="17"/>
          <w:szCs w:val="17"/>
          <w:color w:val="auto"/>
        </w:rPr>
        <w:t>Date: June 30, 2011</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David Lester</w:t>
      </w:r>
    </w:p>
    <w:p>
      <w:pPr>
        <w:spacing w:after="0" w:line="8" w:lineRule="exact"/>
        <w:rPr>
          <w:sz w:val="20"/>
          <w:szCs w:val="20"/>
          <w:color w:val="auto"/>
        </w:rPr>
      </w:pPr>
    </w:p>
    <w:p>
      <w:pPr>
        <w:ind w:left="8100"/>
        <w:spacing w:after="0"/>
        <w:tabs>
          <w:tab w:leader="none" w:pos="8560" w:val="left"/>
        </w:tabs>
        <w:rPr>
          <w:sz w:val="20"/>
          <w:szCs w:val="20"/>
          <w:color w:val="auto"/>
        </w:rPr>
      </w:pPr>
      <w:r>
        <w:rPr>
          <w:rFonts w:ascii="Arial" w:cs="Arial" w:eastAsia="Arial" w:hAnsi="Arial"/>
          <w:sz w:val="17"/>
          <w:szCs w:val="17"/>
          <w:color w:val="auto"/>
        </w:rPr>
        <w:t>Its:</w:t>
        <w:tab/>
        <w:t>CEO</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6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2840" w:type="dxa"/>
            <w:vAlign w:val="bottom"/>
            <w:gridSpan w:val="2"/>
          </w:tcPr>
          <w:p>
            <w:pPr>
              <w:spacing w:after="0"/>
              <w:rPr>
                <w:sz w:val="20"/>
                <w:szCs w:val="20"/>
                <w:color w:val="auto"/>
              </w:rPr>
            </w:pPr>
            <w:r>
              <w:rPr>
                <w:rFonts w:ascii="Arial" w:cs="Arial" w:eastAsia="Arial" w:hAnsi="Arial"/>
                <w:sz w:val="17"/>
                <w:szCs w:val="17"/>
                <w:color w:val="auto"/>
              </w:rPr>
              <w:t>MIDTOWN PARTNERS &amp; CO., LLC.</w:t>
            </w:r>
          </w:p>
        </w:tc>
      </w:tr>
      <w:tr>
        <w:trPr>
          <w:trHeight w:val="178"/>
        </w:trPr>
        <w:tc>
          <w:tcPr>
            <w:tcW w:w="3560" w:type="dxa"/>
            <w:vAlign w:val="bottom"/>
          </w:tcPr>
          <w:p>
            <w:pPr>
              <w:ind w:left="100"/>
              <w:spacing w:after="0" w:line="178" w:lineRule="exact"/>
              <w:rPr>
                <w:sz w:val="20"/>
                <w:szCs w:val="20"/>
                <w:color w:val="auto"/>
              </w:rPr>
            </w:pPr>
            <w:r>
              <w:rPr>
                <w:rFonts w:ascii="Arial" w:cs="Arial" w:eastAsia="Arial" w:hAnsi="Arial"/>
                <w:sz w:val="17"/>
                <w:szCs w:val="17"/>
                <w:color w:val="auto"/>
              </w:rPr>
              <w:t>Date: June 30, 2011</w:t>
            </w:r>
          </w:p>
        </w:tc>
        <w:tc>
          <w:tcPr>
            <w:tcW w:w="5020" w:type="dxa"/>
            <w:vAlign w:val="bottom"/>
          </w:tcPr>
          <w:p>
            <w:pPr>
              <w:ind w:left="4540"/>
              <w:spacing w:after="0" w:line="178" w:lineRule="exact"/>
              <w:rPr>
                <w:sz w:val="20"/>
                <w:szCs w:val="20"/>
                <w:color w:val="auto"/>
              </w:rPr>
            </w:pPr>
            <w:r>
              <w:rPr>
                <w:rFonts w:ascii="Arial" w:cs="Arial" w:eastAsia="Arial" w:hAnsi="Arial"/>
                <w:sz w:val="17"/>
                <w:szCs w:val="17"/>
                <w:color w:val="auto"/>
              </w:rPr>
              <w:t>By:</w:t>
            </w:r>
          </w:p>
        </w:tc>
        <w:tc>
          <w:tcPr>
            <w:tcW w:w="1220" w:type="dxa"/>
            <w:vAlign w:val="bottom"/>
            <w:tcBorders>
              <w:bottom w:val="single" w:sz="8" w:color="auto"/>
            </w:tcBorders>
          </w:tcPr>
          <w:p>
            <w:pPr>
              <w:spacing w:after="0" w:line="178" w:lineRule="exact"/>
              <w:rPr>
                <w:sz w:val="20"/>
                <w:szCs w:val="20"/>
                <w:color w:val="auto"/>
              </w:rPr>
            </w:pPr>
            <w:r>
              <w:rPr>
                <w:rFonts w:ascii="Arial" w:cs="Arial" w:eastAsia="Arial" w:hAnsi="Arial"/>
                <w:sz w:val="17"/>
                <w:szCs w:val="17"/>
                <w:color w:val="auto"/>
                <w:w w:val="88"/>
              </w:rPr>
              <w:t>/s/ John R. Clarke</w:t>
            </w:r>
          </w:p>
        </w:tc>
        <w:tc>
          <w:tcPr>
            <w:tcW w:w="1620" w:type="dxa"/>
            <w:vAlign w:val="bottom"/>
          </w:tcPr>
          <w:p>
            <w:pPr>
              <w:spacing w:after="0"/>
              <w:rPr>
                <w:sz w:val="15"/>
                <w:szCs w:val="15"/>
                <w:color w:val="auto"/>
              </w:rPr>
            </w:pPr>
          </w:p>
        </w:tc>
      </w:tr>
      <w:tr>
        <w:trPr>
          <w:trHeight w:val="221"/>
        </w:trPr>
        <w:tc>
          <w:tcPr>
            <w:tcW w:w="3560" w:type="dxa"/>
            <w:vAlign w:val="bottom"/>
          </w:tcPr>
          <w:p>
            <w:pPr>
              <w:spacing w:after="0"/>
              <w:rPr>
                <w:sz w:val="19"/>
                <w:szCs w:val="19"/>
                <w:color w:val="auto"/>
              </w:rPr>
            </w:pPr>
          </w:p>
        </w:tc>
        <w:tc>
          <w:tcPr>
            <w:tcW w:w="5020" w:type="dxa"/>
            <w:vAlign w:val="bottom"/>
          </w:tcPr>
          <w:p>
            <w:pPr>
              <w:ind w:left="4540"/>
              <w:spacing w:after="0"/>
              <w:rPr>
                <w:sz w:val="20"/>
                <w:szCs w:val="20"/>
                <w:color w:val="auto"/>
              </w:rPr>
            </w:pPr>
            <w:r>
              <w:rPr>
                <w:rFonts w:ascii="Arial" w:cs="Arial" w:eastAsia="Arial" w:hAnsi="Arial"/>
                <w:sz w:val="17"/>
                <w:szCs w:val="17"/>
                <w:color w:val="auto"/>
              </w:rPr>
              <w:t>Its:</w:t>
            </w:r>
          </w:p>
        </w:tc>
        <w:tc>
          <w:tcPr>
            <w:tcW w:w="2840" w:type="dxa"/>
            <w:vAlign w:val="bottom"/>
            <w:gridSpan w:val="2"/>
          </w:tcPr>
          <w:p>
            <w:pPr>
              <w:spacing w:after="0"/>
              <w:rPr>
                <w:sz w:val="20"/>
                <w:szCs w:val="20"/>
                <w:color w:val="auto"/>
              </w:rPr>
            </w:pPr>
            <w:r>
              <w:rPr>
                <w:rFonts w:ascii="Arial" w:cs="Arial" w:eastAsia="Arial" w:hAnsi="Arial"/>
                <w:sz w:val="17"/>
                <w:szCs w:val="17"/>
                <w:color w:val="auto"/>
              </w:rPr>
              <w:t>John R. Clarke/CEO</w:t>
            </w:r>
          </w:p>
        </w:tc>
      </w:tr>
      <w:tr>
        <w:trPr>
          <w:trHeight w:val="611"/>
        </w:trPr>
        <w:tc>
          <w:tcPr>
            <w:tcW w:w="35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jc w:val="right"/>
              <w:ind w:right="2735"/>
              <w:spacing w:after="0"/>
              <w:rPr>
                <w:sz w:val="20"/>
                <w:szCs w:val="20"/>
                <w:color w:val="auto"/>
              </w:rPr>
            </w:pPr>
            <w:r>
              <w:rPr>
                <w:rFonts w:ascii="Arial" w:cs="Arial" w:eastAsia="Arial" w:hAnsi="Arial"/>
                <w:sz w:val="17"/>
                <w:szCs w:val="17"/>
                <w:color w:val="auto"/>
              </w:rPr>
              <w:t>5</w:t>
            </w:r>
          </w:p>
        </w:tc>
        <w:tc>
          <w:tcPr>
            <w:tcW w:w="12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36" w:right="239" w:bottom="1440" w:gutter="0" w:footer="0" w:header="0"/>
        </w:sectPr>
      </w:pPr>
    </w:p>
    <w:bookmarkStart w:id="31" w:name="page32"/>
    <w:bookmarkEnd w:id="31"/>
    <w:p>
      <w:pPr>
        <w:jc w:val="center"/>
        <w:ind w:right="100"/>
        <w:spacing w:after="0"/>
        <w:rPr>
          <w:sz w:val="20"/>
          <w:szCs w:val="20"/>
          <w:color w:val="auto"/>
        </w:rPr>
      </w:pPr>
      <w:r>
        <w:rPr>
          <w:rFonts w:ascii="Arial" w:cs="Arial" w:eastAsia="Arial" w:hAnsi="Arial"/>
          <w:sz w:val="17"/>
          <w:szCs w:val="17"/>
          <w:b w:val="1"/>
          <w:bCs w:val="1"/>
          <w:u w:val="single" w:color="auto"/>
          <w:color w:val="auto"/>
        </w:rPr>
        <w:t>EXHIBIT A</w:t>
      </w:r>
    </w:p>
    <w:p>
      <w:pPr>
        <w:spacing w:after="0" w:line="21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UNITED STATES DISTRICT COURT</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FOR THE EASTERN DISTRICT OF MICHIGAN SOUTHERN DIVISION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OPTIMIZERX CORPORATION,</w:t>
            </w:r>
          </w:p>
        </w:tc>
        <w:tc>
          <w:tcPr>
            <w:tcW w:w="6680" w:type="dxa"/>
            <w:vAlign w:val="bottom"/>
            <w:vMerge w:val="restart"/>
          </w:tcPr>
          <w:p>
            <w:pPr>
              <w:ind w:left="1060"/>
              <w:spacing w:after="0"/>
              <w:rPr>
                <w:sz w:val="20"/>
                <w:szCs w:val="20"/>
                <w:color w:val="auto"/>
              </w:rPr>
            </w:pPr>
            <w:r>
              <w:rPr>
                <w:rFonts w:ascii="Arial" w:cs="Arial" w:eastAsia="Arial" w:hAnsi="Arial"/>
                <w:sz w:val="17"/>
                <w:szCs w:val="17"/>
                <w:color w:val="auto"/>
              </w:rPr>
              <w:t>Case No. 2:10-cv-13678</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6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740" w:type="dxa"/>
            <w:vAlign w:val="bottom"/>
          </w:tcPr>
          <w:p>
            <w:pPr>
              <w:ind w:left="100"/>
              <w:spacing w:after="0"/>
              <w:rPr>
                <w:sz w:val="20"/>
                <w:szCs w:val="20"/>
                <w:color w:val="auto"/>
              </w:rPr>
            </w:pPr>
            <w:r>
              <w:rPr>
                <w:rFonts w:ascii="Arial" w:cs="Arial" w:eastAsia="Arial" w:hAnsi="Arial"/>
                <w:sz w:val="17"/>
                <w:szCs w:val="17"/>
                <w:color w:val="auto"/>
              </w:rPr>
              <w:t>Plaintiff,</w:t>
            </w:r>
          </w:p>
        </w:tc>
        <w:tc>
          <w:tcPr>
            <w:tcW w:w="6680" w:type="dxa"/>
            <w:vAlign w:val="bottom"/>
          </w:tcPr>
          <w:p>
            <w:pPr>
              <w:ind w:left="1060"/>
              <w:spacing w:after="0"/>
              <w:rPr>
                <w:sz w:val="20"/>
                <w:szCs w:val="20"/>
                <w:color w:val="auto"/>
              </w:rPr>
            </w:pPr>
            <w:r>
              <w:rPr>
                <w:rFonts w:ascii="Arial" w:cs="Arial" w:eastAsia="Arial" w:hAnsi="Arial"/>
                <w:sz w:val="17"/>
                <w:szCs w:val="17"/>
                <w:color w:val="auto"/>
              </w:rPr>
              <w:t>Hon. Lawrence P. Zatkoff</w:t>
            </w: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v.</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MIDTOWN PARTNERS &amp; CO., LLC,</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4740" w:type="dxa"/>
            <w:vAlign w:val="bottom"/>
          </w:tcPr>
          <w:p>
            <w:pPr>
              <w:ind w:left="100"/>
              <w:spacing w:after="0"/>
              <w:rPr>
                <w:sz w:val="20"/>
                <w:szCs w:val="20"/>
                <w:color w:val="auto"/>
              </w:rPr>
            </w:pPr>
            <w:r>
              <w:rPr>
                <w:rFonts w:ascii="Arial" w:cs="Arial" w:eastAsia="Arial" w:hAnsi="Arial"/>
                <w:sz w:val="17"/>
                <w:szCs w:val="17"/>
                <w:color w:val="auto"/>
              </w:rPr>
              <w:t>Defendant.</w:t>
            </w:r>
          </w:p>
        </w:tc>
        <w:tc>
          <w:tcPr>
            <w:tcW w:w="6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740" w:type="dxa"/>
            <w:vAlign w:val="bottom"/>
            <w:tcBorders>
              <w:bottom w:val="single" w:sz="8" w:color="auto"/>
            </w:tcBorders>
          </w:tcPr>
          <w:p>
            <w:pPr>
              <w:spacing w:after="0"/>
              <w:rPr>
                <w:sz w:val="17"/>
                <w:szCs w:val="17"/>
                <w:color w:val="auto"/>
              </w:rPr>
            </w:pPr>
          </w:p>
        </w:tc>
        <w:tc>
          <w:tcPr>
            <w:tcW w:w="6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4740" w:type="dxa"/>
            <w:vAlign w:val="bottom"/>
          </w:tcPr>
          <w:p>
            <w:pPr>
              <w:ind w:left="100"/>
              <w:spacing w:after="0"/>
              <w:rPr>
                <w:sz w:val="20"/>
                <w:szCs w:val="20"/>
                <w:color w:val="auto"/>
              </w:rPr>
            </w:pPr>
            <w:r>
              <w:rPr>
                <w:rFonts w:ascii="Arial" w:cs="Arial" w:eastAsia="Arial" w:hAnsi="Arial"/>
                <w:sz w:val="17"/>
                <w:szCs w:val="17"/>
                <w:color w:val="auto"/>
              </w:rPr>
              <w:t>HOWARD &amp; HOWARD ATTORNEYS PLLC</w:t>
            </w:r>
          </w:p>
        </w:tc>
        <w:tc>
          <w:tcPr>
            <w:tcW w:w="6680" w:type="dxa"/>
            <w:vAlign w:val="bottom"/>
          </w:tcPr>
          <w:p>
            <w:pPr>
              <w:ind w:left="1060"/>
              <w:spacing w:after="0"/>
              <w:rPr>
                <w:sz w:val="20"/>
                <w:szCs w:val="20"/>
                <w:color w:val="auto"/>
              </w:rPr>
            </w:pPr>
            <w:r>
              <w:rPr>
                <w:rFonts w:ascii="Arial" w:cs="Arial" w:eastAsia="Arial" w:hAnsi="Arial"/>
                <w:sz w:val="17"/>
                <w:szCs w:val="17"/>
                <w:color w:val="auto"/>
              </w:rPr>
              <w:t>BUTZEL LONG, P.C.</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By: Stephen P. Dunn (P6871l)</w:t>
            </w:r>
          </w:p>
        </w:tc>
        <w:tc>
          <w:tcPr>
            <w:tcW w:w="6680" w:type="dxa"/>
            <w:vAlign w:val="bottom"/>
          </w:tcPr>
          <w:p>
            <w:pPr>
              <w:ind w:left="1060"/>
              <w:spacing w:after="0"/>
              <w:rPr>
                <w:sz w:val="20"/>
                <w:szCs w:val="20"/>
                <w:color w:val="auto"/>
              </w:rPr>
            </w:pPr>
            <w:r>
              <w:rPr>
                <w:rFonts w:ascii="Arial" w:cs="Arial" w:eastAsia="Arial" w:hAnsi="Arial"/>
                <w:sz w:val="17"/>
                <w:szCs w:val="17"/>
                <w:color w:val="auto"/>
              </w:rPr>
              <w:t>By: George B. Donnini (P66793)</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Stephanie N. Olsen (P67072) 450 West Fourth Street</w:t>
            </w:r>
          </w:p>
        </w:tc>
        <w:tc>
          <w:tcPr>
            <w:tcW w:w="6680" w:type="dxa"/>
            <w:vAlign w:val="bottom"/>
          </w:tcPr>
          <w:p>
            <w:pPr>
              <w:ind w:left="1060"/>
              <w:spacing w:after="0"/>
              <w:rPr>
                <w:sz w:val="20"/>
                <w:szCs w:val="20"/>
                <w:color w:val="auto"/>
              </w:rPr>
            </w:pPr>
            <w:r>
              <w:rPr>
                <w:rFonts w:ascii="Arial" w:cs="Arial" w:eastAsia="Arial" w:hAnsi="Arial"/>
                <w:sz w:val="17"/>
                <w:szCs w:val="17"/>
                <w:color w:val="auto"/>
              </w:rPr>
              <w:t>Danielle J. Hessell (P68667)</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Royal Oak, MI 48067</w:t>
            </w:r>
          </w:p>
        </w:tc>
        <w:tc>
          <w:tcPr>
            <w:tcW w:w="6680" w:type="dxa"/>
            <w:vAlign w:val="bottom"/>
          </w:tcPr>
          <w:p>
            <w:pPr>
              <w:ind w:left="1060"/>
              <w:spacing w:after="0"/>
              <w:rPr>
                <w:sz w:val="20"/>
                <w:szCs w:val="20"/>
                <w:color w:val="auto"/>
              </w:rPr>
            </w:pPr>
            <w:r>
              <w:rPr>
                <w:rFonts w:ascii="Arial" w:cs="Arial" w:eastAsia="Arial" w:hAnsi="Arial"/>
                <w:sz w:val="17"/>
                <w:szCs w:val="17"/>
                <w:color w:val="auto"/>
              </w:rPr>
              <w:t>150 West Jefferson Avenue, Suite 100</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(248) 723-0424</w:t>
            </w:r>
          </w:p>
        </w:tc>
        <w:tc>
          <w:tcPr>
            <w:tcW w:w="6680" w:type="dxa"/>
            <w:vAlign w:val="bottom"/>
          </w:tcPr>
          <w:p>
            <w:pPr>
              <w:ind w:left="1060"/>
              <w:spacing w:after="0"/>
              <w:rPr>
                <w:sz w:val="20"/>
                <w:szCs w:val="20"/>
                <w:color w:val="auto"/>
              </w:rPr>
            </w:pPr>
            <w:r>
              <w:rPr>
                <w:rFonts w:ascii="Arial" w:cs="Arial" w:eastAsia="Arial" w:hAnsi="Arial"/>
                <w:sz w:val="17"/>
                <w:szCs w:val="17"/>
                <w:color w:val="auto"/>
              </w:rPr>
              <w:t>Detroit, Michigan 48226</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color w:val="auto"/>
              </w:rPr>
              <w:t>sdunn@howardandhoward.com</w:t>
            </w:r>
          </w:p>
        </w:tc>
        <w:tc>
          <w:tcPr>
            <w:tcW w:w="6680" w:type="dxa"/>
            <w:vAlign w:val="bottom"/>
          </w:tcPr>
          <w:p>
            <w:pPr>
              <w:ind w:left="1060"/>
              <w:spacing w:after="0"/>
              <w:rPr>
                <w:sz w:val="20"/>
                <w:szCs w:val="20"/>
                <w:color w:val="auto"/>
              </w:rPr>
            </w:pPr>
            <w:r>
              <w:rPr>
                <w:rFonts w:ascii="Arial" w:cs="Arial" w:eastAsia="Arial" w:hAnsi="Arial"/>
                <w:sz w:val="17"/>
                <w:szCs w:val="17"/>
                <w:color w:val="auto"/>
              </w:rPr>
              <w:t>(313) 225-7042</w:t>
            </w:r>
          </w:p>
        </w:tc>
        <w:tc>
          <w:tcPr>
            <w:tcW w:w="0" w:type="dxa"/>
            <w:vAlign w:val="bottom"/>
          </w:tcPr>
          <w:p>
            <w:pPr>
              <w:spacing w:after="0"/>
              <w:rPr>
                <w:sz w:val="1"/>
                <w:szCs w:val="1"/>
                <w:color w:val="auto"/>
              </w:rPr>
            </w:pPr>
          </w:p>
        </w:tc>
      </w:tr>
      <w:tr>
        <w:trPr>
          <w:trHeight w:val="204"/>
        </w:trPr>
        <w:tc>
          <w:tcPr>
            <w:tcW w:w="4740" w:type="dxa"/>
            <w:vAlign w:val="bottom"/>
          </w:tcPr>
          <w:p>
            <w:pPr>
              <w:ind w:left="100"/>
              <w:spacing w:after="0"/>
              <w:rPr>
                <w:sz w:val="20"/>
                <w:szCs w:val="20"/>
                <w:color w:val="auto"/>
              </w:rPr>
            </w:pPr>
            <w:r>
              <w:rPr>
                <w:rFonts w:ascii="Arial" w:cs="Arial" w:eastAsia="Arial" w:hAnsi="Arial"/>
                <w:sz w:val="17"/>
                <w:szCs w:val="17"/>
                <w:i w:val="1"/>
                <w:iCs w:val="1"/>
                <w:color w:val="auto"/>
              </w:rPr>
              <w:t>Attorneys for OptimizeRx</w:t>
            </w:r>
          </w:p>
        </w:tc>
        <w:tc>
          <w:tcPr>
            <w:tcW w:w="6680" w:type="dxa"/>
            <w:vAlign w:val="bottom"/>
          </w:tcPr>
          <w:p>
            <w:pPr>
              <w:ind w:left="1060"/>
              <w:spacing w:after="0"/>
              <w:rPr>
                <w:sz w:val="20"/>
                <w:szCs w:val="20"/>
                <w:color w:val="auto"/>
              </w:rPr>
            </w:pPr>
            <w:r>
              <w:rPr>
                <w:rFonts w:ascii="Arial" w:cs="Arial" w:eastAsia="Arial" w:hAnsi="Arial"/>
                <w:sz w:val="17"/>
                <w:szCs w:val="17"/>
                <w:color w:val="auto"/>
              </w:rPr>
              <w:t>donmni@butzel.com</w:t>
            </w:r>
          </w:p>
        </w:tc>
        <w:tc>
          <w:tcPr>
            <w:tcW w:w="0" w:type="dxa"/>
            <w:vAlign w:val="bottom"/>
          </w:tcPr>
          <w:p>
            <w:pPr>
              <w:spacing w:after="0"/>
              <w:rPr>
                <w:sz w:val="1"/>
                <w:szCs w:val="1"/>
                <w:color w:val="auto"/>
              </w:rPr>
            </w:pPr>
          </w:p>
        </w:tc>
      </w:tr>
      <w:tr>
        <w:trPr>
          <w:trHeight w:val="215"/>
        </w:trPr>
        <w:tc>
          <w:tcPr>
            <w:tcW w:w="4740" w:type="dxa"/>
            <w:vAlign w:val="bottom"/>
          </w:tcPr>
          <w:p>
            <w:pPr>
              <w:spacing w:after="0"/>
              <w:rPr>
                <w:sz w:val="18"/>
                <w:szCs w:val="18"/>
                <w:color w:val="auto"/>
              </w:rPr>
            </w:pPr>
          </w:p>
        </w:tc>
        <w:tc>
          <w:tcPr>
            <w:tcW w:w="6680" w:type="dxa"/>
            <w:vAlign w:val="bottom"/>
          </w:tcPr>
          <w:p>
            <w:pPr>
              <w:ind w:left="1060"/>
              <w:spacing w:after="0"/>
              <w:rPr>
                <w:sz w:val="20"/>
                <w:szCs w:val="20"/>
                <w:color w:val="auto"/>
              </w:rPr>
            </w:pPr>
            <w:r>
              <w:rPr>
                <w:rFonts w:ascii="Arial" w:cs="Arial" w:eastAsia="Arial" w:hAnsi="Arial"/>
                <w:sz w:val="17"/>
                <w:szCs w:val="17"/>
                <w:i w:val="1"/>
                <w:iCs w:val="1"/>
                <w:color w:val="auto"/>
              </w:rPr>
              <w:t>Attorneys for Midtown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129540</wp:posOffset>
            </wp:positionV>
            <wp:extent cx="7254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u w:val="single" w:color="auto"/>
          <w:color w:val="auto"/>
        </w:rPr>
        <w:t>STIPULATED ORDER OF DISMISSAL WITH PREJUDICE</w:t>
      </w:r>
    </w:p>
    <w:p>
      <w:pPr>
        <w:spacing w:after="0" w:line="216" w:lineRule="exact"/>
        <w:rPr>
          <w:sz w:val="20"/>
          <w:szCs w:val="20"/>
          <w:color w:val="auto"/>
        </w:rPr>
      </w:pPr>
    </w:p>
    <w:p>
      <w:pPr>
        <w:jc w:val="both"/>
        <w:ind w:right="100" w:firstLine="611"/>
        <w:spacing w:after="0" w:line="274" w:lineRule="auto"/>
        <w:rPr>
          <w:sz w:val="20"/>
          <w:szCs w:val="20"/>
          <w:color w:val="auto"/>
        </w:rPr>
      </w:pPr>
      <w:r>
        <w:rPr>
          <w:rFonts w:ascii="Arial" w:cs="Arial" w:eastAsia="Arial" w:hAnsi="Arial"/>
          <w:sz w:val="17"/>
          <w:szCs w:val="17"/>
          <w:color w:val="auto"/>
        </w:rPr>
        <w:t>Upon stipulation of Plaintiff and Defendant, all claims raised or which could have been raised in the Complaint and any potential counterclaims, are dismissed with prejudice, and without costs to either party.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IT IS SO ORDERED.</w:t>
      </w:r>
    </w:p>
    <w:p>
      <w:pPr>
        <w:spacing w:after="0" w:line="20" w:lineRule="exact"/>
        <w:rPr>
          <w:sz w:val="20"/>
          <w:szCs w:val="20"/>
          <w:color w:val="auto"/>
        </w:rPr>
      </w:pPr>
    </w:p>
    <w:p>
      <w:pPr>
        <w:ind w:left="9340"/>
        <w:spacing w:after="0"/>
        <w:rPr>
          <w:sz w:val="20"/>
          <w:szCs w:val="20"/>
          <w:color w:val="auto"/>
        </w:rPr>
      </w:pPr>
      <w:r>
        <w:rPr>
          <w:rFonts w:ascii="Arial" w:cs="Arial" w:eastAsia="Arial" w:hAnsi="Arial"/>
          <w:sz w:val="15"/>
          <w:szCs w:val="15"/>
          <w:color w:val="auto"/>
        </w:rPr>
        <w:t>__________________________</w:t>
      </w:r>
    </w:p>
    <w:p>
      <w:pPr>
        <w:spacing w:after="0" w:line="31"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Lawrence P. Zatkoff,</w:t>
      </w:r>
    </w:p>
    <w:p>
      <w:pPr>
        <w:spacing w:after="0" w:line="8" w:lineRule="exact"/>
        <w:rPr>
          <w:sz w:val="20"/>
          <w:szCs w:val="20"/>
          <w:color w:val="auto"/>
        </w:rPr>
      </w:pPr>
    </w:p>
    <w:p>
      <w:pPr>
        <w:ind w:left="9340"/>
        <w:spacing w:after="0"/>
        <w:rPr>
          <w:sz w:val="20"/>
          <w:szCs w:val="20"/>
          <w:color w:val="auto"/>
        </w:rPr>
      </w:pPr>
      <w:r>
        <w:rPr>
          <w:rFonts w:ascii="Arial" w:cs="Arial" w:eastAsia="Arial" w:hAnsi="Arial"/>
          <w:sz w:val="17"/>
          <w:szCs w:val="17"/>
          <w:color w:val="auto"/>
        </w:rPr>
        <w:t>United States District Judge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20" w:type="dxa"/>
            <w:vAlign w:val="bottom"/>
          </w:tcPr>
          <w:p>
            <w:pPr>
              <w:spacing w:after="0"/>
              <w:rPr>
                <w:sz w:val="20"/>
                <w:szCs w:val="20"/>
                <w:color w:val="auto"/>
              </w:rPr>
            </w:pPr>
            <w:r>
              <w:rPr>
                <w:rFonts w:ascii="Arial" w:cs="Arial" w:eastAsia="Arial" w:hAnsi="Arial"/>
                <w:sz w:val="17"/>
                <w:szCs w:val="17"/>
                <w:color w:val="auto"/>
              </w:rPr>
              <w:t>STIPULATED AS TO FORM AND CONTENT:</w:t>
            </w:r>
          </w:p>
        </w:tc>
        <w:tc>
          <w:tcPr>
            <w:tcW w:w="342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408"/>
        </w:trPr>
        <w:tc>
          <w:tcPr>
            <w:tcW w:w="4120" w:type="dxa"/>
            <w:vAlign w:val="bottom"/>
            <w:tcBorders>
              <w:bottom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r>
        <w:trPr>
          <w:trHeight w:val="184"/>
        </w:trPr>
        <w:tc>
          <w:tcPr>
            <w:tcW w:w="4120" w:type="dxa"/>
            <w:vAlign w:val="bottom"/>
          </w:tcPr>
          <w:p>
            <w:pPr>
              <w:ind w:left="100"/>
              <w:spacing w:after="0" w:line="184" w:lineRule="exact"/>
              <w:rPr>
                <w:sz w:val="20"/>
                <w:szCs w:val="20"/>
                <w:color w:val="auto"/>
              </w:rPr>
            </w:pPr>
            <w:r>
              <w:rPr>
                <w:rFonts w:ascii="Arial" w:cs="Arial" w:eastAsia="Arial" w:hAnsi="Arial"/>
                <w:sz w:val="17"/>
                <w:szCs w:val="17"/>
                <w:color w:val="auto"/>
              </w:rPr>
              <w:t>Stephen P. Dunn (P68711)</w:t>
            </w:r>
          </w:p>
        </w:tc>
        <w:tc>
          <w:tcPr>
            <w:tcW w:w="3420" w:type="dxa"/>
            <w:vAlign w:val="bottom"/>
          </w:tcPr>
          <w:p>
            <w:pPr>
              <w:spacing w:after="0"/>
              <w:rPr>
                <w:sz w:val="15"/>
                <w:szCs w:val="15"/>
                <w:color w:val="auto"/>
              </w:rPr>
            </w:pPr>
          </w:p>
        </w:tc>
        <w:tc>
          <w:tcPr>
            <w:tcW w:w="3880" w:type="dxa"/>
            <w:vAlign w:val="bottom"/>
          </w:tcPr>
          <w:p>
            <w:pPr>
              <w:ind w:left="100"/>
              <w:spacing w:after="0" w:line="184" w:lineRule="exact"/>
              <w:rPr>
                <w:sz w:val="20"/>
                <w:szCs w:val="20"/>
                <w:color w:val="auto"/>
              </w:rPr>
            </w:pPr>
            <w:r>
              <w:rPr>
                <w:rFonts w:ascii="Arial" w:cs="Arial" w:eastAsia="Arial" w:hAnsi="Arial"/>
                <w:sz w:val="17"/>
                <w:szCs w:val="17"/>
                <w:color w:val="auto"/>
              </w:rPr>
              <w:t>George B. Donnini (P66793)</w:t>
            </w:r>
          </w:p>
        </w:tc>
      </w:tr>
      <w:tr>
        <w:trPr>
          <w:trHeight w:val="215"/>
        </w:trPr>
        <w:tc>
          <w:tcPr>
            <w:tcW w:w="4120" w:type="dxa"/>
            <w:vAlign w:val="bottom"/>
          </w:tcPr>
          <w:p>
            <w:pPr>
              <w:ind w:left="100"/>
              <w:spacing w:after="0"/>
              <w:rPr>
                <w:sz w:val="20"/>
                <w:szCs w:val="20"/>
                <w:color w:val="auto"/>
              </w:rPr>
            </w:pPr>
            <w:r>
              <w:rPr>
                <w:rFonts w:ascii="Arial" w:cs="Arial" w:eastAsia="Arial" w:hAnsi="Arial"/>
                <w:sz w:val="17"/>
                <w:szCs w:val="17"/>
                <w:color w:val="auto"/>
              </w:rPr>
              <w:t>Attorney for OptimizeRx</w:t>
            </w:r>
          </w:p>
        </w:tc>
        <w:tc>
          <w:tcPr>
            <w:tcW w:w="342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Arial" w:cs="Arial" w:eastAsia="Arial" w:hAnsi="Arial"/>
                <w:sz w:val="17"/>
                <w:szCs w:val="17"/>
                <w:color w:val="auto"/>
              </w:rPr>
              <w:t>Attorney for Midtown</w:t>
            </w:r>
          </w:p>
        </w:tc>
      </w:tr>
      <w:tr>
        <w:trPr>
          <w:trHeight w:val="611"/>
        </w:trPr>
        <w:tc>
          <w:tcPr>
            <w:tcW w:w="4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right"/>
              <w:ind w:right="1695"/>
              <w:spacing w:after="0"/>
              <w:rPr>
                <w:sz w:val="20"/>
                <w:szCs w:val="20"/>
                <w:color w:val="auto"/>
              </w:rPr>
            </w:pPr>
            <w:r>
              <w:rPr>
                <w:rFonts w:ascii="Arial" w:cs="Arial" w:eastAsia="Arial" w:hAnsi="Arial"/>
                <w:sz w:val="17"/>
                <w:szCs w:val="17"/>
                <w:color w:val="auto"/>
              </w:rPr>
              <w:t>6</w:t>
            </w: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11520"/>
          </w:cols>
          <w:pgMar w:left="240" w:top="632" w:right="139" w:bottom="1440" w:gutter="0" w:footer="0" w:header="0"/>
        </w:sectPr>
      </w:pPr>
    </w:p>
    <w:bookmarkStart w:id="32" w:name="page33"/>
    <w:bookmarkEnd w:id="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17, 2011</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I, David Lester, certify that;</w:t>
      </w:r>
    </w:p>
    <w:p>
      <w:pPr>
        <w:spacing w:after="0" w:line="212" w:lineRule="exact"/>
        <w:rPr>
          <w:sz w:val="20"/>
          <w:szCs w:val="20"/>
          <w:color w:val="auto"/>
        </w:rPr>
      </w:pPr>
    </w:p>
    <w:p>
      <w:pPr>
        <w:ind w:left="340" w:hanging="338"/>
        <w:spacing w:after="0"/>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June 30, 2011 of OPTIMIZERx Corp (the “registrant”);</w:t>
      </w:r>
    </w:p>
    <w:p>
      <w:pPr>
        <w:spacing w:after="0" w:line="211" w:lineRule="exact"/>
        <w:rPr>
          <w:rFonts w:ascii="Arial" w:cs="Arial" w:eastAsia="Arial" w:hAnsi="Arial"/>
          <w:sz w:val="17"/>
          <w:szCs w:val="17"/>
          <w:color w:val="auto"/>
        </w:rPr>
      </w:pPr>
    </w:p>
    <w:p>
      <w:pPr>
        <w:ind w:left="340" w:hanging="338"/>
        <w:spacing w:after="0" w:line="30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6"/>
          <w:szCs w:val="16"/>
          <w:color w:val="auto"/>
        </w:rPr>
      </w:pPr>
    </w:p>
    <w:p>
      <w:pPr>
        <w:ind w:left="340" w:right="540" w:hanging="338"/>
        <w:spacing w:after="0" w:line="274"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jc w:val="both"/>
        <w:ind w:left="340" w:right="340" w:hanging="338"/>
        <w:spacing w:after="0" w:line="261"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7"/>
          <w:szCs w:val="17"/>
          <w:color w:val="auto"/>
        </w:rPr>
      </w:pPr>
    </w:p>
    <w:p>
      <w:pPr>
        <w:ind w:left="940" w:right="80" w:hanging="458"/>
        <w:spacing w:after="0" w:line="261"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7"/>
          <w:szCs w:val="17"/>
          <w:color w:val="auto"/>
        </w:rPr>
      </w:pPr>
    </w:p>
    <w:p>
      <w:pPr>
        <w:ind w:left="940" w:right="180" w:hanging="467"/>
        <w:spacing w:after="0" w:line="261"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7"/>
          <w:szCs w:val="17"/>
          <w:color w:val="auto"/>
        </w:rPr>
      </w:pPr>
    </w:p>
    <w:p>
      <w:pPr>
        <w:ind w:left="940" w:right="220" w:hanging="458"/>
        <w:spacing w:after="0" w:line="274"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left="940" w:right="300" w:hanging="467"/>
        <w:spacing w:after="0" w:line="261"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Arial" w:cs="Arial" w:eastAsia="Arial" w:hAnsi="Arial"/>
          <w:sz w:val="17"/>
          <w:szCs w:val="17"/>
          <w:color w:val="auto"/>
        </w:rPr>
      </w:pPr>
    </w:p>
    <w:p>
      <w:pPr>
        <w:ind w:left="340" w:right="300" w:hanging="338"/>
        <w:spacing w:after="0" w:line="274"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rFonts w:ascii="Arial" w:cs="Arial" w:eastAsia="Arial" w:hAnsi="Arial"/>
          <w:sz w:val="17"/>
          <w:szCs w:val="17"/>
          <w:color w:val="auto"/>
        </w:rPr>
      </w:pPr>
    </w:p>
    <w:p>
      <w:pPr>
        <w:ind w:left="940" w:right="160" w:hanging="458"/>
        <w:spacing w:after="0" w:line="274"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left="940" w:right="380" w:hanging="467"/>
        <w:spacing w:after="0" w:line="274" w:lineRule="auto"/>
        <w:tabs>
          <w:tab w:leader="none" w:pos="9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 August 17, 2011</w:t>
      </w:r>
    </w:p>
    <w:p>
      <w:pPr>
        <w:spacing w:after="0" w:line="212" w:lineRule="exact"/>
        <w:rPr>
          <w:sz w:val="20"/>
          <w:szCs w:val="20"/>
          <w:color w:val="auto"/>
        </w:rPr>
      </w:pPr>
    </w:p>
    <w:p>
      <w:pPr>
        <w:ind w:left="80"/>
        <w:spacing w:after="0"/>
        <w:rPr>
          <w:sz w:val="20"/>
          <w:szCs w:val="20"/>
          <w:color w:val="auto"/>
        </w:rPr>
      </w:pPr>
      <w:r>
        <w:rPr>
          <w:rFonts w:ascii="Arial" w:cs="Arial" w:eastAsia="Arial" w:hAnsi="Arial"/>
          <w:sz w:val="17"/>
          <w:szCs w:val="17"/>
          <w:u w:val="single" w:color="auto"/>
          <w:color w:val="auto"/>
        </w:rPr>
        <w:t>/s/David Lester</w:t>
      </w:r>
    </w:p>
    <w:p>
      <w:pPr>
        <w:spacing w:after="0" w:line="2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By: David Lester</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393700</wp:posOffset>
            </wp:positionV>
            <wp:extent cx="7254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rFonts w:ascii="Arial" w:cs="Arial" w:eastAsia="Arial" w:hAnsi="Arial"/>
          <w:sz w:val="17"/>
          <w:szCs w:val="17"/>
          <w:color w:val="auto"/>
        </w:rPr>
        <w:t>CERTIFICATION OF CHIEF EXECUTIVE OFFICER AND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CHIEF FINANCIAL OFFICER</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0" w:lineRule="exact"/>
        <w:rPr>
          <w:sz w:val="20"/>
          <w:szCs w:val="20"/>
          <w:color w:val="auto"/>
        </w:rPr>
      </w:pPr>
    </w:p>
    <w:p>
      <w:pPr>
        <w:spacing w:after="0" w:line="204" w:lineRule="exact"/>
        <w:rPr>
          <w:sz w:val="20"/>
          <w:szCs w:val="20"/>
          <w:color w:val="auto"/>
        </w:rPr>
      </w:pPr>
    </w:p>
    <w:p>
      <w:pPr>
        <w:ind w:right="280"/>
        <w:spacing w:after="0" w:line="261"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June 30, 2011 filed with the Securities and Exchange Commission (the “Report”), I, David Lester, Chief Executive Officer of the Company, certify, pursuant to 18 U.S.C. Section 1350, as adopted pursuant to Section 906 of the Sarbanes-Oxley Act of 2002, that:</w:t>
      </w:r>
    </w:p>
    <w:p>
      <w:pPr>
        <w:spacing w:after="0" w:line="176" w:lineRule="exact"/>
        <w:rPr>
          <w:sz w:val="20"/>
          <w:szCs w:val="20"/>
          <w:color w:val="auto"/>
        </w:rPr>
      </w:pPr>
    </w:p>
    <w:p>
      <w:pPr>
        <w:ind w:left="520" w:hanging="518"/>
        <w:spacing w:after="0"/>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of the Securities Exchange Act of 1934; and</w:t>
      </w:r>
    </w:p>
    <w:p>
      <w:pPr>
        <w:spacing w:after="0" w:line="211" w:lineRule="exact"/>
        <w:rPr>
          <w:rFonts w:ascii="Arial" w:cs="Arial" w:eastAsia="Arial" w:hAnsi="Arial"/>
          <w:sz w:val="17"/>
          <w:szCs w:val="17"/>
          <w:color w:val="auto"/>
        </w:rPr>
      </w:pPr>
    </w:p>
    <w:p>
      <w:pPr>
        <w:ind w:left="460" w:hanging="458"/>
        <w:spacing w:after="0" w:line="274" w:lineRule="auto"/>
        <w:tabs>
          <w:tab w:leader="none" w:pos="578"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ectPr>
          <w:pgSz w:w="11900" w:h="16838" w:orient="portrait"/>
          <w:cols w:equalWidth="0" w:num="1">
            <w:col w:w="11420"/>
          </w:cols>
          <w:pgMar w:left="240" w:top="127" w:right="239" w:bottom="1440" w:gutter="0" w:footer="0" w:header="0"/>
        </w:sectPr>
      </w:pPr>
    </w:p>
    <w:p>
      <w:pPr>
        <w:spacing w:after="0" w:line="35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This certification has been furnished solely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499745</wp:posOffset>
            </wp:positionV>
            <wp:extent cx="7254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2720" w:type="dxa"/>
            <w:vAlign w:val="bottom"/>
            <w:gridSpan w:val="2"/>
          </w:tcPr>
          <w:p>
            <w:pPr>
              <w:spacing w:after="0"/>
              <w:rPr>
                <w:sz w:val="20"/>
                <w:szCs w:val="20"/>
                <w:color w:val="auto"/>
              </w:rPr>
            </w:pPr>
            <w:r>
              <w:rPr>
                <w:rFonts w:ascii="Arial" w:cs="Arial" w:eastAsia="Arial" w:hAnsi="Arial"/>
                <w:sz w:val="17"/>
                <w:szCs w:val="17"/>
                <w:color w:val="auto"/>
              </w:rPr>
              <w:t>/s/ David Lester</w:t>
            </w:r>
          </w:p>
        </w:tc>
      </w:tr>
      <w:tr>
        <w:trPr>
          <w:trHeight w:val="209"/>
        </w:trPr>
        <w:tc>
          <w:tcPr>
            <w:tcW w:w="680" w:type="dxa"/>
            <w:vAlign w:val="bottom"/>
          </w:tcPr>
          <w:p>
            <w:pPr>
              <w:spacing w:after="0"/>
              <w:rPr>
                <w:sz w:val="20"/>
                <w:szCs w:val="20"/>
                <w:color w:val="auto"/>
              </w:rPr>
            </w:pPr>
            <w:r>
              <w:rPr>
                <w:rFonts w:ascii="Arial" w:cs="Arial" w:eastAsia="Arial" w:hAnsi="Arial"/>
                <w:sz w:val="17"/>
                <w:szCs w:val="17"/>
                <w:color w:val="auto"/>
              </w:rPr>
              <w:t>Name:</w:t>
            </w:r>
          </w:p>
        </w:tc>
        <w:tc>
          <w:tcPr>
            <w:tcW w:w="10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David Lester</w:t>
            </w:r>
          </w:p>
        </w:tc>
        <w:tc>
          <w:tcPr>
            <w:tcW w:w="1640" w:type="dxa"/>
            <w:vAlign w:val="bottom"/>
          </w:tcPr>
          <w:p>
            <w:pPr>
              <w:spacing w:after="0"/>
              <w:rPr>
                <w:sz w:val="18"/>
                <w:szCs w:val="18"/>
                <w:color w:val="auto"/>
              </w:rPr>
            </w:pPr>
          </w:p>
        </w:tc>
      </w:tr>
      <w:tr>
        <w:trPr>
          <w:trHeight w:val="204"/>
        </w:trPr>
        <w:tc>
          <w:tcPr>
            <w:tcW w:w="680" w:type="dxa"/>
            <w:vAlign w:val="bottom"/>
          </w:tcPr>
          <w:p>
            <w:pPr>
              <w:spacing w:after="0"/>
              <w:rPr>
                <w:sz w:val="20"/>
                <w:szCs w:val="20"/>
                <w:color w:val="auto"/>
              </w:rPr>
            </w:pPr>
            <w:r>
              <w:rPr>
                <w:rFonts w:ascii="Arial" w:cs="Arial" w:eastAsia="Arial" w:hAnsi="Arial"/>
                <w:sz w:val="17"/>
                <w:szCs w:val="17"/>
                <w:color w:val="auto"/>
              </w:rPr>
              <w:t>Title:</w:t>
            </w:r>
          </w:p>
        </w:tc>
        <w:tc>
          <w:tcPr>
            <w:tcW w:w="2720" w:type="dxa"/>
            <w:vAlign w:val="bottom"/>
            <w:gridSpan w:val="2"/>
          </w:tcPr>
          <w:p>
            <w:pPr>
              <w:spacing w:after="0"/>
              <w:rPr>
                <w:sz w:val="20"/>
                <w:szCs w:val="20"/>
                <w:color w:val="auto"/>
              </w:rPr>
            </w:pPr>
            <w:r>
              <w:rPr>
                <w:rFonts w:ascii="Arial" w:cs="Arial" w:eastAsia="Arial" w:hAnsi="Arial"/>
                <w:sz w:val="17"/>
                <w:szCs w:val="17"/>
                <w:color w:val="auto"/>
              </w:rPr>
              <w:t>Principal Executive Officer,</w:t>
            </w:r>
          </w:p>
        </w:tc>
      </w:tr>
      <w:tr>
        <w:trPr>
          <w:trHeight w:val="204"/>
        </w:trPr>
        <w:tc>
          <w:tcPr>
            <w:tcW w:w="680" w:type="dxa"/>
            <w:vAlign w:val="bottom"/>
          </w:tcPr>
          <w:p>
            <w:pPr>
              <w:spacing w:after="0"/>
              <w:rPr>
                <w:sz w:val="17"/>
                <w:szCs w:val="17"/>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w w:val="93"/>
              </w:rPr>
              <w:t>Principal Financial Officer and Director</w:t>
            </w:r>
          </w:p>
        </w:tc>
      </w:tr>
      <w:tr>
        <w:trPr>
          <w:trHeight w:val="215"/>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2720" w:type="dxa"/>
            <w:vAlign w:val="bottom"/>
            <w:gridSpan w:val="2"/>
          </w:tcPr>
          <w:p>
            <w:pPr>
              <w:spacing w:after="0"/>
              <w:rPr>
                <w:sz w:val="20"/>
                <w:szCs w:val="20"/>
                <w:color w:val="auto"/>
              </w:rPr>
            </w:pPr>
            <w:r>
              <w:rPr>
                <w:rFonts w:ascii="Arial" w:cs="Arial" w:eastAsia="Arial" w:hAnsi="Arial"/>
                <w:sz w:val="17"/>
                <w:szCs w:val="17"/>
                <w:color w:val="auto"/>
              </w:rPr>
              <w:t>August 17, 2011</w:t>
            </w:r>
          </w:p>
        </w:tc>
      </w:tr>
    </w:tbl>
    <w:p>
      <w:pPr>
        <w:sectPr>
          <w:pgSz w:w="11900" w:h="16838" w:orient="portrait"/>
          <w:cols w:equalWidth="0" w:num="2">
            <w:col w:w="6600" w:space="260"/>
            <w:col w:w="4560"/>
          </w:cols>
          <w:pgMar w:left="240" w:top="127" w:right="239" w:bottom="1440" w:gutter="0" w:footer="0" w:header="0"/>
          <w:type w:val="continuous"/>
        </w:sectPr>
      </w:pPr>
    </w:p>
    <w:bookmarkStart w:id="38" w:name="page39"/>
    <w:bookmarkEnd w:id="3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upperLetter"/>
      <w:start w:val="24"/>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1."/>
      <w:numFmt w:val="decimal"/>
      <w:start w:val="2"/>
    </w:lvl>
  </w:abstractNum>
  <w:abstractNum w:abstractNumId="4">
    <w:nsid w:val="25E45D32"/>
    <w:multiLevelType w:val="hybridMultilevel"/>
    <w:lvl w:ilvl="0">
      <w:lvlJc w:val="left"/>
      <w:lvlText w:val="%1."/>
      <w:numFmt w:val="decimal"/>
      <w:start w:val="2"/>
    </w:lvl>
  </w:abstractNum>
  <w:abstractNum w:abstractNumId="5">
    <w:nsid w:val="519B500D"/>
    <w:multiLevelType w:val="hybridMultilevel"/>
    <w:lvl w:ilvl="0">
      <w:lvlJc w:val="left"/>
      <w:lvlText w:val="%1."/>
      <w:numFmt w:val="decimal"/>
      <w:start w:val="3"/>
    </w:lvl>
  </w:abstractNum>
  <w:abstractNum w:abstractNumId="6">
    <w:nsid w:val="431BD7B7"/>
    <w:multiLevelType w:val="hybridMultilevel"/>
    <w:lvl w:ilvl="0">
      <w:lvlJc w:val="left"/>
      <w:lvlText w:val="%1."/>
      <w:numFmt w:val="decimal"/>
      <w:start w:val="4"/>
    </w:lvl>
  </w:abstractNum>
  <w:abstractNum w:abstractNumId="7">
    <w:nsid w:val="3F2DBA31"/>
    <w:multiLevelType w:val="hybridMultilevel"/>
    <w:lvl w:ilvl="0">
      <w:lvlJc w:val="left"/>
      <w:lvlText w:val="%1."/>
      <w:numFmt w:val="decimal"/>
      <w:start w:val="5"/>
    </w:lvl>
  </w:abstractNum>
  <w:abstractNum w:abstractNumId="8">
    <w:nsid w:val="7C83E458"/>
    <w:multiLevelType w:val="hybridMultilevel"/>
    <w:lvl w:ilvl="0">
      <w:lvlJc w:val="left"/>
      <w:lvlText w:val="%1."/>
      <w:numFmt w:val="decimal"/>
      <w:start w:val="6"/>
    </w:lvl>
  </w:abstractNum>
  <w:abstractNum w:abstractNumId="9">
    <w:nsid w:val="257130A3"/>
    <w:multiLevelType w:val="hybridMultilevel"/>
    <w:lvl w:ilvl="0">
      <w:lvlJc w:val="left"/>
      <w:lvlText w:val="%1."/>
      <w:numFmt w:val="decimal"/>
      <w:start w:val="6"/>
    </w:lvl>
  </w:abstractNum>
  <w:abstractNum w:abstractNumId="10">
    <w:nsid w:val="62BBD95A"/>
    <w:multiLevelType w:val="hybridMultilevel"/>
    <w:lvl w:ilvl="0">
      <w:lvlJc w:val="left"/>
      <w:lvlText w:val="%1."/>
      <w:numFmt w:val="decimal"/>
      <w:start w:val="7"/>
    </w:lvl>
  </w:abstractNum>
  <w:abstractNum w:abstractNumId="11">
    <w:nsid w:val="436C6125"/>
    <w:multiLevelType w:val="hybridMultilevel"/>
    <w:lvl w:ilvl="0">
      <w:lvlJc w:val="left"/>
      <w:lvlText w:val="%1."/>
      <w:numFmt w:val="decimal"/>
      <w:start w:val="8"/>
    </w:lvl>
  </w:abstractNum>
  <w:abstractNum w:abstractNumId="12">
    <w:nsid w:val="628C895D"/>
    <w:multiLevelType w:val="hybridMultilevel"/>
    <w:lvl w:ilvl="0">
      <w:lvlJc w:val="left"/>
      <w:lvlText w:val="%1."/>
      <w:numFmt w:val="decimal"/>
      <w:start w:val="9"/>
    </w:lvl>
  </w:abstractNum>
  <w:abstractNum w:abstractNumId="13">
    <w:nsid w:val="333AB105"/>
    <w:multiLevelType w:val="hybridMultilevel"/>
    <w:lvl w:ilvl="0">
      <w:lvlJc w:val="left"/>
      <w:lvlText w:val="%1."/>
      <w:numFmt w:val="decimal"/>
      <w:start w:val="11"/>
    </w:lvl>
  </w:abstractNum>
  <w:abstractNum w:abstractNumId="14">
    <w:nsid w:val="721DA317"/>
    <w:multiLevelType w:val="hybridMultilevel"/>
    <w:lvl w:ilvl="0">
      <w:lvlJc w:val="left"/>
      <w:lvlText w:val="%1."/>
      <w:numFmt w:val="decimal"/>
      <w:start w:val="12"/>
    </w:lvl>
  </w:abstractNum>
  <w:abstractNum w:abstractNumId="15">
    <w:nsid w:val="2443A858"/>
    <w:multiLevelType w:val="hybridMultilevel"/>
    <w:lvl w:ilvl="0">
      <w:lvlJc w:val="left"/>
      <w:lvlText w:val="%1."/>
      <w:numFmt w:val="decimal"/>
      <w:start w:val="13"/>
    </w:lvl>
  </w:abstractNum>
  <w:abstractNum w:abstractNumId="16">
    <w:nsid w:val="2D1D5AE9"/>
    <w:multiLevelType w:val="hybridMultilevel"/>
    <w:lvl w:ilvl="0">
      <w:lvlJc w:val="left"/>
      <w:lvlText w:val="%1."/>
      <w:numFmt w:val="decimal"/>
      <w:start w:val="14"/>
    </w:lvl>
  </w:abstractNum>
  <w:abstractNum w:abstractNumId="17">
    <w:nsid w:val="6763845E"/>
    <w:multiLevelType w:val="hybridMultilevel"/>
    <w:lvl w:ilvl="0">
      <w:lvlJc w:val="left"/>
      <w:lvlText w:val="%1."/>
      <w:numFmt w:val="decimal"/>
      <w:start w:val="15"/>
    </w:lvl>
  </w:abstractNum>
  <w:abstractNum w:abstractNumId="18">
    <w:nsid w:val="75A2A8D4"/>
    <w:multiLevelType w:val="hybridMultilevel"/>
    <w:lvl w:ilvl="0">
      <w:lvlJc w:val="left"/>
      <w:lvlText w:val="%1."/>
      <w:numFmt w:val="decimal"/>
      <w:start w:val="16"/>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lvl w:ilvl="1">
      <w:lvlJc w:val="left"/>
      <w:lvlText w:val="%2."/>
      <w:numFmt w:val="upperLetter"/>
      <w:start w:val="2"/>
    </w:lvl>
  </w:abstractNum>
  <w:abstractNum w:abstractNumId="21">
    <w:nsid w:val="4353D0CD"/>
    <w:multiLevelType w:val="hybridMultilevel"/>
    <w:lvl w:ilvl="0">
      <w:lvlJc w:val="left"/>
      <w:lvlText w:val="%1."/>
      <w:numFmt w:val="decimal"/>
      <w:start w:val="2"/>
    </w:lvl>
    <w:lvl w:ilvl="1">
      <w:lvlJc w:val="left"/>
      <w:lvlText w:val="%2"/>
      <w:numFmt w:val="upperLetter"/>
      <w:start w:val="1"/>
    </w:lvl>
  </w:abstractNum>
  <w:abstractNum w:abstractNumId="22">
    <w:nsid w:val="B03E0C6"/>
    <w:multiLevelType w:val="hybridMultilevel"/>
    <w:lvl w:ilvl="0">
      <w:lvlJc w:val="left"/>
      <w:lvlText w:val="%1."/>
      <w:numFmt w:val="decimal"/>
      <w:start w:val="6"/>
    </w:lvl>
  </w:abstractNum>
  <w:abstractNum w:abstractNumId="23">
    <w:nsid w:val="189A769B"/>
    <w:multiLevelType w:val="hybridMultilevel"/>
    <w:lvl w:ilvl="0">
      <w:lvlJc w:val="left"/>
      <w:lvlText w:val="%1."/>
      <w:numFmt w:val="decimal"/>
      <w:start w:val="13"/>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4"/>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2019-12-11T08:28:48Z</dcterms:created>
  <dcterms:modified xsi:type="dcterms:W3CDTF">2019-12-11T08:28:48Z</dcterms:modified>
</cp:coreProperties>
</file>