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3980" w:right="2320" w:hanging="1652"/>
        <w:spacing w:after="0" w:line="475" w:lineRule="auto"/>
        <w:tabs>
          <w:tab w:leader="none" w:pos="253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June 30, 2023</w:t>
      </w:r>
    </w:p>
    <w:p>
      <w:pPr>
        <w:spacing w:after="0" w:line="44" w:lineRule="exact"/>
        <w:rPr>
          <w:rFonts w:ascii="MS PGothic" w:cs="MS PGothic" w:eastAsia="MS PGothic" w:hAnsi="MS PGothic"/>
          <w:sz w:val="18"/>
          <w:szCs w:val="18"/>
          <w:color w:val="auto"/>
        </w:rPr>
      </w:pPr>
    </w:p>
    <w:p>
      <w:pPr>
        <w:ind w:left="3520" w:right="2600" w:hanging="920"/>
        <w:spacing w:after="0" w:line="527" w:lineRule="auto"/>
        <w:tabs>
          <w:tab w:leader="none" w:pos="2806" w:val="left"/>
        </w:tabs>
        <w:numPr>
          <w:ilvl w:val="1"/>
          <w:numId w:val="1"/>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13 or 15(d) of the Securities Exchange Act of 1934 For the transition period from __________ to __________</w:t>
      </w:r>
    </w:p>
    <w:tbl>
      <w:tblPr>
        <w:tblLayout w:type="fixed"/>
        <w:tblInd w:w="0" w:type="dxa"/>
        <w:tblCellMar>
          <w:top w:w="0" w:type="dxa"/>
          <w:left w:w="0" w:type="dxa"/>
          <w:bottom w:w="0" w:type="dxa"/>
          <w:right w:w="0" w:type="dxa"/>
        </w:tblCellMar>
      </w:tblPr>
      <w:tr>
        <w:trPr>
          <w:trHeight w:val="195"/>
        </w:trPr>
        <w:tc>
          <w:tcPr>
            <w:tcW w:w="7680" w:type="dxa"/>
            <w:vAlign w:val="bottom"/>
            <w:gridSpan w:val="13"/>
          </w:tcPr>
          <w:p>
            <w:pPr>
              <w:jc w:val="center"/>
              <w:ind w:left="3490"/>
              <w:spacing w:after="0" w:line="195" w:lineRule="exact"/>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001-38543</w:t>
            </w:r>
          </w:p>
        </w:tc>
        <w:tc>
          <w:tcPr>
            <w:tcW w:w="3560" w:type="dxa"/>
            <w:vAlign w:val="bottom"/>
          </w:tcPr>
          <w:p>
            <w:pPr>
              <w:spacing w:after="0"/>
              <w:rPr>
                <w:sz w:val="16"/>
                <w:szCs w:val="16"/>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12"/>
        </w:trPr>
        <w:tc>
          <w:tcPr>
            <w:tcW w:w="4660" w:type="dxa"/>
            <w:vAlign w:val="bottom"/>
          </w:tcPr>
          <w:p>
            <w:pPr>
              <w:spacing w:after="0"/>
              <w:rPr>
                <w:sz w:val="24"/>
                <w:szCs w:val="24"/>
                <w:color w:val="auto"/>
              </w:rPr>
            </w:pPr>
          </w:p>
        </w:tc>
        <w:tc>
          <w:tcPr>
            <w:tcW w:w="194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3"/>
              </w:rPr>
              <w:t>OptimizeRx Corporation</w:t>
            </w:r>
          </w:p>
        </w:tc>
        <w:tc>
          <w:tcPr>
            <w:tcW w:w="1080" w:type="dxa"/>
            <w:vAlign w:val="bottom"/>
            <w:gridSpan w:val="2"/>
          </w:tcPr>
          <w:p>
            <w:pPr>
              <w:spacing w:after="0"/>
              <w:rPr>
                <w:sz w:val="24"/>
                <w:szCs w:val="24"/>
                <w:color w:val="auto"/>
              </w:rPr>
            </w:pPr>
          </w:p>
        </w:tc>
        <w:tc>
          <w:tcPr>
            <w:tcW w:w="3560" w:type="dxa"/>
            <w:vAlign w:val="bottom"/>
          </w:tcPr>
          <w:p>
            <w:pPr>
              <w:spacing w:after="0"/>
              <w:rPr>
                <w:sz w:val="24"/>
                <w:szCs w:val="24"/>
                <w:color w:val="auto"/>
              </w:rPr>
            </w:pPr>
          </w:p>
        </w:tc>
      </w:tr>
      <w:tr>
        <w:trPr>
          <w:trHeight w:val="237"/>
        </w:trPr>
        <w:tc>
          <w:tcPr>
            <w:tcW w:w="7680" w:type="dxa"/>
            <w:vAlign w:val="bottom"/>
            <w:gridSpan w:val="13"/>
          </w:tcPr>
          <w:p>
            <w:pPr>
              <w:jc w:val="center"/>
              <w:ind w:left="3470"/>
              <w:spacing w:after="0"/>
              <w:rPr>
                <w:sz w:val="20"/>
                <w:szCs w:val="20"/>
                <w:color w:val="auto"/>
              </w:rPr>
            </w:pPr>
            <w:r>
              <w:rPr>
                <w:rFonts w:ascii="Arial" w:cs="Arial" w:eastAsia="Arial" w:hAnsi="Arial"/>
                <w:sz w:val="18"/>
                <w:szCs w:val="18"/>
                <w:color w:val="auto"/>
                <w:w w:val="90"/>
              </w:rPr>
              <w:t>(Exact name of registrant as specified in its charter)</w:t>
            </w:r>
          </w:p>
        </w:tc>
        <w:tc>
          <w:tcPr>
            <w:tcW w:w="3560" w:type="dxa"/>
            <w:vAlign w:val="bottom"/>
          </w:tcPr>
          <w:p>
            <w:pPr>
              <w:spacing w:after="0"/>
              <w:rPr>
                <w:sz w:val="20"/>
                <w:szCs w:val="20"/>
                <w:color w:val="auto"/>
              </w:rPr>
            </w:pPr>
          </w:p>
        </w:tc>
      </w:tr>
      <w:tr>
        <w:trPr>
          <w:trHeight w:val="453"/>
        </w:trPr>
        <w:tc>
          <w:tcPr>
            <w:tcW w:w="7680" w:type="dxa"/>
            <w:vAlign w:val="bottom"/>
            <w:gridSpan w:val="13"/>
          </w:tcPr>
          <w:p>
            <w:pPr>
              <w:jc w:val="center"/>
              <w:ind w:right="2140"/>
              <w:spacing w:after="0"/>
              <w:rPr>
                <w:sz w:val="20"/>
                <w:szCs w:val="20"/>
                <w:color w:val="auto"/>
              </w:rPr>
            </w:pPr>
            <w:r>
              <w:rPr>
                <w:rFonts w:ascii="Arial" w:cs="Arial" w:eastAsia="Arial" w:hAnsi="Arial"/>
                <w:sz w:val="18"/>
                <w:szCs w:val="18"/>
                <w:b w:val="1"/>
                <w:bCs w:val="1"/>
                <w:color w:val="auto"/>
                <w:w w:val="90"/>
              </w:rPr>
              <w:t>Nevada</w:t>
            </w:r>
          </w:p>
        </w:tc>
        <w:tc>
          <w:tcPr>
            <w:tcW w:w="3560" w:type="dxa"/>
            <w:vAlign w:val="bottom"/>
          </w:tcPr>
          <w:p>
            <w:pPr>
              <w:jc w:val="center"/>
              <w:ind w:right="1850"/>
              <w:spacing w:after="0"/>
              <w:rPr>
                <w:sz w:val="20"/>
                <w:szCs w:val="20"/>
                <w:color w:val="auto"/>
              </w:rPr>
            </w:pPr>
            <w:r>
              <w:rPr>
                <w:rFonts w:ascii="Arial" w:cs="Arial" w:eastAsia="Arial" w:hAnsi="Arial"/>
                <w:sz w:val="18"/>
                <w:szCs w:val="18"/>
                <w:b w:val="1"/>
                <w:bCs w:val="1"/>
                <w:color w:val="auto"/>
                <w:w w:val="89"/>
              </w:rPr>
              <w:t>26-1265381</w:t>
            </w:r>
          </w:p>
        </w:tc>
      </w:tr>
      <w:tr>
        <w:trPr>
          <w:trHeight w:val="202"/>
        </w:trPr>
        <w:tc>
          <w:tcPr>
            <w:tcW w:w="552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680" w:type="dxa"/>
            <w:vAlign w:val="bottom"/>
            <w:gridSpan w:val="13"/>
          </w:tcPr>
          <w:p>
            <w:pPr>
              <w:jc w:val="center"/>
              <w:ind w:right="220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680" w:type="dxa"/>
            <w:vAlign w:val="bottom"/>
            <w:gridSpan w:val="13"/>
          </w:tcPr>
          <w:p>
            <w:pPr>
              <w:jc w:val="center"/>
              <w:ind w:left="3470"/>
              <w:spacing w:after="0"/>
              <w:rPr>
                <w:sz w:val="20"/>
                <w:szCs w:val="20"/>
                <w:color w:val="auto"/>
              </w:rPr>
            </w:pPr>
            <w:r>
              <w:rPr>
                <w:rFonts w:ascii="Arial" w:cs="Arial" w:eastAsia="Arial" w:hAnsi="Arial"/>
                <w:sz w:val="18"/>
                <w:szCs w:val="18"/>
                <w:b w:val="1"/>
                <w:bCs w:val="1"/>
                <w:color w:val="auto"/>
                <w:w w:val="89"/>
              </w:rPr>
              <w:t>260 Charles Street</w:t>
            </w:r>
            <w:r>
              <w:rPr>
                <w:rFonts w:ascii="Arial" w:cs="Arial" w:eastAsia="Arial" w:hAnsi="Arial"/>
                <w:sz w:val="18"/>
                <w:szCs w:val="18"/>
                <w:color w:val="auto"/>
                <w:w w:val="89"/>
              </w:rPr>
              <w:t>,</w:t>
            </w:r>
            <w:r>
              <w:rPr>
                <w:rFonts w:ascii="Arial" w:cs="Arial" w:eastAsia="Arial" w:hAnsi="Arial"/>
                <w:sz w:val="18"/>
                <w:szCs w:val="18"/>
                <w:b w:val="1"/>
                <w:bCs w:val="1"/>
                <w:color w:val="auto"/>
                <w:w w:val="89"/>
              </w:rPr>
              <w:t xml:space="preserve"> Suite 302</w:t>
            </w:r>
          </w:p>
        </w:tc>
        <w:tc>
          <w:tcPr>
            <w:tcW w:w="3560" w:type="dxa"/>
            <w:vAlign w:val="bottom"/>
          </w:tcPr>
          <w:p>
            <w:pPr>
              <w:spacing w:after="0"/>
              <w:rPr>
                <w:sz w:val="24"/>
                <w:szCs w:val="24"/>
                <w:color w:val="auto"/>
              </w:rPr>
            </w:pPr>
          </w:p>
        </w:tc>
      </w:tr>
      <w:tr>
        <w:trPr>
          <w:trHeight w:val="194"/>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gridSpan w:val="11"/>
          </w:tcPr>
          <w:p>
            <w:pPr>
              <w:jc w:val="center"/>
              <w:ind w:right="1260"/>
              <w:spacing w:after="0" w:line="194" w:lineRule="exact"/>
              <w:rPr>
                <w:sz w:val="20"/>
                <w:szCs w:val="20"/>
                <w:color w:val="auto"/>
              </w:rPr>
            </w:pPr>
            <w:r>
              <w:rPr>
                <w:rFonts w:ascii="Arial" w:cs="Arial" w:eastAsia="Arial" w:hAnsi="Arial"/>
                <w:sz w:val="18"/>
                <w:szCs w:val="18"/>
                <w:b w:val="1"/>
                <w:bCs w:val="1"/>
                <w:color w:val="auto"/>
                <w:w w:val="95"/>
              </w:rPr>
              <w:t>Waltham, MA 02453</w:t>
            </w:r>
          </w:p>
        </w:tc>
        <w:tc>
          <w:tcPr>
            <w:tcW w:w="3560" w:type="dxa"/>
            <w:vAlign w:val="bottom"/>
          </w:tcPr>
          <w:p>
            <w:pPr>
              <w:spacing w:after="0"/>
              <w:rPr>
                <w:sz w:val="16"/>
                <w:szCs w:val="16"/>
                <w:color w:val="auto"/>
              </w:rPr>
            </w:pPr>
          </w:p>
        </w:tc>
      </w:tr>
      <w:tr>
        <w:trPr>
          <w:trHeight w:val="20"/>
        </w:trPr>
        <w:tc>
          <w:tcPr>
            <w:tcW w:w="48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37"/>
        </w:trPr>
        <w:tc>
          <w:tcPr>
            <w:tcW w:w="7680" w:type="dxa"/>
            <w:vAlign w:val="bottom"/>
            <w:gridSpan w:val="13"/>
          </w:tcPr>
          <w:p>
            <w:pPr>
              <w:jc w:val="center"/>
              <w:ind w:left="3490"/>
              <w:spacing w:after="0"/>
              <w:rPr>
                <w:sz w:val="20"/>
                <w:szCs w:val="20"/>
                <w:color w:val="auto"/>
              </w:rPr>
            </w:pPr>
            <w:r>
              <w:rPr>
                <w:rFonts w:ascii="Arial" w:cs="Arial" w:eastAsia="Arial" w:hAnsi="Arial"/>
                <w:sz w:val="18"/>
                <w:szCs w:val="18"/>
                <w:color w:val="auto"/>
                <w:w w:val="92"/>
              </w:rPr>
              <w:t>(Address of principal executive offices)</w:t>
            </w:r>
          </w:p>
        </w:tc>
        <w:tc>
          <w:tcPr>
            <w:tcW w:w="3560" w:type="dxa"/>
            <w:vAlign w:val="bottom"/>
          </w:tcPr>
          <w:p>
            <w:pPr>
              <w:spacing w:after="0"/>
              <w:rPr>
                <w:sz w:val="20"/>
                <w:szCs w:val="20"/>
                <w:color w:val="auto"/>
              </w:rPr>
            </w:pPr>
          </w:p>
        </w:tc>
      </w:tr>
      <w:tr>
        <w:trPr>
          <w:trHeight w:val="392"/>
        </w:trPr>
        <w:tc>
          <w:tcPr>
            <w:tcW w:w="6140" w:type="dxa"/>
            <w:vAlign w:val="bottom"/>
            <w:gridSpan w:val="8"/>
          </w:tcPr>
          <w:p>
            <w:pPr>
              <w:jc w:val="center"/>
              <w:ind w:left="5030"/>
              <w:spacing w:after="0"/>
              <w:rPr>
                <w:sz w:val="20"/>
                <w:szCs w:val="20"/>
                <w:color w:val="auto"/>
              </w:rPr>
            </w:pPr>
            <w:r>
              <w:rPr>
                <w:rFonts w:ascii="Arial" w:cs="Arial" w:eastAsia="Arial" w:hAnsi="Arial"/>
                <w:sz w:val="18"/>
                <w:szCs w:val="18"/>
                <w:b w:val="1"/>
                <w:bCs w:val="1"/>
                <w:color w:val="auto"/>
                <w:w w:val="90"/>
              </w:rPr>
              <w:t>248-651-6568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0"/>
        </w:trPr>
        <w:tc>
          <w:tcPr>
            <w:tcW w:w="5120" w:type="dxa"/>
            <w:vAlign w:val="bottom"/>
            <w:gridSpan w:val="3"/>
          </w:tcPr>
          <w:p>
            <w:pPr>
              <w:spacing w:after="0" w:line="20" w:lineRule="exact"/>
              <w:rPr>
                <w:sz w:val="1"/>
                <w:szCs w:val="1"/>
                <w:color w:val="auto"/>
              </w:rPr>
            </w:pPr>
          </w:p>
        </w:tc>
        <w:tc>
          <w:tcPr>
            <w:tcW w:w="1020" w:type="dxa"/>
            <w:vAlign w:val="bottom"/>
            <w:gridSpan w:val="5"/>
            <w:shd w:val="clear" w:color="auto" w:fill="000000"/>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37"/>
        </w:trPr>
        <w:tc>
          <w:tcPr>
            <w:tcW w:w="7680" w:type="dxa"/>
            <w:vAlign w:val="bottom"/>
            <w:gridSpan w:val="13"/>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Water Street,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Rochester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MI 48307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w w:val="94"/>
              </w:rPr>
              <w:t>Securities registered under Section 12(b) of the Exchange Act:</w:t>
            </w:r>
          </w:p>
        </w:tc>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72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86"/>
              </w:rPr>
              <w:t>Title of each class</w:t>
            </w:r>
          </w:p>
        </w:tc>
        <w:tc>
          <w:tcPr>
            <w:tcW w:w="292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ind w:right="79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20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7" w:right="339" w:bottom="1440" w:gutter="0" w:footer="0" w:header="0"/>
        </w:sectPr>
      </w:pPr>
    </w:p>
    <w:p>
      <w:pPr>
        <w:spacing w:after="0" w:line="139" w:lineRule="exact"/>
        <w:rPr>
          <w:sz w:val="24"/>
          <w:szCs w:val="24"/>
          <w:color w:val="auto"/>
        </w:rPr>
      </w:pPr>
    </w:p>
    <w:p>
      <w:pPr>
        <w:ind w:left="800"/>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ind w:left="8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w:t>
      </w:r>
    </w:p>
    <w:p>
      <w:pPr>
        <w:spacing w:after="0" w:line="70"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Smaller reporting company</w:t>
      </w:r>
    </w:p>
    <w:p>
      <w:pPr>
        <w:spacing w:after="0" w:line="9"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Emerging growth company</w:t>
      </w:r>
    </w:p>
    <w:p>
      <w:pPr>
        <w:spacing w:after="0" w:line="200" w:lineRule="exact"/>
        <w:rPr>
          <w:sz w:val="24"/>
          <w:szCs w:val="24"/>
          <w:color w:val="auto"/>
        </w:rPr>
      </w:pPr>
    </w:p>
    <w:p>
      <w:pPr>
        <w:sectPr>
          <w:pgSz w:w="11900" w:h="16838" w:orient="portrait"/>
          <w:cols w:equalWidth="0" w:num="3">
            <w:col w:w="960" w:space="640"/>
            <w:col w:w="4000" w:space="720"/>
            <w:col w:w="4920"/>
          </w:cols>
          <w:pgMar w:left="320" w:top="517" w:right="339" w:bottom="1440" w:gutter="0" w:footer="0" w:header="0"/>
          <w:type w:val="continuous"/>
        </w:sectPr>
      </w:pPr>
    </w:p>
    <w:p>
      <w:pPr>
        <w:spacing w:after="0" w:line="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16,637,891 common shares as of August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60" w:type="dxa"/>
            <w:vAlign w:val="bottom"/>
            <w:gridSpan w:val="6"/>
          </w:tcPr>
          <w:p>
            <w:pPr>
              <w:jc w:val="center"/>
              <w:ind w:right="304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53"/>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60" w:type="dxa"/>
            <w:vAlign w:val="bottom"/>
            <w:gridSpan w:val="7"/>
            <w:shd w:val="clear" w:color="auto" w:fill="CCEEFF"/>
          </w:tcPr>
          <w:p>
            <w:pPr>
              <w:jc w:val="center"/>
              <w:ind w:right="2920"/>
              <w:spacing w:after="0" w:line="176" w:lineRule="exact"/>
              <w:rPr>
                <w:sz w:val="20"/>
                <w:szCs w:val="20"/>
                <w:color w:val="auto"/>
              </w:rPr>
            </w:pPr>
            <w:r>
              <w:rPr>
                <w:rFonts w:ascii="Arial" w:cs="Arial" w:eastAsia="Arial" w:hAnsi="Arial"/>
                <w:sz w:val="18"/>
                <w:szCs w:val="18"/>
                <w:b w:val="1"/>
                <w:bCs w:val="1"/>
                <w:color w:val="0000EE"/>
              </w:rPr>
              <w:t>PART I – FINANCIAL INFORMATION</w:t>
            </w:r>
          </w:p>
        </w:tc>
        <w:tc>
          <w:tcPr>
            <w:tcW w:w="112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8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 (unaudited)</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8980" w:type="dxa"/>
            <w:vAlign w:val="bottom"/>
            <w:gridSpan w:val="16"/>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21"/>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462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8980" w:type="dxa"/>
            <w:vAlign w:val="bottom"/>
            <w:gridSpan w:val="16"/>
          </w:tcPr>
          <w:p>
            <w:pPr>
              <w:spacing w:after="0" w:line="176" w:lineRule="exact"/>
              <w:rPr>
                <w:sz w:val="20"/>
                <w:szCs w:val="20"/>
                <w:color w:val="auto"/>
              </w:rPr>
            </w:pPr>
            <w:r>
              <w:rPr>
                <w:rFonts w:ascii="Arial" w:cs="Arial" w:eastAsia="Arial" w:hAnsi="Arial"/>
                <w:sz w:val="18"/>
                <w:szCs w:val="18"/>
                <w:color w:val="0000EE"/>
              </w:rPr>
              <w:t>Controls and Procedures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960" w:type="dxa"/>
            <w:vAlign w:val="bottom"/>
            <w:gridSpan w:val="6"/>
            <w:shd w:val="clear" w:color="auto" w:fill="CCEEFF"/>
          </w:tcPr>
          <w:p>
            <w:pPr>
              <w:jc w:val="center"/>
              <w:ind w:right="3020"/>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112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88"/>
              </w:rPr>
              <w:t>Legal Proceedings</w:t>
            </w:r>
          </w:p>
        </w:tc>
        <w:tc>
          <w:tcPr>
            <w:tcW w:w="7640" w:type="dxa"/>
            <w:vAlign w:val="bottom"/>
            <w:tcBorders>
              <w:bottom w:val="single" w:sz="8" w:color="CCEEFF"/>
            </w:tcBorders>
            <w:gridSpan w:val="1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8980" w:type="dxa"/>
            <w:vAlign w:val="bottom"/>
            <w:gridSpan w:val="16"/>
          </w:tcPr>
          <w:p>
            <w:pPr>
              <w:spacing w:after="0" w:line="176" w:lineRule="exact"/>
              <w:rPr>
                <w:sz w:val="20"/>
                <w:szCs w:val="20"/>
                <w:color w:val="auto"/>
              </w:rPr>
            </w:pPr>
            <w:r>
              <w:rPr>
                <w:rFonts w:ascii="Arial" w:cs="Arial" w:eastAsia="Arial" w:hAnsi="Arial"/>
                <w:sz w:val="18"/>
                <w:szCs w:val="18"/>
                <w:color w:val="0000EE"/>
              </w:rPr>
              <w:t>Risk Factors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98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1"/>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4640" w:type="dxa"/>
            <w:vAlign w:val="bottom"/>
            <w:tcBorders>
              <w:top w:val="single" w:sz="8" w:color="CCEEFF"/>
            </w:tcBorders>
            <w:gridSpan w:val="5"/>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98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5:</w:t>
            </w:r>
          </w:p>
        </w:tc>
        <w:tc>
          <w:tcPr>
            <w:tcW w:w="1700" w:type="dxa"/>
            <w:vAlign w:val="bottom"/>
            <w:tcBorders>
              <w:top w:val="single" w:sz="8" w:color="0000EE"/>
            </w:tcBorders>
            <w:gridSpan w:val="5"/>
          </w:tcPr>
          <w:p>
            <w:pPr>
              <w:spacing w:after="0" w:line="176" w:lineRule="exact"/>
              <w:rPr>
                <w:sz w:val="20"/>
                <w:szCs w:val="20"/>
                <w:color w:val="auto"/>
              </w:rPr>
            </w:pPr>
            <w:r>
              <w:rPr>
                <w:rFonts w:ascii="Arial" w:cs="Arial" w:eastAsia="Arial" w:hAnsi="Arial"/>
                <w:sz w:val="18"/>
                <w:szCs w:val="18"/>
                <w:color w:val="0000EE"/>
              </w:rPr>
              <w:t>Other Information</w:t>
            </w:r>
          </w:p>
        </w:tc>
        <w:tc>
          <w:tcPr>
            <w:tcW w:w="7280" w:type="dxa"/>
            <w:vAlign w:val="bottom"/>
            <w:tcBorders>
              <w:top w:val="single" w:sz="8" w:color="CCEEFF"/>
            </w:tcBorders>
            <w:gridSpan w:val="11"/>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0"/>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98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financial statements included in this Form 10-Q are as follows:</w:t>
      </w:r>
    </w:p>
    <w:p>
      <w:pPr>
        <w:spacing w:after="0" w:line="225" w:lineRule="exact"/>
        <w:rPr>
          <w:sz w:val="20"/>
          <w:szCs w:val="20"/>
          <w:color w:val="auto"/>
        </w:rPr>
      </w:pPr>
    </w:p>
    <w:p>
      <w:pPr>
        <w:ind w:left="1360" w:hanging="722"/>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EE"/>
        </w:rPr>
        <w:t>Condensed Consolidated Balance Sheets as of June 30, 2023 (unaudited) and December 31,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360" w:hanging="722"/>
        <w:spacing w:after="0"/>
        <w:tabs>
          <w:tab w:leader="none" w:pos="136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0000EE"/>
        </w:rPr>
        <w:t>Condensed Consolidated Statements of Operations for the three and six months ended June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 w:lineRule="exact"/>
        <w:rPr>
          <w:sz w:val="20"/>
          <w:szCs w:val="20"/>
          <w:color w:val="auto"/>
        </w:rPr>
      </w:pPr>
    </w:p>
    <w:p>
      <w:pPr>
        <w:ind w:left="1520" w:hanging="882"/>
        <w:spacing w:after="0" w:line="250" w:lineRule="auto"/>
        <w:tabs>
          <w:tab w:leader="none" w:pos="135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Condensed Consolidated Statements of Changes in Stockholders’ Equity for the three and six months ended June 30, 2023 and 2022 (unaudited);</w:t>
      </w:r>
    </w:p>
    <w:p>
      <w:pPr>
        <w:spacing w:after="0" w:line="1" w:lineRule="exact"/>
        <w:rPr>
          <w:sz w:val="20"/>
          <w:szCs w:val="20"/>
          <w:color w:val="auto"/>
        </w:rPr>
      </w:pPr>
    </w:p>
    <w:p>
      <w:pPr>
        <w:ind w:left="1360" w:hanging="72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Condensed Consolidated Statements of Cash Flows for the six months ended June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580" w:right="4660" w:hanging="4942"/>
        <w:spacing w:after="0" w:line="887" w:lineRule="auto"/>
        <w:tabs>
          <w:tab w:leader="none" w:pos="1359"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0000EE"/>
        </w:rPr>
        <w:t xml:space="preserve">Notes to Condensed Consolidated Financial Statements (unaudited). </w:t>
      </w:r>
      <w:r>
        <w:rPr>
          <w:rFonts w:ascii="Arial" w:cs="Arial" w:eastAsia="Arial" w:hAnsi="Arial"/>
          <w:sz w:val="16"/>
          <w:szCs w:val="16"/>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877" w:right="6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680" w:type="dxa"/>
            <w:vAlign w:val="bottom"/>
          </w:tcPr>
          <w:p>
            <w:pPr>
              <w:ind w:left="39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9,808,330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18,208,685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52,931,831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55,931,821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18,281,133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22,155,301</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4,052,729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2,280,828</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85,074,023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98,576,635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140,968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137,448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22,673,820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22,673,820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8,366,375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7,702,895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1,831,839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1,940,178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 of use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235,320</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3,223,305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3,384,889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36,109,883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35,937,102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868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121,324,874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134,651,185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3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817,779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1,549,979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1,503,477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2,601,246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2,722,127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3,990,440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89,902</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451,787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164,309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5,509,715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8,395,876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 net of current portion</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144,532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5,509,715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8,540,408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stock, $0.001 par value, 10,000,000 shares authorized, none issued and outstanding at June 30, 2023 or</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2022</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5"/>
              </w:rPr>
              <w:t>Common stock, $0.001 par value, 166,666,667 shares authorized, 18,376,771 and 18,288,571 shares issued at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June 30, 2023 and December 31, 2022,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18,377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18,289</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Treasury stock, $0.001 par value, 1,741,397 and 1,214,398 shares held at June 30, 2023 and December 31, 2022,</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173,049,784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172,785,800</w:t>
            </w:r>
          </w:p>
        </w:tc>
        <w:tc>
          <w:tcPr>
            <w:tcW w:w="0" w:type="dxa"/>
            <w:vAlign w:val="bottom"/>
          </w:tcPr>
          <w:p>
            <w:pPr>
              <w:spacing w:after="0"/>
              <w:rPr>
                <w:sz w:val="1"/>
                <w:szCs w:val="1"/>
                <w:color w:val="auto"/>
              </w:rPr>
            </w:pPr>
          </w:p>
        </w:tc>
      </w:tr>
      <w:tr>
        <w:trPr>
          <w:trHeight w:val="162"/>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868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80" w:type="dxa"/>
            <w:vAlign w:val="bottom"/>
            <w:gridSpan w:val="2"/>
            <w:shd w:val="clear" w:color="auto" w:fill="CCEEFF"/>
          </w:tcPr>
          <w:p>
            <w:pPr>
              <w:jc w:val="right"/>
              <w:ind w:right="220"/>
              <w:spacing w:after="0" w:line="68" w:lineRule="exact"/>
              <w:rPr>
                <w:sz w:val="20"/>
                <w:szCs w:val="20"/>
                <w:color w:val="auto"/>
              </w:rPr>
            </w:pPr>
            <w:r>
              <w:rPr>
                <w:rFonts w:ascii="Arial" w:cs="Arial" w:eastAsia="Arial" w:hAnsi="Arial"/>
                <w:sz w:val="7"/>
                <w:szCs w:val="7"/>
                <w:color w:val="auto"/>
              </w:rPr>
              <w:t>(57,251,261</w:t>
            </w:r>
          </w:p>
        </w:tc>
        <w:tc>
          <w:tcPr>
            <w:tcW w:w="160" w:type="dxa"/>
            <w:vAlign w:val="bottom"/>
            <w:shd w:val="clear" w:color="auto" w:fill="CCEEFF"/>
          </w:tcPr>
          <w:p>
            <w:pPr>
              <w:spacing w:after="0"/>
              <w:rPr>
                <w:sz w:val="7"/>
                <w:szCs w:val="7"/>
                <w:color w:val="auto"/>
              </w:rPr>
            </w:pPr>
          </w:p>
        </w:tc>
        <w:tc>
          <w:tcPr>
            <w:tcW w:w="1060" w:type="dxa"/>
            <w:vAlign w:val="bottom"/>
            <w:gridSpan w:val="2"/>
            <w:shd w:val="clear" w:color="auto" w:fill="CCEEFF"/>
          </w:tcPr>
          <w:p>
            <w:pPr>
              <w:jc w:val="right"/>
              <w:ind w:right="100"/>
              <w:spacing w:after="0" w:line="68" w:lineRule="exact"/>
              <w:rPr>
                <w:sz w:val="20"/>
                <w:szCs w:val="20"/>
                <w:color w:val="auto"/>
              </w:rPr>
            </w:pPr>
            <w:r>
              <w:rPr>
                <w:rFonts w:ascii="Arial" w:cs="Arial" w:eastAsia="Arial" w:hAnsi="Arial"/>
                <w:sz w:val="7"/>
                <w:szCs w:val="7"/>
                <w:color w:val="auto"/>
              </w:rPr>
              <w:t>(46,692,098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115,815,159</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126,110,777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121,324,874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134,651,185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5980" w:type="dxa"/>
        <w:tblCellMar>
          <w:top w:w="0" w:type="dxa"/>
          <w:left w:w="0" w:type="dxa"/>
          <w:bottom w:w="0" w:type="dxa"/>
          <w:right w:w="0" w:type="dxa"/>
        </w:tblCellMar>
      </w:tblPr>
      <w:tr>
        <w:trPr>
          <w:trHeight w:val="216"/>
        </w:trPr>
        <w:tc>
          <w:tcPr>
            <w:tcW w:w="2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For the Three Months Ended</w:t>
            </w:r>
          </w:p>
        </w:tc>
        <w:tc>
          <w:tcPr>
            <w:tcW w:w="2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Six Months Ended</w:t>
            </w:r>
          </w:p>
        </w:tc>
      </w:tr>
      <w:tr>
        <w:trPr>
          <w:trHeight w:val="241"/>
        </w:trPr>
        <w:tc>
          <w:tcPr>
            <w:tcW w:w="840" w:type="dxa"/>
            <w:vAlign w:val="bottom"/>
          </w:tcPr>
          <w:p>
            <w:pPr>
              <w:spacing w:after="0"/>
              <w:rPr>
                <w:sz w:val="20"/>
                <w:szCs w:val="20"/>
                <w:color w:val="auto"/>
              </w:rPr>
            </w:pPr>
          </w:p>
        </w:tc>
        <w:tc>
          <w:tcPr>
            <w:tcW w:w="188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Pr>
          <w:p>
            <w:pPr>
              <w:spacing w:after="0"/>
              <w:rPr>
                <w:sz w:val="20"/>
                <w:szCs w:val="20"/>
                <w:color w:val="auto"/>
              </w:rPr>
            </w:pPr>
          </w:p>
        </w:tc>
        <w:tc>
          <w:tcPr>
            <w:tcW w:w="1620" w:type="dxa"/>
            <w:vAlign w:val="bottom"/>
            <w:gridSpan w:val="3"/>
          </w:tcPr>
          <w:p>
            <w:pPr>
              <w:jc w:val="center"/>
              <w:ind w:right="730"/>
              <w:spacing w:after="0"/>
              <w:rPr>
                <w:sz w:val="20"/>
                <w:szCs w:val="20"/>
                <w:color w:val="auto"/>
              </w:rPr>
            </w:pPr>
            <w:r>
              <w:rPr>
                <w:rFonts w:ascii="Arial" w:cs="Arial" w:eastAsia="Arial" w:hAnsi="Arial"/>
                <w:sz w:val="18"/>
                <w:szCs w:val="18"/>
                <w:b w:val="1"/>
                <w:bCs w:val="1"/>
                <w:color w:val="auto"/>
                <w:w w:val="88"/>
              </w:rPr>
              <w:t>June 30,</w:t>
            </w:r>
          </w:p>
        </w:tc>
      </w:tr>
      <w:tr>
        <w:trPr>
          <w:trHeight w:val="237"/>
        </w:trPr>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r>
    </w:tbl>
    <w:p>
      <w:pPr>
        <w:spacing w:after="0" w:line="200"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revenue</w:t>
      </w:r>
    </w:p>
    <w:p>
      <w:pPr>
        <w:spacing w:after="0" w:line="23" w:lineRule="exact"/>
        <w:rPr>
          <w:sz w:val="20"/>
          <w:szCs w:val="20"/>
          <w:color w:val="auto"/>
        </w:rPr>
      </w:pPr>
    </w:p>
    <w:p>
      <w:pPr>
        <w:ind w:left="180" w:right="155" w:hanging="161"/>
        <w:spacing w:after="0" w:line="257" w:lineRule="auto"/>
        <w:rPr>
          <w:sz w:val="20"/>
          <w:szCs w:val="20"/>
          <w:color w:val="auto"/>
        </w:rPr>
      </w:pPr>
      <w:r>
        <w:rPr>
          <w:rFonts w:ascii="Arial" w:cs="Arial" w:eastAsia="Arial" w:hAnsi="Arial"/>
          <w:sz w:val="18"/>
          <w:szCs w:val="18"/>
          <w:color w:val="auto"/>
        </w:rPr>
        <w:t>Cost of revenues, exclusive of depreciation and amortization presented separately below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br w:type="column"/>
      </w:r>
    </w:p>
    <w:p>
      <w:pPr>
        <w:ind w:left="325" w:hanging="325"/>
        <w:spacing w:after="0"/>
        <w:tabs>
          <w:tab w:leader="none" w:pos="325" w:val="left"/>
        </w:tabs>
        <w:numPr>
          <w:ilvl w:val="0"/>
          <w:numId w:val="7"/>
        </w:numPr>
        <w:rPr>
          <w:rFonts w:ascii="Arial" w:cs="Arial" w:eastAsia="Arial" w:hAnsi="Arial"/>
          <w:sz w:val="18"/>
          <w:szCs w:val="18"/>
          <w:color w:val="auto"/>
        </w:rPr>
      </w:pPr>
      <w:r>
        <w:rPr>
          <w:rFonts w:ascii="Arial" w:cs="Arial" w:eastAsia="Arial" w:hAnsi="Arial"/>
          <w:sz w:val="18"/>
          <w:szCs w:val="18"/>
          <w:color w:val="auto"/>
        </w:rPr>
        <w:t>13,818,166   $   13,978,665   $   26,821,076   $   27,710,195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-121920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237"/>
        </w:trPr>
        <w:tc>
          <w:tcPr>
            <w:tcW w:w="1380" w:type="dxa"/>
            <w:vAlign w:val="bottom"/>
            <w:gridSpan w:val="2"/>
          </w:tcPr>
          <w:p>
            <w:pPr>
              <w:ind w:left="400"/>
              <w:spacing w:after="0"/>
              <w:rPr>
                <w:sz w:val="20"/>
                <w:szCs w:val="20"/>
                <w:color w:val="auto"/>
              </w:rPr>
            </w:pPr>
            <w:r>
              <w:rPr>
                <w:rFonts w:ascii="Arial" w:cs="Arial" w:eastAsia="Arial" w:hAnsi="Arial"/>
                <w:sz w:val="18"/>
                <w:szCs w:val="18"/>
                <w:color w:val="auto"/>
              </w:rPr>
              <w:t>5,993,145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4,988,716</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11,562,766</w:t>
            </w:r>
          </w:p>
        </w:tc>
        <w:tc>
          <w:tcPr>
            <w:tcW w:w="1120" w:type="dxa"/>
            <w:vAlign w:val="bottom"/>
          </w:tcPr>
          <w:p>
            <w:pPr>
              <w:jc w:val="right"/>
              <w:spacing w:after="0"/>
              <w:rPr>
                <w:sz w:val="20"/>
                <w:szCs w:val="20"/>
                <w:color w:val="auto"/>
              </w:rPr>
            </w:pPr>
            <w:r>
              <w:rPr>
                <w:rFonts w:ascii="Arial" w:cs="Arial" w:eastAsia="Arial" w:hAnsi="Arial"/>
                <w:sz w:val="18"/>
                <w:szCs w:val="18"/>
                <w:color w:val="auto"/>
              </w:rPr>
              <w:t>10,618,574</w:t>
            </w:r>
          </w:p>
        </w:tc>
      </w:tr>
      <w:tr>
        <w:trPr>
          <w:trHeight w:val="223"/>
        </w:trPr>
        <w:tc>
          <w:tcPr>
            <w:tcW w:w="11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7"/>
              </w:rPr>
              <w:t>7,825,021</w:t>
            </w:r>
          </w:p>
        </w:tc>
        <w:tc>
          <w:tcPr>
            <w:tcW w:w="2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8,989,949</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6"/>
              </w:rPr>
              <w:t>15,258,310</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17,091,621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-161925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55" w:space="720"/>
            <w:col w:w="5265"/>
          </w:cols>
          <w:pgMar w:left="320" w:top="877"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12,242,128</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12,320,362</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26,274,669</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23,711,597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noncash lease expense</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464,761</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578,117</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928,695</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1,049,656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12,706,889</w:t>
            </w:r>
          </w:p>
        </w:tc>
        <w:tc>
          <w:tcPr>
            <w:tcW w:w="2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12,898,479</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27,203,364</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24,761,253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(4,881,868)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(3,908,530)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(11,945,054)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(7,669,632)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720,419</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23,816</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1,385,891</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Loss before provision for income taxes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(4,161,449)</w:t>
            </w: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(3,884,714)</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(10,559,163)</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(7,645,812)</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59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(4,161,449</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(3,884,714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(10,559,163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(7,645,812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16,992,100</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18,122,500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17,043,793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18,000,958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16,992,100</w:t>
            </w:r>
          </w:p>
        </w:tc>
        <w:tc>
          <w:tcPr>
            <w:tcW w:w="2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18,122,500</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17,043,793</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18,000,958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per share – basic</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Loss per share –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(0.24</w:t>
            </w:r>
          </w:p>
        </w:tc>
        <w:tc>
          <w:tcPr>
            <w:tcW w:w="26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(0.21</w:t>
            </w:r>
          </w:p>
        </w:tc>
        <w:tc>
          <w:tcPr>
            <w:tcW w:w="2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(0.62</w:t>
            </w:r>
          </w:p>
        </w:tc>
        <w:tc>
          <w:tcPr>
            <w:tcW w:w="2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200" w:type="dxa"/>
            <w:vAlign w:val="bottom"/>
          </w:tcPr>
          <w:p>
            <w:pPr>
              <w:spacing w:after="0"/>
              <w:rPr>
                <w:sz w:val="22"/>
                <w:szCs w:val="22"/>
                <w:color w:val="auto"/>
              </w:rPr>
            </w:pPr>
          </w:p>
        </w:tc>
        <w:tc>
          <w:tcPr>
            <w:tcW w:w="2240" w:type="dxa"/>
            <w:vAlign w:val="bottom"/>
            <w:gridSpan w:val="6"/>
          </w:tcPr>
          <w:p>
            <w:pPr>
              <w:ind w:left="420"/>
              <w:spacing w:after="0"/>
              <w:rPr>
                <w:sz w:val="20"/>
                <w:szCs w:val="20"/>
                <w:color w:val="auto"/>
              </w:rPr>
            </w:pPr>
            <w:r>
              <w:rPr>
                <w:rFonts w:ascii="Arial" w:cs="Arial" w:eastAsia="Arial" w:hAnsi="Arial"/>
                <w:sz w:val="18"/>
                <w:szCs w:val="18"/>
                <w:b w:val="1"/>
                <w:bCs w:val="1"/>
                <w:color w:val="auto"/>
              </w:rPr>
              <w:t>Common Stock</w:t>
            </w:r>
          </w:p>
        </w:tc>
        <w:tc>
          <w:tcPr>
            <w:tcW w:w="21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Treasury Stock</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 in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18,288,571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18,289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(1,214,398)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172,785,800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(46,692,098)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$ 126,110,777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Options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1,466,694</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1,466,694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2,913,809</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2,913,809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options exercised</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40,596</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For restricted stock units vested</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33,272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(170,433)</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(170,400)</w:t>
            </w:r>
          </w:p>
        </w:tc>
        <w:tc>
          <w:tcPr>
            <w:tcW w:w="0" w:type="dxa"/>
            <w:vAlign w:val="bottom"/>
          </w:tcPr>
          <w:p>
            <w:pPr>
              <w:spacing w:after="0"/>
              <w:rPr>
                <w:sz w:val="1"/>
                <w:szCs w:val="1"/>
                <w:color w:val="auto"/>
              </w:rPr>
            </w:pPr>
          </w:p>
        </w:tc>
      </w:tr>
      <w:tr>
        <w:trPr>
          <w:trHeight w:val="162"/>
        </w:trPr>
        <w:tc>
          <w:tcPr>
            <w:tcW w:w="3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(6,397,714</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75"/>
        </w:trPr>
        <w:tc>
          <w:tcPr>
            <w:tcW w:w="3200" w:type="dxa"/>
            <w:vAlign w:val="bottom"/>
            <w:vMerge w:val="continue"/>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140" w:type="dxa"/>
            <w:vAlign w:val="bottom"/>
            <w:gridSpan w:val="2"/>
            <w:shd w:val="clear" w:color="auto" w:fill="CCEEFF"/>
          </w:tcPr>
          <w:p>
            <w:pPr>
              <w:jc w:val="right"/>
              <w:ind w:right="140"/>
              <w:spacing w:after="0" w:line="68" w:lineRule="exact"/>
              <w:rPr>
                <w:sz w:val="20"/>
                <w:szCs w:val="20"/>
                <w:color w:val="auto"/>
              </w:rPr>
            </w:pPr>
            <w:r>
              <w:rPr>
                <w:rFonts w:ascii="Arial" w:cs="Arial" w:eastAsia="Arial" w:hAnsi="Arial"/>
                <w:sz w:val="7"/>
                <w:szCs w:val="7"/>
                <w:color w:val="auto"/>
              </w:rPr>
              <w:t>(6,397,714</w:t>
            </w:r>
          </w:p>
        </w:tc>
        <w:tc>
          <w:tcPr>
            <w:tcW w:w="11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18,331,511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18,332</w:t>
            </w:r>
          </w:p>
        </w:tc>
        <w:tc>
          <w:tcPr>
            <w:tcW w:w="110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(1,214,398</w:t>
            </w:r>
            <w:r>
              <w:rPr>
                <w:rFonts w:ascii="Arial" w:cs="Arial" w:eastAsia="Arial" w:hAnsi="Arial"/>
                <w:sz w:val="29"/>
                <w:szCs w:val="29"/>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line="256" w:lineRule="exact"/>
              <w:rPr>
                <w:sz w:val="20"/>
                <w:szCs w:val="20"/>
                <w:color w:val="auto"/>
              </w:rPr>
            </w:pPr>
            <w:r>
              <w:rPr>
                <w:rFonts w:ascii="Arial" w:cs="Arial" w:eastAsia="Arial" w:hAnsi="Arial"/>
                <w:sz w:val="16"/>
                <w:szCs w:val="16"/>
                <w:color w:val="auto"/>
              </w:rPr>
              <w:t>(1,214</w:t>
            </w:r>
            <w:r>
              <w:rPr>
                <w:rFonts w:ascii="Arial" w:cs="Arial" w:eastAsia="Arial" w:hAnsi="Arial"/>
                <w:sz w:val="29"/>
                <w:szCs w:val="29"/>
                <w:color w:val="auto"/>
                <w:vertAlign w:val="superscript"/>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177,036,466</w:t>
            </w:r>
          </w:p>
        </w:tc>
        <w:tc>
          <w:tcPr>
            <w:tcW w:w="11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w w:val="98"/>
              </w:rPr>
              <w:t>$ (53,089,812</w:t>
            </w:r>
            <w:r>
              <w:rPr>
                <w:rFonts w:ascii="Arial" w:cs="Arial" w:eastAsia="Arial" w:hAnsi="Arial"/>
                <w:sz w:val="29"/>
                <w:szCs w:val="29"/>
                <w:color w:val="auto"/>
                <w:w w:val="98"/>
                <w:vertAlign w:val="superscript"/>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$ 123,963,772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Options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1,654,770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1,654,770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1,848,353</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1,848,353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options exercised</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105,090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For restricted stock units vested</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35,260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(72,996)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(72,961)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(526,999)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(7,521,899)</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(7,522,426)</w:t>
            </w:r>
          </w:p>
        </w:tc>
        <w:tc>
          <w:tcPr>
            <w:tcW w:w="0" w:type="dxa"/>
            <w:vAlign w:val="bottom"/>
          </w:tcPr>
          <w:p>
            <w:pPr>
              <w:spacing w:after="0"/>
              <w:rPr>
                <w:sz w:val="1"/>
                <w:szCs w:val="1"/>
                <w:color w:val="auto"/>
              </w:rPr>
            </w:pPr>
          </w:p>
        </w:tc>
      </w:tr>
      <w:tr>
        <w:trPr>
          <w:trHeight w:val="162"/>
        </w:trPr>
        <w:tc>
          <w:tcPr>
            <w:tcW w:w="32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162"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(4,161,449</w:t>
            </w:r>
          </w:p>
        </w:tc>
        <w:tc>
          <w:tcPr>
            <w:tcW w:w="100" w:type="dxa"/>
            <w:vAlign w:val="bottom"/>
          </w:tcPr>
          <w:p>
            <w:pPr>
              <w:jc w:val="right"/>
              <w:spacing w:after="0" w:line="16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75"/>
        </w:trPr>
        <w:tc>
          <w:tcPr>
            <w:tcW w:w="3200" w:type="dxa"/>
            <w:vAlign w:val="bottom"/>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40" w:type="dxa"/>
            <w:vAlign w:val="bottom"/>
            <w:gridSpan w:val="2"/>
          </w:tcPr>
          <w:p>
            <w:pPr>
              <w:jc w:val="right"/>
              <w:ind w:right="140"/>
              <w:spacing w:after="0" w:line="68" w:lineRule="exact"/>
              <w:rPr>
                <w:sz w:val="20"/>
                <w:szCs w:val="20"/>
                <w:color w:val="auto"/>
              </w:rPr>
            </w:pPr>
            <w:r>
              <w:rPr>
                <w:rFonts w:ascii="Arial" w:cs="Arial" w:eastAsia="Arial" w:hAnsi="Arial"/>
                <w:sz w:val="7"/>
                <w:szCs w:val="7"/>
                <w:color w:val="auto"/>
              </w:rPr>
              <w:t>(4,161,449</w:t>
            </w:r>
          </w:p>
        </w:tc>
        <w:tc>
          <w:tcPr>
            <w:tcW w:w="11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200" w:type="dxa"/>
            <w:vAlign w:val="bottom"/>
          </w:tcPr>
          <w:p>
            <w:pPr>
              <w:spacing w:after="0"/>
              <w:rPr>
                <w:sz w:val="20"/>
                <w:szCs w:val="20"/>
                <w:color w:val="auto"/>
              </w:rPr>
            </w:pPr>
            <w:r>
              <w:rPr>
                <w:rFonts w:ascii="Arial" w:cs="Arial" w:eastAsia="Arial" w:hAnsi="Arial"/>
                <w:sz w:val="18"/>
                <w:szCs w:val="18"/>
                <w:color w:val="auto"/>
              </w:rPr>
              <w:t>Balance June 30, 2023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18,376,771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18,377</w:t>
            </w:r>
          </w:p>
        </w:tc>
        <w:tc>
          <w:tcPr>
            <w:tcW w:w="110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(1,741,397</w:t>
            </w:r>
            <w:r>
              <w:rPr>
                <w:rFonts w:ascii="Arial" w:cs="Arial" w:eastAsia="Arial" w:hAnsi="Arial"/>
                <w:sz w:val="29"/>
                <w:szCs w:val="29"/>
                <w:color w:val="auto"/>
                <w:vertAlign w:val="superscript"/>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line="256" w:lineRule="exact"/>
              <w:rPr>
                <w:sz w:val="20"/>
                <w:szCs w:val="20"/>
                <w:color w:val="auto"/>
              </w:rPr>
            </w:pPr>
            <w:r>
              <w:rPr>
                <w:rFonts w:ascii="Arial" w:cs="Arial" w:eastAsia="Arial" w:hAnsi="Arial"/>
                <w:sz w:val="16"/>
                <w:szCs w:val="16"/>
                <w:color w:val="auto"/>
              </w:rPr>
              <w:t>(1,741</w:t>
            </w:r>
            <w:r>
              <w:rPr>
                <w:rFonts w:ascii="Arial" w:cs="Arial" w:eastAsia="Arial" w:hAnsi="Arial"/>
                <w:sz w:val="29"/>
                <w:szCs w:val="29"/>
                <w:color w:val="auto"/>
                <w:vertAlign w:val="superscript"/>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173,049,784</w:t>
            </w:r>
          </w:p>
        </w:tc>
        <w:tc>
          <w:tcPr>
            <w:tcW w:w="1140" w:type="dxa"/>
            <w:vAlign w:val="bottom"/>
            <w:gridSpan w:val="2"/>
          </w:tcPr>
          <w:p>
            <w:pPr>
              <w:jc w:val="right"/>
              <w:ind w:right="80"/>
              <w:spacing w:after="0" w:line="256" w:lineRule="exact"/>
              <w:rPr>
                <w:sz w:val="20"/>
                <w:szCs w:val="20"/>
                <w:color w:val="auto"/>
              </w:rPr>
            </w:pPr>
            <w:r>
              <w:rPr>
                <w:rFonts w:ascii="Arial" w:cs="Arial" w:eastAsia="Arial" w:hAnsi="Arial"/>
                <w:sz w:val="16"/>
                <w:szCs w:val="16"/>
                <w:color w:val="auto"/>
                <w:w w:val="98"/>
              </w:rPr>
              <w:t>$ (57,251,261</w:t>
            </w:r>
            <w:r>
              <w:rPr>
                <w:rFonts w:ascii="Arial" w:cs="Arial" w:eastAsia="Arial" w:hAnsi="Arial"/>
                <w:sz w:val="29"/>
                <w:szCs w:val="29"/>
                <w:color w:val="auto"/>
                <w:w w:val="98"/>
                <w:vertAlign w:val="superscript"/>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3"/>
              </w:rPr>
              <w:t>$ 115,815,159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Additional</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3200" w:type="dxa"/>
            <w:vAlign w:val="bottom"/>
          </w:tcPr>
          <w:p>
            <w:pPr>
              <w:spacing w:after="0"/>
              <w:rPr>
                <w:sz w:val="22"/>
                <w:szCs w:val="22"/>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21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Treasury Stock</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Paid in</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Accumulated</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3200" w:type="dxa"/>
            <w:vAlign w:val="bottom"/>
          </w:tcPr>
          <w:p>
            <w:pPr>
              <w:spacing w:after="0"/>
              <w:rPr>
                <w:sz w:val="20"/>
                <w:szCs w:val="20"/>
                <w:color w:val="auto"/>
              </w:rPr>
            </w:pPr>
          </w:p>
        </w:tc>
        <w:tc>
          <w:tcPr>
            <w:tcW w:w="11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Capital</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16"/>
        </w:trPr>
        <w:tc>
          <w:tcPr>
            <w:tcW w:w="3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17,860,975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17,861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166,615,514</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(35,253,658)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$ 131,379,717</w:t>
            </w: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Options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905,744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905,744</w:t>
            </w: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2,268,354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2,268,354</w:t>
            </w: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options exercised</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28,006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258,100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258,128</w:t>
            </w: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For restricted stock units vested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13,627</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(3,761,098)</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(3,761,098)</w:t>
            </w:r>
          </w:p>
        </w:tc>
      </w:tr>
      <w:tr>
        <w:trPr>
          <w:trHeight w:val="216"/>
        </w:trPr>
        <w:tc>
          <w:tcPr>
            <w:tcW w:w="3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17,902,608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17,903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170,047,698</w:t>
            </w:r>
          </w:p>
        </w:tc>
        <w:tc>
          <w:tcPr>
            <w:tcW w:w="122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w w:val="98"/>
              </w:rPr>
              <w:t>$ (39,014,756</w:t>
            </w:r>
            <w:r>
              <w:rPr>
                <w:rFonts w:ascii="Arial" w:cs="Arial" w:eastAsia="Arial" w:hAnsi="Arial"/>
                <w:sz w:val="29"/>
                <w:szCs w:val="29"/>
                <w:color w:val="auto"/>
                <w:w w:val="98"/>
                <w:vertAlign w:val="superscript"/>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$ 131,050,845</w:t>
            </w:r>
          </w:p>
        </w:tc>
        <w:tc>
          <w:tcPr>
            <w:tcW w:w="100" w:type="dxa"/>
            <w:vAlign w:val="bottom"/>
            <w:shd w:val="clear" w:color="auto" w:fill="CCEEFF"/>
          </w:tcPr>
          <w:p>
            <w:pPr>
              <w:spacing w:after="0"/>
              <w:rPr>
                <w:sz w:val="22"/>
                <w:szCs w:val="22"/>
                <w:color w:val="auto"/>
              </w:rPr>
            </w:pPr>
          </w:p>
        </w:tc>
      </w:tr>
      <w:tr>
        <w:trPr>
          <w:trHeight w:val="21"/>
        </w:trPr>
        <w:tc>
          <w:tcPr>
            <w:tcW w:w="3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3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Options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1,336,810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1,336,810</w:t>
            </w: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2,688,513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2,688,513</w:t>
            </w: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options exercised</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43,701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572,303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572,347</w:t>
            </w: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For acquisition</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240,741</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9,374,214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9,374,455</w:t>
            </w: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(12,868)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(321,041)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(321,054)</w:t>
            </w:r>
          </w:p>
        </w:tc>
      </w:tr>
      <w:tr>
        <w:trPr>
          <w:trHeight w:val="237"/>
        </w:trPr>
        <w:tc>
          <w:tcPr>
            <w:tcW w:w="320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(3,884,714)</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(3,884,714)</w:t>
            </w:r>
          </w:p>
        </w:tc>
      </w:tr>
      <w:tr>
        <w:trPr>
          <w:trHeight w:val="216"/>
        </w:trPr>
        <w:tc>
          <w:tcPr>
            <w:tcW w:w="3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3200" w:type="dxa"/>
            <w:vAlign w:val="bottom"/>
          </w:tcPr>
          <w:p>
            <w:pPr>
              <w:spacing w:after="0"/>
              <w:rPr>
                <w:sz w:val="20"/>
                <w:szCs w:val="20"/>
                <w:color w:val="auto"/>
              </w:rPr>
            </w:pPr>
            <w:r>
              <w:rPr>
                <w:rFonts w:ascii="Arial" w:cs="Arial" w:eastAsia="Arial" w:hAnsi="Arial"/>
                <w:sz w:val="18"/>
                <w:szCs w:val="18"/>
                <w:color w:val="auto"/>
              </w:rPr>
              <w:t>Balance June 30, 2022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18,187,050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18,188</w:t>
            </w:r>
          </w:p>
        </w:tc>
        <w:tc>
          <w:tcPr>
            <w:tcW w:w="1040" w:type="dxa"/>
            <w:vAlign w:val="bottom"/>
            <w:gridSpan w:val="2"/>
          </w:tcPr>
          <w:p>
            <w:pPr>
              <w:jc w:val="right"/>
              <w:ind w:right="80"/>
              <w:spacing w:after="0" w:line="256" w:lineRule="exact"/>
              <w:rPr>
                <w:sz w:val="20"/>
                <w:szCs w:val="20"/>
                <w:color w:val="auto"/>
              </w:rPr>
            </w:pPr>
            <w:r>
              <w:rPr>
                <w:rFonts w:ascii="Arial" w:cs="Arial" w:eastAsia="Arial" w:hAnsi="Arial"/>
                <w:sz w:val="16"/>
                <w:szCs w:val="16"/>
                <w:color w:val="auto"/>
              </w:rPr>
              <w:t>(12,868</w:t>
            </w:r>
            <w:r>
              <w:rPr>
                <w:rFonts w:ascii="Arial" w:cs="Arial" w:eastAsia="Arial" w:hAnsi="Arial"/>
                <w:sz w:val="29"/>
                <w:szCs w:val="29"/>
                <w:color w:val="auto"/>
                <w:vertAlign w:val="superscript"/>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56" w:lineRule="exact"/>
              <w:rPr>
                <w:sz w:val="20"/>
                <w:szCs w:val="20"/>
                <w:color w:val="auto"/>
              </w:rPr>
            </w:pPr>
            <w:r>
              <w:rPr>
                <w:rFonts w:ascii="Arial" w:cs="Arial" w:eastAsia="Arial" w:hAnsi="Arial"/>
                <w:sz w:val="16"/>
                <w:szCs w:val="16"/>
                <w:color w:val="auto"/>
              </w:rPr>
              <w:t>(13</w:t>
            </w:r>
            <w:r>
              <w:rPr>
                <w:rFonts w:ascii="Arial" w:cs="Arial" w:eastAsia="Arial" w:hAnsi="Arial"/>
                <w:sz w:val="29"/>
                <w:szCs w:val="29"/>
                <w:color w:val="auto"/>
                <w:vertAlign w:val="superscript"/>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183,698,497</w:t>
            </w:r>
          </w:p>
        </w:tc>
        <w:tc>
          <w:tcPr>
            <w:tcW w:w="122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w w:val="98"/>
              </w:rPr>
              <w:t>$ (42,899,470</w:t>
            </w:r>
            <w:r>
              <w:rPr>
                <w:rFonts w:ascii="Arial" w:cs="Arial" w:eastAsia="Arial" w:hAnsi="Arial"/>
                <w:sz w:val="29"/>
                <w:szCs w:val="29"/>
                <w:color w:val="auto"/>
                <w:w w:val="98"/>
                <w:vertAlign w:val="superscript"/>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$ 140,817,202</w:t>
            </w:r>
          </w:p>
        </w:tc>
        <w:tc>
          <w:tcPr>
            <w:tcW w:w="100" w:type="dxa"/>
            <w:vAlign w:val="bottom"/>
          </w:tcPr>
          <w:p>
            <w:pPr>
              <w:spacing w:after="0"/>
              <w:rPr>
                <w:sz w:val="22"/>
                <w:szCs w:val="22"/>
                <w:color w:val="auto"/>
              </w:rPr>
            </w:pPr>
          </w:p>
        </w:tc>
      </w:tr>
      <w:tr>
        <w:trPr>
          <w:trHeight w:val="21"/>
        </w:trPr>
        <w:tc>
          <w:tcPr>
            <w:tcW w:w="3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For the Six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(10,559,163)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(7,645,812)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928,695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1,049,656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7,883,626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7,199,421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bad debt reserve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238,748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98,727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3,635,420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5,969,009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(1,771,899)</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1,266,478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(732,200)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64,232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(1,268,313)</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(2,001,379)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(1,096,881)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(1,263,971)</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287,478</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(347,989)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(2,454,489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(48,556)</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(41,335)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held-to-maturity investments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2"/>
              </w:rPr>
              <w:t>(109,501,032)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Redemptions of held-to-maturity investments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112,501,021</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EvinceMed acquisition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Acquisition of intangible assets, including intellectual property rights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(3,068)</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(145,257)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software development costs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(1,274,150)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1,674,215</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(2,186,592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employee withholding taxes related to the vesting of restricted stock units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(243,361)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(7,522,426)</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(321,054)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145,706</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830,474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(7,620,081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509,420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(8,400,355)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18,208,685</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w w:val="99"/>
              </w:rPr>
              <w:t>84,681,770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9,808,330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87,392,970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Reduction of EvinceMed purchase price for amounts previously paid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Shares issued in connection with acquisition</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9,374,455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OptimizeRx Corporation and its wholly owned subsidiaries (collectively, the “Company”, “we”, “our”, or “us”).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a digital health technology company enabling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condensed consolidated financial statements for the three and six months ended June 30, 2023 and 2022 have been prepared by us without audit pursuant to the rules and regulations of the U.S. Securities and Exchange Commission (“SEC”). In the opinion of management, all adjustments necessary to present fairly our financial position at June 30, 2023, and our results of operations, changes in stockholders’ equity, and cash flows for the six months ended June 30, 2023 and 2022, have been made. Those adjustments consist of normal and recurring adjustments. The condensed consolidated balance sheet as of December 31, 2022, has been derived from the audited consolidated condensed balance sheet as of that date.</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information and note disclosures, including a detailed discussion about the Company’s significant accounting policies, normally included in our annual consolidated financial statements prepared in accordance with generally accepted accounting principles have been condensed or omitted. These condensed consolidated financial statements should be read in conjunction with a reading of the consolidated financial statements and notes thereto included in our Annual Report on Form 10-K for the fiscal year ended December 31, 2022, as filed with the SEC on March 10,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for the six months ended June 30, 2023, are not necessarily indicative of the results to be expected for the full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ASU Topic 2021-08 </w:t>
      </w:r>
      <w:r>
        <w:rPr>
          <w:rFonts w:ascii="Arial" w:cs="Arial" w:eastAsia="Arial" w:hAnsi="Arial"/>
          <w:sz w:val="18"/>
          <w:szCs w:val="18"/>
          <w:i w:val="1"/>
          <w:iCs w:val="1"/>
          <w:color w:val="auto"/>
        </w:rPr>
        <w:t>Business Combinations (Topic 805), Accounting for Contract Assets and Contract Liabilities from Contracts with Customers</w:t>
      </w:r>
      <w:r>
        <w:rPr>
          <w:rFonts w:ascii="Arial" w:cs="Arial" w:eastAsia="Arial" w:hAnsi="Arial"/>
          <w:sz w:val="18"/>
          <w:szCs w:val="18"/>
          <w:color w:val="auto"/>
        </w:rPr>
        <w:t>, requires contract assets and contract liabilities acquired in a business combination to be recognized and measured by the acquirer on the acquisition date in accordance with ASC 606</w:t>
      </w:r>
      <w:r>
        <w:rPr>
          <w:rFonts w:ascii="Arial" w:cs="Arial" w:eastAsia="Arial" w:hAnsi="Arial"/>
          <w:sz w:val="18"/>
          <w:szCs w:val="18"/>
          <w:i w:val="1"/>
          <w:iCs w:val="1"/>
          <w:color w:val="auto"/>
        </w:rPr>
        <w:t>, Revenue from Contracts with Customers</w:t>
      </w:r>
      <w:r>
        <w:rPr>
          <w:rFonts w:ascii="Arial" w:cs="Arial" w:eastAsia="Arial" w:hAnsi="Arial"/>
          <w:sz w:val="18"/>
          <w:szCs w:val="18"/>
          <w:color w:val="auto"/>
        </w:rPr>
        <w:t>, as if it had originated the contracts. The standard was effective for the Company’s fiscal year beginning January 1, 2023. The adoption of this standard did not have a material effect on our financial position, results of operations, or cash flows.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CASH, CASH EQUIVALENTS AND SHORT-TERM INVESTMENTS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equivalents include items almost as liquid as cash with maturity periods of three months or less when purchased, and short-term investments include items with maturity dates between three months and one year when purchased. We account for marketable securities in accordance with ASC 320, “Investments - Debt Securities”, which require that certain debt securities be classified into one of three categories: held-to-maturity, available-for-sale, or trading securities, and depending upon the classification, value the security at amortized cost or fair market value. At June 30, 2023 and December 31, 2022, we have recorded $52.9 million and $55.9 million, respectively, of held-to-maturity United States’ Treasury Bills at amortized cost basis. Our held-to-maturity United States’ Treasury Bills have maturity dates between July 2023 and September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 4 - CAPITALIZED SOFTWARE COSTS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capitalizes certain development costs incurred in connection with software development for internal-use software platforms used in operations and for providing services to our customers. Costs incurred in the preliminary stages of development are expensed as incurred. Once software has reached the development stage, internal and external costs, if direct, are capitalized until the software is substantially complete and ready for its intended use. Capitalization ceases upon completion of all substantial testing. The Company also capitalizes costs related to specific upgrades and enhancements when it is probable the expenditures will result in additional functionality. Capitalized internal use software development costs are included in intangible assets and are amortized on a straight-line basis over the estimated useful life of the software platforms and are included in depreciation and amortization within operating expenses in the consolidated statements of operations. Amortization of capitalized internal use software expense for the six months ended June 30, 2023 and 2022 was $95,108 and $226,819, respectively. The Company accumulates capitalizable costs related to current projects in a CIP software account, the balance of which was $1.3 million and zero at June 30, 2023 and December 31,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5 – REVENUES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we record revenue when earned, rather than when billed. From time to time, we may record revenue based on our revenue recognition policies in advance of being able to invoice the customer, or we may invoice the customer prior to being able to recognize the revenue. Included in accounts receivable are unbilled amounts of $2,975,040 and $3,582,735 at June 30, 2023, and December 31, 2022, respectively. Amounts billed in advance of revenue recognition are presented as deferred revenue on the condensed consolidated balance sheets.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several signed contracts with customers for the distribution of messaging, or other services, which include payment in advance. The payments are not recorded as revenue until the revenue is earned under its revenue recognition policy. Deferred revenue was $451,787 and $164,309 as of June 30, 2023 and December 31, 2022, respectively. The contracts are all short term in nature and all revenue is expected to be recognized within 12 months, or less. Following is a summary of activity for the deferred revenue account for the quarter ended June 30.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Revenue recognized</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(8,778,893)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(6,013,181)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 collected</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9,349,724</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5,916,318</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March 31</w:t>
            </w: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735,140</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1,293,044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(9,619,380)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(7,373,802)</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Amount collected</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9,336,027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7,122,677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June 30</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451,787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1,041,919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Consistent with ASC Topic 606, we have disaggregated our revenue by timing of revenue recognition. The majority of our revenue is recognized over time as solutions are provided. A small portion of our revenue related to program development, solution architect design, and other solutions is recognized at a point in time upon delivery to customers. A break down is set forth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4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over time</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13,033,714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12,169,710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25,606,135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25,123,323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Revenue recognized at a point in time</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784,452</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1,808,955</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1,214,941</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2,586,872</w:t>
            </w:r>
          </w:p>
        </w:tc>
        <w:tc>
          <w:tcPr>
            <w:tcW w:w="0" w:type="dxa"/>
            <w:vAlign w:val="bottom"/>
          </w:tcPr>
          <w:p>
            <w:pPr>
              <w:spacing w:after="0"/>
              <w:rPr>
                <w:sz w:val="1"/>
                <w:szCs w:val="1"/>
                <w:color w:val="auto"/>
              </w:rPr>
            </w:pPr>
          </w:p>
        </w:tc>
      </w:tr>
      <w:tr>
        <w:trPr>
          <w:trHeight w:val="27"/>
        </w:trPr>
        <w:tc>
          <w:tcPr>
            <w:tcW w:w="4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vMerge w:val="continue"/>
            <w:shd w:val="clear" w:color="auto" w:fill="CCEEFF"/>
          </w:tcPr>
          <w:p>
            <w:pPr>
              <w:spacing w:after="0"/>
              <w:rPr>
                <w:sz w:val="21"/>
                <w:szCs w:val="21"/>
                <w:color w:val="auto"/>
              </w:rPr>
            </w:pPr>
          </w:p>
        </w:tc>
        <w:tc>
          <w:tcPr>
            <w:tcW w:w="20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13,818,166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13,978,665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26,821,076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27,710,195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LEASES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we had operating leases for office space in two multi tenant facilities in Rochester, Michigan and Zagreb, Croatia. We also had a lease on office space in Cranbury, New Jersey, which expired in January 2022. The lease in Rochester, Michigan was terminated during the quarter ended June 30, 2023. The lease in Zagreb, Croatia ends on February 28th, 2024.</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Amortization of the right of use assets is recognized as non-cash lease expense on a straight-line basis over the lease term, while variable lease payments are expensed as incurred. Short term lease costs include month to month leases and occasional rent for transient meeting and office spaces in shared office space facilities.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2023 and 2022, the Company’s lease cost consists of the following components, each of which is included in operating expenses within the Company’s condensed consolidated statements of operations:</w:t>
      </w:r>
    </w:p>
    <w:p>
      <w:pPr>
        <w:spacing w:after="0" w:line="166"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Short-term lease cost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21,899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57,812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71,646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1"/>
              </w:rPr>
              <w:t>The table below presents the future minimum lease payments to be made under operating leases as of June 30, 2023: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June 30, 2023</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discount</w:t>
            </w: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weighted average remaining lease term at June 30, 2023 for operating leases is 0.7 years and the weighted average discount rate used in calculating the operating lease asset and liability is 4.5%. Cash paid for amounts included in the measurement of lease liabilities was $44,708 and $45,599 for the six months ended June 30, 2023 and 2022, respectively. For the six months ended June 30, 2023 and 2022, payments on lease obligations were $49,359 and $52,168, respectively, and amortization on the right of use assets was $49,472 and $52,662,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7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had 10,000,000 shares of preferred stock, $0.001 par value per share, authorized as of June 30, 2023. No shares were issued or outstanding in either 2023 or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STOCKHOLDERS’ EQUITY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166,666,667 shares of common stock, $0.001 par value per share, authorized as of June 30, 2023. There were 16,635,374 and 17,074,173 shares of common stock outstanding, net of shares held in treasury of 1,741,397 and 1,214,398, at June 30, 2023 and December 31, 2022, respectively.</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quarters ended June 30, 2023 and March 31, 2023, the Company issued 10,000 and 9,668 shares of our common stock, respectively, and received proceeds of $105,100 and $40,606, respectively, in connection with the exercise of options under our 2013 Incentive Plan.</w:t>
      </w:r>
    </w:p>
    <w:p>
      <w:pPr>
        <w:spacing w:after="0" w:line="14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quarters ended June 30, 2022 and March 31, 2022, the Company issued 43,701 and 28,006 shares of our common stock, respectively, and received proceeds of $572,347 and $258,128, respectively, in connection with the exercise of options under our 2013 Incentive Plan.</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issued 35,260 and 33,272 shares of common stock in the three months ended June 30, 2023 and March 31, 2023, respectively in connection with the vesting of restricted stock units under our 2013 Incentive Plan and our 2021 Equity Incentive Plan. Some of the participants utilized a net withhold settlement method, in which shares were surrendered to cover payroll withholding tax. Of the shares issued to participants during the six months ended June 30, 2023, 23,217 shares, valued at $243,361, were surrendered and subsequently cancelled.</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issued 13,627 shares of common stock in the three months ended March 31, 2022 in connection with the vesting of restricted stock units under our 2013 Incentive Plan and our 2021 Equity Incentive Plan. There were no shares of common stock issued in connection with the vesting of restricted stock units in the three months ended June 30,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240,741 shares of common stock valued at $9,374,455 during the quarter ended June 30, 2022 in connection with the acquisition of substantially all of the assets of EvinceMed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Treasury Stock</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quarter ended March 31, 2023, the Board authorized a share repurchase program, under which the Company may repurchase up to $15 million of its outstanding common stock. During the quarter ended June 30, 2023, there were 526,999 shares of our common stock repurchased under this program for a total of $7,522,426, including commissions paid on repurchases. These shares were recorded as treasury shares using the par value method.</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2022, the Board authorized a share repurchase program, under which the Company could repurchase up to $20.0 million of its outstanding common stock. During 2022, the Company repurchased 1,214,398 shares of our common stock for a total of $20,021,830, including commissions paid on repurchases. These shares were recorded as treasury shares using the par value method.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8 – STOCK 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compensation expense related to options for the six months ended June 30, 2023 and 2022 was $3,121,464 and $2,242,554, respectively. The fair value of these instruments was calculated using the Black-Scholes option pricing model. There is $12,254,201 of remaining expense related to unvested options to be recognized in the future over a weighted average period of 1.89 years. The total intrinsic value of outstanding options at June 30, 2023 was $309,383.</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2022, the Company granted certain performance based stock options, the expense for which will be recorded over time once the achievement of the performance is deemed probable. There was no expense related to these options recorded during the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8 - STOCK BASED COMPENSATION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recorded of $4,762,162 and $4,956,867 in compensation expense related to restricted stock units for the six months ended June 30, 2023 and 2022, respectively. A total of $13,252,855 remains to be recognized at June 30, 2023 over a weighted average period of 2.01.</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2022, the Company granted certain performance based restricted stock units, the expense for which will be recorded over time once the achievement of the performance is deemed probable. There was no expense related to these restricted stock units recorded during the period.</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director’s compensation program calls for the grant of restricted stock units with a one year vesting period. There was $351,765 and $129,515 included in the compensation expense discussed above related to director’s compensation for the periods ended June 30, 2023 and 2022,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 Modification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April 16, 2023, the Compensation Committee approved a grant to the CEO of 86,685 restricted stock units and 161,698 stock options with a grant date fair value of $2.5 million to vest over a three year period. Concurrently, the CEO forfeited his October 2021 grant of 182,398 market-based restricted stock units. The forfeiture and accompanying grant are considered an equity modification according to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The additional compensation value created by the termination and issuance of new equity awarded, as measured using a Monte Carlo simulation was approximately $1.9 million in total. Under ASC 718 this results in a non-cash expense in current and future periods to be recognized over a three year period. These expense values are reflected and included in the option and restricted stock expense values discussed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NOTE 9 – LOSS PER SHARE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Basic earnings per share (“EPS”) is computed by dividing net income (loss) by the weighted average number of common shares outstanding during the period.</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number of shares related to options and restricted stock units included in diluted EPS is based on the “Treasury Stock Method” prescribed in ASC 260-10, </w:t>
      </w:r>
      <w:r>
        <w:rPr>
          <w:rFonts w:ascii="Arial" w:cs="Arial" w:eastAsia="Arial" w:hAnsi="Arial"/>
          <w:sz w:val="16"/>
          <w:szCs w:val="16"/>
          <w:i w:val="1"/>
          <w:iCs w:val="1"/>
          <w:color w:val="auto"/>
        </w:rPr>
        <w:t>Earnings per Share</w:t>
      </w:r>
      <w:r>
        <w:rPr>
          <w:rFonts w:ascii="Arial" w:cs="Arial" w:eastAsia="Arial" w:hAnsi="Arial"/>
          <w:sz w:val="16"/>
          <w:szCs w:val="16"/>
          <w:color w:val="auto"/>
        </w:rPr>
        <w:t>. This method assumes the theoretical repurchase of shares using proceeds of the respective stock options exercised, and for restricted stock units, the amount of compensation cost attributed to future services which have not yet been recognized, and the amount of current and deferred tax benefit, if any, that would be credited to additional paid in capital upon the vesting of the restricted stock units, at a price equal to the issuer’s average stock price during the related earnings period. Accordingly, the number of shares includable in the calculation of EPS in respect of the stock options and restricted stock units is dependent on this average stock price and will increase as the average stock price increases.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LOSS PER SHARE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1"/>
              <w:spacing w:after="0" w:line="256" w:lineRule="exact"/>
              <w:rPr>
                <w:sz w:val="20"/>
                <w:szCs w:val="20"/>
                <w:color w:val="auto"/>
              </w:rPr>
            </w:pPr>
            <w:r>
              <w:rPr>
                <w:rFonts w:ascii="Arial" w:cs="Arial" w:eastAsia="Arial" w:hAnsi="Arial"/>
                <w:sz w:val="16"/>
                <w:szCs w:val="16"/>
                <w:color w:val="auto"/>
              </w:rPr>
              <w:t>(4,161,449</w:t>
            </w:r>
            <w:r>
              <w:rPr>
                <w:rFonts w:ascii="Arial" w:cs="Arial" w:eastAsia="Arial" w:hAnsi="Arial"/>
                <w:sz w:val="29"/>
                <w:szCs w:val="29"/>
                <w:color w:val="auto"/>
                <w:vertAlign w:val="superscript"/>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(3,884,714</w:t>
            </w:r>
            <w:r>
              <w:rPr>
                <w:rFonts w:ascii="Arial" w:cs="Arial" w:eastAsia="Arial" w:hAnsi="Arial"/>
                <w:sz w:val="29"/>
                <w:szCs w:val="29"/>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(10,559,163</w:t>
            </w:r>
            <w:r>
              <w:rPr>
                <w:rFonts w:ascii="Arial" w:cs="Arial" w:eastAsia="Arial" w:hAnsi="Arial"/>
                <w:sz w:val="29"/>
                <w:szCs w:val="29"/>
                <w:color w:val="auto"/>
                <w:vertAlign w:val="superscript"/>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(7,645,812</w:t>
            </w:r>
            <w:r>
              <w:rPr>
                <w:rFonts w:ascii="Arial" w:cs="Arial" w:eastAsia="Arial" w:hAnsi="Arial"/>
                <w:sz w:val="29"/>
                <w:szCs w:val="29"/>
                <w:color w:val="auto"/>
                <w:vertAlign w:val="superscript"/>
              </w:rPr>
              <w:t>)</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8"/>
              </w:rPr>
              <w:t>Weighted average shares outstanding used in computing net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16,992,100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18,122,500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17,043,793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18,000,958</w:t>
            </w: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Effect of dilutive stock options, warrants, and stock grants</w:t>
            </w:r>
          </w:p>
        </w:tc>
        <w:tc>
          <w:tcPr>
            <w:tcW w:w="200" w:type="dxa"/>
            <w:vAlign w:val="bottom"/>
          </w:tcPr>
          <w:p>
            <w:pPr>
              <w:spacing w:after="0"/>
              <w:rPr>
                <w:sz w:val="19"/>
                <w:szCs w:val="19"/>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16,992,100</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18,122,500</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17,043,793</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18,000,958</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1"/>
              <w:spacing w:after="0" w:line="256" w:lineRule="exact"/>
              <w:rPr>
                <w:sz w:val="20"/>
                <w:szCs w:val="20"/>
                <w:color w:val="auto"/>
              </w:rPr>
            </w:pPr>
            <w:r>
              <w:rPr>
                <w:rFonts w:ascii="Arial" w:cs="Arial" w:eastAsia="Arial" w:hAnsi="Arial"/>
                <w:sz w:val="16"/>
                <w:szCs w:val="16"/>
                <w:color w:val="auto"/>
              </w:rPr>
              <w:t>(0.24</w:t>
            </w:r>
            <w:r>
              <w:rPr>
                <w:rFonts w:ascii="Arial" w:cs="Arial" w:eastAsia="Arial" w:hAnsi="Arial"/>
                <w:sz w:val="29"/>
                <w:szCs w:val="29"/>
                <w:color w:val="auto"/>
                <w:vertAlign w:val="superscript"/>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(0.21</w:t>
            </w:r>
            <w:r>
              <w:rPr>
                <w:rFonts w:ascii="Arial" w:cs="Arial" w:eastAsia="Arial" w:hAnsi="Arial"/>
                <w:sz w:val="29"/>
                <w:szCs w:val="29"/>
                <w:color w:val="auto"/>
                <w:vertAlign w:val="super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(0.62</w:t>
            </w:r>
            <w:r>
              <w:rPr>
                <w:rFonts w:ascii="Arial" w:cs="Arial" w:eastAsia="Arial" w:hAnsi="Arial"/>
                <w:sz w:val="29"/>
                <w:szCs w:val="29"/>
                <w:color w:val="auto"/>
                <w:vertAlign w:val="superscript"/>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(0.42</w:t>
            </w:r>
            <w:r>
              <w:rPr>
                <w:rFonts w:ascii="Arial" w:cs="Arial" w:eastAsia="Arial" w:hAnsi="Arial"/>
                <w:sz w:val="29"/>
                <w:szCs w:val="29"/>
                <w:color w:val="auto"/>
                <w:vertAlign w:val="superscript"/>
              </w:rPr>
              <w:t>)</w:t>
            </w: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calculation of diluted earnings per share is included for the three or six months ended June 30, 2023 or 2022 as the effect of the calculation would be anti-dilutive.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common shares potentially issuable upon the exercise of certain options and the vesting of certain restricted stock units that were excluded from the diluted loss per common share calculation are reflected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25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Weighted average number of shares for the periods ended</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1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3"/>
              </w:rPr>
              <w:t>19,824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156,018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3"/>
              </w:rPr>
              <w:t>24,923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Unvested restricted stock unit awards</w:t>
            </w:r>
          </w:p>
        </w:tc>
        <w:tc>
          <w:tcPr>
            <w:tcW w:w="1380" w:type="dxa"/>
            <w:vAlign w:val="bottom"/>
            <w:gridSpan w:val="2"/>
          </w:tcPr>
          <w:p>
            <w:pPr>
              <w:ind w:left="640"/>
              <w:spacing w:after="0"/>
              <w:rPr>
                <w:sz w:val="20"/>
                <w:szCs w:val="20"/>
                <w:color w:val="auto"/>
              </w:rPr>
            </w:pPr>
            <w:r>
              <w:rPr>
                <w:rFonts w:ascii="Arial" w:cs="Arial" w:eastAsia="Arial" w:hAnsi="Arial"/>
                <w:sz w:val="18"/>
                <w:szCs w:val="18"/>
                <w:color w:val="auto"/>
              </w:rPr>
              <w:t>24,922</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63,541</w:t>
            </w: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24,922</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77,221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44,746</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219,559</w:t>
            </w:r>
          </w:p>
        </w:tc>
        <w:tc>
          <w:tcPr>
            <w:tcW w:w="1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49,845</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254,217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10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involved in any material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11 – 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our annual report on Form 10-K for the year ended December 31, 2022, we had net operating loss carry-forwards for federal income tax purposes of approximately $21.5 million as of December 31, 2022. Accordingly, no federal income tax expense or benefit is recorded in the current period. Management monitors company-specific, and macro- economic factors and assesses the likelihood that the Company’s net deferred tax assets will be utilized prior to their expiration. As previously disclosed in our annual report, the Company maintained a valuation allowance against its net deferred tax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12 – SUBSEQUENT EVENTS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Subsequent to June 30, 2023, the Company entered into a sublease agreement for a new office space in Waltham, MA. The term of the sublease commences on July 1, 2023 and will terminate on July 31, 2024. The Company is obligated to pay approximately $5,800 per month over the term of the lease .</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 2023, the Company entered into a one-year term lease agreement for a new office space in Zagreb, Croatia which commenced on July 1, 2023. The Company has the option to renew for a period of five years. The Company is obligated to pay approximately $2,800 plus VAT or approximately $3,500 per month over the term of the lease.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Quarterly Report on Form 10-Q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Forward-looking statements are subject to risks and uncertainties. Actual results could differ materially from those expressed in or implied by such forward-looking statements due to a variety of factors, including: seasonal trends in the pharmaceutical brand marketing industry; the inability to support our technology and scale our operations successfully, developing and implementing new and updated applications, features and services for our portals may be more difficult and expensive and take longer than expected; the inability to offer high-quality customer support for our portals; dependence on a concentrated group of customers; inability to maintain contracts with electronic prescription platforms, agreements with electronic prescription platforms and electronic health record systems being subject to audit; inability to attract and retain customers; inability to comply with laws and regulations that affect the healthcare industry; competition; developments in the healthcare industry; inability to manage growth; inability to identify suitable acquisition candidates, complete acquisitions or integrate acquisitions successfully; inability to attract and retain senior management and other key employees; economic, political, regulatory and other risks arising from our international operations; inability to protect our intellectual property; cybersecurity incidents; reduction in the performance, reliability and availability of our network infrastructure; increases in costs due to inflation and other adverse economic conditions; decreases in customer demand due to macroeconomic factors; lack of a consistent active trading market for our common stock; and volatility in the market price of our common stock.</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risks and uncertainties included here are not exhaustive. Further information concerning our business, including additional factors that could materially affect our financial results, is included herein and in our other filings with the SEC, including our Annual Report on Form 10-K for the year ended December 31, 2022. Moreover, we operate in a rapidly changing and competitive environment. New risk factors emerge from time to time, and it is not possible for management to predict all such risk factors.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it is not possible to assess the effect of all risk factors on our businesses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 addition, we disclaim any obligation to update any forward-looking statements to reflect events or circumstances that occur after the date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a digital health technology company enabling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spacing w:after="0" w:line="254" w:lineRule="auto"/>
        <w:rPr>
          <w:sz w:val="20"/>
          <w:szCs w:val="20"/>
          <w:color w:val="auto"/>
        </w:rPr>
      </w:pPr>
      <w:r>
        <w:rPr>
          <w:rFonts w:ascii="Arial" w:cs="Arial" w:eastAsia="Arial" w:hAnsi="Arial"/>
          <w:sz w:val="18"/>
          <w:szCs w:val="18"/>
          <w:color w:val="auto"/>
        </w:rPr>
        <w:t>Historically, our revenue was generated primarily through the facilitation of financial messages to health care providers via their EHR and ePrescribe systems using the OptimizeRx proprietary network to solve the ever-increasing communication barriers between pharmaceutical representatives and healthcare providers that have presented in the rapidly changing healthcare industry. Over time, as the demand for communication of an increasing variety of different health information between life science companies, providers, and patients continued to rise, our platform has expanded to encompass additional solutions that enable healthcare providers to access information for patients at the point of care. These solutions include brand messaging, therapeutic support messaging, brand support, and innovative patient engagement services, all of which now make up a significant portion of our total revenue.</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employ a “land and expand” strategy focused on growing our existing client base and generating greater and more consistent revenues in part through the continued shift in our business model toward enterprise level engagements, while also broadening our platform with innovative proprietary solutions such as our artificial intelligence-powered real-world data solution which uses sophisticated proprietary algorithms to derive additional revenue from our existing network. Management will continue to optimize our portfolio of solutions to align our resource deployment to the best market opportunities.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the pharmaceutical industry is dominated by large companies with multiple brands, our revenue is concentrated in a relatively small number of companies. We have approximately 100 pharmaceutical companies as customers, and our revenues are concentrated in these customers. Loss of one of more of our larger customers could have a negative impact on our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general, the pharmaceutical brand marketing industry experiences seasonal trends that affect the vast majority of participants in the pharmaceutical digital marketing industry. Many pharmaceutical companies allocate the largest portion of their brand marketing to the fourth quarter of the calendar year. As a result, the first half of the year tends to reflect lower activity levels and lower revenue, with gradual increases in the following quarters. We generally expect these seasonality trends to continue and our ability to effectively manage our resources in anticipation of these trends may affect our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Macroeconomic Events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Unfavorable conditions in the economy may negatively affect the growth of our business and our results of operations. For example, macroeconomic events including the COVID-19 pandemic, rising inflation and the U.S. Federal Reserve raising interest rates have led to economic uncertainty. In addition, high levels of employee turnover across the pharmaceutical industry as well as a fewer number of U.S. drug approvals could create additional uncertainty within our target customer markets. Historically, during periods of economic uncertainty and downturns, businesses may 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monitor the following key performance indicators to help us evaluate our business, measure our performance, identify trends affecting our business and make strategic decisions. We have updated the definition of “top 20 pharmaceutical manufacturers” in our key performance indicators to be based upon Fierce Pharma’s most updated list of “The top 20 pharma companies by 2022 revenue”. We previously used “The top 20 pharma companies by 2020 revenue”. As a result of this change, prior periods have been restated for comparative purposes.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jc w:val="both"/>
        <w:spacing w:after="0" w:line="272" w:lineRule="auto"/>
        <w:rPr>
          <w:sz w:val="20"/>
          <w:szCs w:val="20"/>
          <w:color w:val="auto"/>
        </w:rPr>
      </w:pPr>
      <w:r>
        <w:rPr>
          <w:rFonts w:ascii="Arial" w:cs="Arial" w:eastAsia="Arial" w:hAnsi="Arial"/>
          <w:sz w:val="17"/>
          <w:szCs w:val="17"/>
          <w:b w:val="1"/>
          <w:bCs w:val="1"/>
          <w:color w:val="auto"/>
        </w:rPr>
        <w:t xml:space="preserve">Average revenue per top 20 pharmaceutical manufacturer. </w:t>
      </w:r>
      <w:r>
        <w:rPr>
          <w:rFonts w:ascii="Arial" w:cs="Arial" w:eastAsia="Arial" w:hAnsi="Arial"/>
          <w:sz w:val="17"/>
          <w:szCs w:val="17"/>
          <w:color w:val="auto"/>
        </w:rPr>
        <w:t>Average revenue per top 20 pharmaceutical manufacturer is calculated by taking the total</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the company recognized through pharmaceutical manufacturers listed in Fierce Pharma’s “The top 20 pharma companies by 2022 revenue” over the last twelve months, divided by the total number of the aforementioned pharmaceutical manufacturers that our solutions helped support over that time period. The Company uses this metric to monitor its progress in “landing and expanding” with key customers within its largest customer vertical and believes it also provides investors with a transparent way to chart our progress in penetrating this important customer segment. The decrease in the average in twelve months ended June 30, 2023 as compared to the twelve months ended June 30, 2022 is primarily the result of the convergence of numerous macroeconomic factors that resulted in our customers slowing their rate of spend, particularly for large and/or new implementations, which we believe prolonged sales cycles with the top 20 pharmaceutical manufacturers that were existing customers.</w:t>
      </w:r>
    </w:p>
    <w:p>
      <w:pPr>
        <w:spacing w:after="0" w:line="172"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Rolling Twelve Months</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9060"/>
        <w:spacing w:after="0"/>
        <w:tabs>
          <w:tab w:leader="none" w:pos="1038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8660" w:val="left"/>
          <w:tab w:leader="none" w:pos="9060" w:val="left"/>
          <w:tab w:leader="none" w:pos="10000" w:val="left"/>
          <w:tab w:leader="none" w:pos="10400" w:val="left"/>
        </w:tabs>
        <w:rPr>
          <w:sz w:val="20"/>
          <w:szCs w:val="20"/>
          <w:color w:val="auto"/>
        </w:rPr>
      </w:pPr>
      <w:r>
        <w:rPr>
          <w:rFonts w:ascii="Arial" w:cs="Arial" w:eastAsia="Arial" w:hAnsi="Arial"/>
          <w:sz w:val="18"/>
          <w:szCs w:val="18"/>
          <w:color w:val="auto"/>
        </w:rPr>
        <w:t>Average revenue per top 20 pharmaceutical manufacturer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1,972,308</w:t>
        <w:tab/>
        <w:t>$</w:t>
      </w:r>
      <w:r>
        <w:rPr>
          <w:sz w:val="20"/>
          <w:szCs w:val="20"/>
          <w:color w:val="auto"/>
        </w:rPr>
        <w:tab/>
      </w:r>
      <w:r>
        <w:rPr>
          <w:rFonts w:ascii="Arial" w:cs="Arial" w:eastAsia="Arial" w:hAnsi="Arial"/>
          <w:sz w:val="16"/>
          <w:szCs w:val="16"/>
          <w:color w:val="auto"/>
        </w:rPr>
        <w:t>2,452,836</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Percent of top 20 pharmaceutical manufacturers that are customers. </w:t>
      </w:r>
      <w:r>
        <w:rPr>
          <w:rFonts w:ascii="Arial" w:cs="Arial" w:eastAsia="Arial" w:hAnsi="Arial"/>
          <w:sz w:val="16"/>
          <w:szCs w:val="16"/>
          <w:color w:val="auto"/>
        </w:rPr>
        <w:t>Percent of top 20 pharmaceutical manufacturers that are customers is calculated</w:t>
      </w:r>
      <w:r>
        <w:rPr>
          <w:rFonts w:ascii="Arial" w:cs="Arial" w:eastAsia="Arial" w:hAnsi="Arial"/>
          <w:sz w:val="16"/>
          <w:szCs w:val="16"/>
          <w:b w:val="1"/>
          <w:bCs w:val="1"/>
          <w:color w:val="auto"/>
        </w:rPr>
        <w:t xml:space="preserve"> </w:t>
      </w:r>
      <w:r>
        <w:rPr>
          <w:rFonts w:ascii="Arial" w:cs="Arial" w:eastAsia="Arial" w:hAnsi="Arial"/>
          <w:sz w:val="16"/>
          <w:szCs w:val="16"/>
          <w:color w:val="auto"/>
        </w:rPr>
        <w:t>by taking the number of revenue generating customers that are pharmaceutical manufacturers listed in Fierce Pharma’s “The top 20 pharma companies by 2022 revenue” over the last 12 months, which is then divided by 20—which is the number of pharmaceutical manufacturers included in the aforementioned list. The Company uses this metric to monitor its progress in penetrating key customers within its largest customer vertical and believes it also provides investors with a transparent way to chart our progress in penetrating this important customer segment. Our penetration within this core customer group stayed consistent from the twelve months ended June 30, 2022 to the twelve months ended June 30, 2023.</w:t>
      </w:r>
    </w:p>
    <w:p>
      <w:pPr>
        <w:spacing w:after="0" w:line="160"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Rolling Twelve Months</w:t>
      </w:r>
    </w:p>
    <w:p>
      <w:pPr>
        <w:spacing w:after="0" w:line="27" w:lineRule="exact"/>
        <w:rPr>
          <w:sz w:val="20"/>
          <w:szCs w:val="20"/>
          <w:color w:val="auto"/>
        </w:rPr>
      </w:pPr>
    </w:p>
    <w:p>
      <w:pPr>
        <w:ind w:left="9240"/>
        <w:spacing w:after="0"/>
        <w:rPr>
          <w:sz w:val="20"/>
          <w:szCs w:val="20"/>
          <w:color w:val="auto"/>
        </w:rPr>
      </w:pPr>
      <w:r>
        <w:rPr>
          <w:rFonts w:ascii="Arial" w:cs="Arial" w:eastAsia="Arial" w:hAnsi="Arial"/>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Percent of top 20 pharmaceutical manufacturers that are customers</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bl>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Percent of total revenue attributable to top 20 pharmaceutical manufacturers. </w:t>
      </w:r>
      <w:r>
        <w:rPr>
          <w:rFonts w:ascii="Arial" w:cs="Arial" w:eastAsia="Arial" w:hAnsi="Arial"/>
          <w:sz w:val="16"/>
          <w:szCs w:val="16"/>
          <w:color w:val="auto"/>
        </w:rPr>
        <w:t>Percent of total revenue attributable to top 20 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manufacturers is calculated by taking the total revenue the company recognized through pharmaceutical manufacturers listed in Fierce Pharma’s “The top 20 pharma companies by 2022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 Our revenue from customers that aren’t top 20 pharmaceutical manufacturers increased faster than our overall revenue, decreasing the percentage of our overall revenues from top 20 pharmaceutical manufacturers.</w:t>
      </w:r>
    </w:p>
    <w:p>
      <w:pPr>
        <w:spacing w:after="0" w:line="160"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Rolling Twelve Months</w:t>
      </w:r>
    </w:p>
    <w:p>
      <w:pPr>
        <w:spacing w:after="0" w:line="27" w:lineRule="exact"/>
        <w:rPr>
          <w:sz w:val="20"/>
          <w:szCs w:val="20"/>
          <w:color w:val="auto"/>
        </w:rPr>
      </w:pPr>
    </w:p>
    <w:p>
      <w:pPr>
        <w:ind w:left="9240"/>
        <w:spacing w:after="0"/>
        <w:rPr>
          <w:sz w:val="20"/>
          <w:szCs w:val="20"/>
          <w:color w:val="auto"/>
        </w:rPr>
      </w:pPr>
      <w:r>
        <w:rPr>
          <w:rFonts w:ascii="Arial" w:cs="Arial" w:eastAsia="Arial" w:hAnsi="Arial"/>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Percent of total revenue attributable to top 20 pharmaceutical manufacturers</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bl>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Net revenue retention. </w:t>
      </w:r>
      <w:r>
        <w:rPr>
          <w:rFonts w:ascii="Arial" w:cs="Arial" w:eastAsia="Arial" w:hAnsi="Arial"/>
          <w:sz w:val="17"/>
          <w:szCs w:val="17"/>
          <w:color w:val="auto"/>
        </w:rPr>
        <w:t>Net revenue retention is a comparison of revenue generated from all customers in the previous twelve-month period to total</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The retention rate in the twelve months ended June 30, 2023 was lower due to the convergence of numerous macroeconomic factors that resulted in our customers slowing their rate of spend, particularly for large and/or new implementations, which we believe prolonged sales cycles.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ind w:left="8920"/>
        <w:spacing w:after="0"/>
        <w:rPr>
          <w:sz w:val="20"/>
          <w:szCs w:val="20"/>
          <w:color w:val="auto"/>
        </w:rPr>
      </w:pPr>
      <w:r>
        <w:rPr>
          <w:rFonts w:ascii="Arial" w:cs="Arial" w:eastAsia="Arial" w:hAnsi="Arial"/>
          <w:sz w:val="18"/>
          <w:szCs w:val="18"/>
          <w:b w:val="1"/>
          <w:bCs w:val="1"/>
          <w:color w:val="auto"/>
        </w:rPr>
        <w:t>Rolling Twelve Months</w:t>
      </w:r>
    </w:p>
    <w:p>
      <w:pPr>
        <w:spacing w:after="0" w:line="27" w:lineRule="exact"/>
        <w:rPr>
          <w:sz w:val="20"/>
          <w:szCs w:val="20"/>
          <w:color w:val="auto"/>
        </w:rPr>
      </w:pPr>
    </w:p>
    <w:p>
      <w:pPr>
        <w:ind w:left="9240"/>
        <w:spacing w:after="0"/>
        <w:rPr>
          <w:sz w:val="20"/>
          <w:szCs w:val="20"/>
          <w:color w:val="auto"/>
        </w:rPr>
      </w:pPr>
      <w:r>
        <w:rPr>
          <w:rFonts w:ascii="Arial" w:cs="Arial" w:eastAsia="Arial" w:hAnsi="Arial"/>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revenue retention</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r>
    </w:tbl>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Revenue per average full-time employee. </w:t>
      </w:r>
      <w:r>
        <w:rPr>
          <w:rFonts w:ascii="Arial" w:cs="Arial" w:eastAsia="Arial" w:hAnsi="Arial"/>
          <w:sz w:val="17"/>
          <w:szCs w:val="17"/>
          <w:color w:val="auto"/>
        </w:rPr>
        <w:t>We define revenue per average full-time employee as total revenue over the last twelve months divided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per employee declined year over year due to slower revenue growth and a higher average number of FTEs over the last 12 month period.</w:t>
      </w:r>
    </w:p>
    <w:p>
      <w:pPr>
        <w:spacing w:after="0" w:line="168"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Rolling Twelve Months</w:t>
      </w:r>
    </w:p>
    <w:p>
      <w:pPr>
        <w:spacing w:after="0" w:line="27" w:lineRule="exact"/>
        <w:rPr>
          <w:sz w:val="20"/>
          <w:szCs w:val="20"/>
          <w:color w:val="auto"/>
        </w:rPr>
      </w:pPr>
    </w:p>
    <w:p>
      <w:pPr>
        <w:ind w:left="9320"/>
        <w:spacing w:after="0"/>
        <w:rPr>
          <w:sz w:val="20"/>
          <w:szCs w:val="20"/>
          <w:color w:val="auto"/>
        </w:rPr>
      </w:pPr>
      <w:r>
        <w:rPr>
          <w:rFonts w:ascii="Arial" w:cs="Arial" w:eastAsia="Arial" w:hAnsi="Arial"/>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 per average full-time employee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559,646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661,319</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2023 and 2022</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sets forth, for the periods indicated, the dollar value and percentage of net revenue represented by certain items in our consolidated statements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jc w:val="right"/>
              <w:ind w:right="661"/>
              <w:spacing w:after="0"/>
              <w:rPr>
                <w:sz w:val="20"/>
                <w:szCs w:val="20"/>
                <w:color w:val="auto"/>
              </w:rPr>
            </w:pPr>
            <w:r>
              <w:rPr>
                <w:rFonts w:ascii="Arial" w:cs="Arial" w:eastAsia="Arial" w:hAnsi="Arial"/>
                <w:sz w:val="18"/>
                <w:szCs w:val="18"/>
                <w:b w:val="1"/>
                <w:bCs w:val="1"/>
                <w:color w:val="auto"/>
                <w:w w:val="89"/>
              </w:rPr>
              <w:t>Three months ended June 30,</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58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7"/>
              </w:rPr>
              <w:t>13,818,166</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w w:val="99"/>
              </w:rPr>
              <w:t>13,978,665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0"/>
                <w:szCs w:val="20"/>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5,993,145</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20"/>
                <w:szCs w:val="20"/>
                <w:color w:val="auto"/>
              </w:rPr>
            </w:pPr>
          </w:p>
        </w:tc>
        <w:tc>
          <w:tcPr>
            <w:tcW w:w="1520" w:type="dxa"/>
            <w:vAlign w:val="bottom"/>
            <w:gridSpan w:val="2"/>
          </w:tcPr>
          <w:p>
            <w:pPr>
              <w:jc w:val="right"/>
              <w:ind w:right="521"/>
              <w:spacing w:after="0"/>
              <w:rPr>
                <w:sz w:val="20"/>
                <w:szCs w:val="20"/>
                <w:color w:val="auto"/>
              </w:rPr>
            </w:pPr>
            <w:r>
              <w:rPr>
                <w:rFonts w:ascii="Arial" w:cs="Arial" w:eastAsia="Arial" w:hAnsi="Arial"/>
                <w:sz w:val="18"/>
                <w:szCs w:val="18"/>
                <w:color w:val="auto"/>
              </w:rPr>
              <w:t>4,988,716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r>
      <w:tr>
        <w:trPr>
          <w:trHeight w:val="236"/>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7,825,021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56.6%</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8,989,949</w:t>
            </w: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w:t>
            </w:r>
          </w:p>
        </w:tc>
      </w:tr>
      <w:tr>
        <w:trPr>
          <w:trHeight w:val="210"/>
        </w:trPr>
        <w:tc>
          <w:tcPr>
            <w:tcW w:w="58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12,706,889</w:t>
            </w:r>
          </w:p>
        </w:tc>
        <w:tc>
          <w:tcPr>
            <w:tcW w:w="3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jc w:val="right"/>
              <w:ind w:right="180"/>
              <w:spacing w:after="0" w:line="203" w:lineRule="exact"/>
              <w:rPr>
                <w:sz w:val="20"/>
                <w:szCs w:val="20"/>
                <w:color w:val="auto"/>
              </w:rPr>
            </w:pPr>
            <w:r>
              <w:rPr>
                <w:rFonts w:ascii="Arial" w:cs="Arial" w:eastAsia="Arial" w:hAnsi="Arial"/>
                <w:sz w:val="18"/>
                <w:szCs w:val="18"/>
                <w:color w:val="auto"/>
              </w:rPr>
              <w:t>92.0%</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12,898,479</w:t>
            </w:r>
          </w:p>
        </w:tc>
        <w:tc>
          <w:tcPr>
            <w:tcW w:w="6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60"/>
              <w:spacing w:after="0" w:line="203" w:lineRule="exact"/>
              <w:rPr>
                <w:sz w:val="20"/>
                <w:szCs w:val="20"/>
                <w:color w:val="auto"/>
              </w:rPr>
            </w:pPr>
            <w:r>
              <w:rPr>
                <w:rFonts w:ascii="Arial" w:cs="Arial" w:eastAsia="Arial" w:hAnsi="Arial"/>
                <w:sz w:val="18"/>
                <w:szCs w:val="18"/>
                <w:color w:val="auto"/>
              </w:rPr>
              <w:t>92.3%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(4,881,868)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(3,908,530)</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36"/>
        </w:trPr>
        <w:tc>
          <w:tcPr>
            <w:tcW w:w="584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0"/>
                <w:szCs w:val="20"/>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720,419</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0"/>
                <w:szCs w:val="20"/>
                <w:color w:val="auto"/>
              </w:rPr>
            </w:pPr>
          </w:p>
        </w:tc>
        <w:tc>
          <w:tcPr>
            <w:tcW w:w="1520" w:type="dxa"/>
            <w:vAlign w:val="bottom"/>
            <w:gridSpan w:val="2"/>
          </w:tcPr>
          <w:p>
            <w:pPr>
              <w:jc w:val="right"/>
              <w:ind w:right="521"/>
              <w:spacing w:after="0"/>
              <w:rPr>
                <w:sz w:val="20"/>
                <w:szCs w:val="20"/>
                <w:color w:val="auto"/>
              </w:rPr>
            </w:pPr>
            <w:r>
              <w:rPr>
                <w:rFonts w:ascii="Arial" w:cs="Arial" w:eastAsia="Arial" w:hAnsi="Arial"/>
                <w:sz w:val="18"/>
                <w:szCs w:val="18"/>
                <w:color w:val="auto"/>
              </w:rPr>
              <w:t>23,816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(4,161,449)</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(3,884,714)</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36"/>
        </w:trPr>
        <w:tc>
          <w:tcPr>
            <w:tcW w:w="584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0"/>
                <w:szCs w:val="20"/>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52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0"/>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(4,161,449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3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(3,884,714</w:t>
            </w:r>
          </w:p>
        </w:tc>
        <w:tc>
          <w:tcPr>
            <w:tcW w:w="600" w:type="dxa"/>
            <w:vAlign w:val="bottom"/>
            <w:tcBorders>
              <w:top w:val="single" w:sz="8" w:color="CCEEFF"/>
              <w:bottom w:val="single" w:sz="8" w:color="CCEEFF"/>
            </w:tcBorders>
            <w:shd w:val="clear" w:color="auto" w:fill="CCEEFF"/>
          </w:tcPr>
          <w:p>
            <w:pPr>
              <w:jc w:val="right"/>
              <w:ind w:right="46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right="5040" w:hanging="5532"/>
        <w:spacing w:after="0" w:line="905" w:lineRule="auto"/>
        <w:tabs>
          <w:tab w:leader="none" w:pos="33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Balances and percentage of net revenue information may not add due to rounding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right"/>
              <w:ind w:right="761"/>
              <w:spacing w:after="0"/>
              <w:rPr>
                <w:sz w:val="20"/>
                <w:szCs w:val="20"/>
                <w:color w:val="auto"/>
              </w:rPr>
            </w:pPr>
            <w:r>
              <w:rPr>
                <w:rFonts w:ascii="Arial" w:cs="Arial" w:eastAsia="Arial" w:hAnsi="Arial"/>
                <w:sz w:val="18"/>
                <w:szCs w:val="18"/>
                <w:b w:val="1"/>
                <w:bCs w:val="1"/>
                <w:color w:val="auto"/>
                <w:w w:val="91"/>
              </w:rPr>
              <w:t>Six months ended June 30,</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58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26,821,076</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w w:val="99"/>
              </w:rPr>
              <w:t>27,710,195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0"/>
                <w:szCs w:val="20"/>
                <w:color w:val="auto"/>
              </w:rPr>
            </w:pPr>
          </w:p>
        </w:tc>
        <w:tc>
          <w:tcPr>
            <w:tcW w:w="1320" w:type="dxa"/>
            <w:vAlign w:val="bottom"/>
            <w:gridSpan w:val="2"/>
          </w:tcPr>
          <w:p>
            <w:pPr>
              <w:jc w:val="right"/>
              <w:ind w:right="301"/>
              <w:spacing w:after="0"/>
              <w:rPr>
                <w:sz w:val="20"/>
                <w:szCs w:val="20"/>
                <w:color w:val="auto"/>
              </w:rPr>
            </w:pPr>
            <w:r>
              <w:rPr>
                <w:rFonts w:ascii="Arial" w:cs="Arial" w:eastAsia="Arial" w:hAnsi="Arial"/>
                <w:sz w:val="18"/>
                <w:szCs w:val="18"/>
                <w:color w:val="auto"/>
              </w:rPr>
              <w:t>11,562,766</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20"/>
                <w:szCs w:val="20"/>
                <w:color w:val="auto"/>
              </w:rPr>
            </w:pPr>
          </w:p>
        </w:tc>
        <w:tc>
          <w:tcPr>
            <w:tcW w:w="1520" w:type="dxa"/>
            <w:vAlign w:val="bottom"/>
            <w:gridSpan w:val="2"/>
          </w:tcPr>
          <w:p>
            <w:pPr>
              <w:jc w:val="right"/>
              <w:ind w:right="521"/>
              <w:spacing w:after="0"/>
              <w:rPr>
                <w:sz w:val="20"/>
                <w:szCs w:val="20"/>
                <w:color w:val="auto"/>
              </w:rPr>
            </w:pPr>
            <w:r>
              <w:rPr>
                <w:rFonts w:ascii="Arial" w:cs="Arial" w:eastAsia="Arial" w:hAnsi="Arial"/>
                <w:sz w:val="18"/>
                <w:szCs w:val="18"/>
                <w:color w:val="auto"/>
                <w:w w:val="99"/>
              </w:rPr>
              <w:t>10,618,574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r>
      <w:tr>
        <w:trPr>
          <w:trHeight w:val="236"/>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15,258,310</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17,091,621</w:t>
            </w: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r>
      <w:tr>
        <w:trPr>
          <w:trHeight w:val="210"/>
        </w:trPr>
        <w:tc>
          <w:tcPr>
            <w:tcW w:w="58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27,203,364</w:t>
            </w:r>
          </w:p>
        </w:tc>
        <w:tc>
          <w:tcPr>
            <w:tcW w:w="38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180"/>
              <w:spacing w:after="0" w:line="203" w:lineRule="exact"/>
              <w:rPr>
                <w:sz w:val="20"/>
                <w:szCs w:val="20"/>
                <w:color w:val="auto"/>
              </w:rPr>
            </w:pPr>
            <w:r>
              <w:rPr>
                <w:rFonts w:ascii="Arial" w:cs="Arial" w:eastAsia="Arial" w:hAnsi="Arial"/>
                <w:sz w:val="18"/>
                <w:szCs w:val="18"/>
                <w:color w:val="auto"/>
              </w:rPr>
              <w:t>101.4%</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24,761,253</w:t>
            </w:r>
          </w:p>
        </w:tc>
        <w:tc>
          <w:tcPr>
            <w:tcW w:w="6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60"/>
              <w:spacing w:after="0" w:line="203" w:lineRule="exact"/>
              <w:rPr>
                <w:sz w:val="20"/>
                <w:szCs w:val="20"/>
                <w:color w:val="auto"/>
              </w:rPr>
            </w:pPr>
            <w:r>
              <w:rPr>
                <w:rFonts w:ascii="Arial" w:cs="Arial" w:eastAsia="Arial" w:hAnsi="Arial"/>
                <w:sz w:val="18"/>
                <w:szCs w:val="18"/>
                <w:color w:val="auto"/>
              </w:rPr>
              <w:t>89.4%</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(11,945,054)</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(7,669,632)</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36"/>
        </w:trPr>
        <w:tc>
          <w:tcPr>
            <w:tcW w:w="584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0"/>
                <w:szCs w:val="20"/>
                <w:color w:val="auto"/>
              </w:rPr>
            </w:pPr>
          </w:p>
        </w:tc>
        <w:tc>
          <w:tcPr>
            <w:tcW w:w="1320" w:type="dxa"/>
            <w:vAlign w:val="bottom"/>
            <w:gridSpan w:val="2"/>
          </w:tcPr>
          <w:p>
            <w:pPr>
              <w:jc w:val="right"/>
              <w:ind w:right="301"/>
              <w:spacing w:after="0"/>
              <w:rPr>
                <w:sz w:val="20"/>
                <w:szCs w:val="20"/>
                <w:color w:val="auto"/>
              </w:rPr>
            </w:pPr>
            <w:r>
              <w:rPr>
                <w:rFonts w:ascii="Arial" w:cs="Arial" w:eastAsia="Arial" w:hAnsi="Arial"/>
                <w:sz w:val="18"/>
                <w:szCs w:val="18"/>
                <w:color w:val="auto"/>
              </w:rPr>
              <w:t>1,385,891</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0"/>
                <w:szCs w:val="20"/>
                <w:color w:val="auto"/>
              </w:rPr>
            </w:pPr>
          </w:p>
        </w:tc>
        <w:tc>
          <w:tcPr>
            <w:tcW w:w="1520" w:type="dxa"/>
            <w:vAlign w:val="bottom"/>
            <w:gridSpan w:val="2"/>
          </w:tcPr>
          <w:p>
            <w:pPr>
              <w:jc w:val="right"/>
              <w:ind w:right="521"/>
              <w:spacing w:after="0"/>
              <w:rPr>
                <w:sz w:val="20"/>
                <w:szCs w:val="20"/>
                <w:color w:val="auto"/>
              </w:rPr>
            </w:pPr>
            <w:r>
              <w:rPr>
                <w:rFonts w:ascii="Arial" w:cs="Arial" w:eastAsia="Arial" w:hAnsi="Arial"/>
                <w:sz w:val="18"/>
                <w:szCs w:val="18"/>
                <w:color w:val="auto"/>
              </w:rPr>
              <w:t>23,820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(10,559,163)</w:t>
            </w:r>
          </w:p>
        </w:tc>
        <w:tc>
          <w:tcPr>
            <w:tcW w:w="3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(7,645,812)</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36"/>
        </w:trPr>
        <w:tc>
          <w:tcPr>
            <w:tcW w:w="584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20"/>
                <w:szCs w:val="20"/>
                <w:color w:val="auto"/>
              </w:rPr>
            </w:pPr>
          </w:p>
        </w:tc>
        <w:tc>
          <w:tcPr>
            <w:tcW w:w="132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52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0"/>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(10,559,163</w:t>
            </w:r>
          </w:p>
        </w:tc>
        <w:tc>
          <w:tcPr>
            <w:tcW w:w="380" w:type="dxa"/>
            <w:vAlign w:val="bottom"/>
            <w:tcBorders>
              <w:top w:val="single" w:sz="8" w:color="CCEEFF"/>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w w:val="74"/>
              </w:rPr>
              <w:t>)</w:t>
            </w:r>
          </w:p>
        </w:tc>
        <w:tc>
          <w:tcPr>
            <w:tcW w:w="12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(7,645,812</w:t>
            </w:r>
          </w:p>
        </w:tc>
        <w:tc>
          <w:tcPr>
            <w:tcW w:w="600" w:type="dxa"/>
            <w:vAlign w:val="bottom"/>
            <w:tcBorders>
              <w:top w:val="single" w:sz="8" w:color="CCEEFF"/>
              <w:bottom w:val="single" w:sz="8" w:color="CCEEFF"/>
            </w:tcBorders>
            <w:shd w:val="clear" w:color="auto" w:fill="CCEEFF"/>
          </w:tcPr>
          <w:p>
            <w:pPr>
              <w:jc w:val="right"/>
              <w:ind w:right="46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1"/>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and percentage of net revenue information may not add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net revenue reported for the three months ended June 30, 2023 was approximately $13.8 million, a decrease of 1% over the approximately $14.0 million from the same period in 2022. Our net revenue reported for the six months ended June 30, 2023 was approximately $26.8 million, a decrease of 3% over the approximately $27.7 million from the same period in 2022. The decrease in revenue was primarily as a result of a revenue shortfall in certain non-core business lines as well as longer than expected medical, legal and regulatory reviews that pushed revenue into the second half of the year. In addition, revenue continues to be effected by the macroeconomic pressures affecting our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cost of revenues, composed primarily of revenue share expense paid to our network partners, was approximately $6.0 million for the three months ended June 30, 2023 compared to $5.0 million for the same period of 2022. Our cost of revenues for the six month period ended June 30, 2023 increased from $10.6 million to $11.6 million, compared to the same period in 2022. Our cost of revenues as a percentage of revenue increased to approximately 43.4% for the quarter ended June 30, 2023 from approximately 35.7% for the quarter ended June 30, 2022. Our cost of revenues as a percentage of revenue increased to approximately 43.1% for the six months ended June 30, 2023 from approximately 38.3% for the six months ended June 30, 2022. This increase in cost of revenue as a percentage of revenue was a result of solution and channel mix. Additional discussion is included in the gross margin section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gross margin, which is the difference between our revenues and our cost of revenues, decreased for the three and six months ended June 30, 2023, as a result of solution and channel mix. During the six months ended June 30, 2023, there was a decrease in the percentage of activity flowing through our lower cost channels compared with a year ago.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expenses decreased to approximately $12.7 million for the three months ended June 30, 2023 from approximately $12.9 million for the same period in 2022, a decrease of approximately 1%. Operating expenses increased from approximately $24.8 million for the six months ended June 30, 2022 to approximately $27.2 million for the same period in 2023, an increase of approximately 10%. The detail by major category is reflected in the table below.</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right="1355"/>
        <w:spacing w:after="0" w:line="323" w:lineRule="auto"/>
        <w:rPr>
          <w:sz w:val="20"/>
          <w:szCs w:val="20"/>
          <w:color w:val="auto"/>
        </w:rPr>
      </w:pPr>
      <w:r>
        <w:rPr>
          <w:rFonts w:ascii="Arial" w:cs="Arial" w:eastAsia="Arial" w:hAnsi="Arial"/>
          <w:sz w:val="16"/>
          <w:szCs w:val="16"/>
          <w:color w:val="auto"/>
        </w:rPr>
        <w:t>Depreciation, amortization and noncash lease expense Other general and administrative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27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2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840" w:type="dxa"/>
            <w:vAlign w:val="bottom"/>
          </w:tcPr>
          <w:p>
            <w:pPr>
              <w:spacing w:after="0"/>
              <w:rPr>
                <w:sz w:val="20"/>
                <w:szCs w:val="20"/>
                <w:color w:val="auto"/>
              </w:rPr>
            </w:pPr>
          </w:p>
        </w:tc>
        <w:tc>
          <w:tcPr>
            <w:tcW w:w="188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Pr>
          <w:p>
            <w:pPr>
              <w:spacing w:after="0"/>
              <w:rPr>
                <w:sz w:val="20"/>
                <w:szCs w:val="20"/>
                <w:color w:val="auto"/>
              </w:rPr>
            </w:pPr>
          </w:p>
        </w:tc>
        <w:tc>
          <w:tcPr>
            <w:tcW w:w="1620" w:type="dxa"/>
            <w:vAlign w:val="bottom"/>
          </w:tcPr>
          <w:p>
            <w:pPr>
              <w:jc w:val="center"/>
              <w:ind w:right="73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16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6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-2540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405" w:hanging="405"/>
        <w:spacing w:after="0"/>
        <w:tabs>
          <w:tab w:leader="none" w:pos="4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3,503,123   $4,025,323   $    7,883,626   $    7,199,421</w:t>
      </w:r>
    </w:p>
    <w:p>
      <w:pPr>
        <w:spacing w:after="0" w:line="23" w:lineRule="exact"/>
        <w:rPr>
          <w:sz w:val="20"/>
          <w:szCs w:val="20"/>
          <w:color w:val="auto"/>
        </w:rPr>
      </w:pPr>
    </w:p>
    <w:p>
      <w:pPr>
        <w:ind w:left="545"/>
        <w:spacing w:after="0"/>
        <w:tabs>
          <w:tab w:leader="none" w:pos="1905" w:val="left"/>
          <w:tab w:leader="none" w:pos="3225" w:val="left"/>
          <w:tab w:leader="none" w:pos="4425" w:val="left"/>
        </w:tabs>
        <w:rPr>
          <w:sz w:val="20"/>
          <w:szCs w:val="20"/>
          <w:color w:val="auto"/>
        </w:rPr>
      </w:pPr>
      <w:r>
        <w:rPr>
          <w:rFonts w:ascii="Arial" w:cs="Arial" w:eastAsia="Arial" w:hAnsi="Arial"/>
          <w:sz w:val="18"/>
          <w:szCs w:val="18"/>
          <w:color w:val="auto"/>
        </w:rPr>
        <w:t>464,761</w:t>
      </w:r>
      <w:r>
        <w:rPr>
          <w:sz w:val="20"/>
          <w:szCs w:val="20"/>
          <w:color w:val="auto"/>
        </w:rPr>
        <w:tab/>
      </w:r>
      <w:r>
        <w:rPr>
          <w:rFonts w:ascii="Arial" w:cs="Arial" w:eastAsia="Arial" w:hAnsi="Arial"/>
          <w:sz w:val="18"/>
          <w:szCs w:val="18"/>
          <w:color w:val="auto"/>
        </w:rPr>
        <w:t>578,117</w:t>
      </w:r>
      <w:r>
        <w:rPr>
          <w:sz w:val="20"/>
          <w:szCs w:val="20"/>
          <w:color w:val="auto"/>
        </w:rPr>
        <w:tab/>
      </w:r>
      <w:r>
        <w:rPr>
          <w:rFonts w:ascii="Arial" w:cs="Arial" w:eastAsia="Arial" w:hAnsi="Arial"/>
          <w:sz w:val="18"/>
          <w:szCs w:val="18"/>
          <w:color w:val="auto"/>
        </w:rPr>
        <w:t>928,695</w:t>
      </w:r>
      <w:r>
        <w:rPr>
          <w:sz w:val="20"/>
          <w:szCs w:val="20"/>
          <w:color w:val="auto"/>
        </w:rPr>
        <w:tab/>
      </w:r>
      <w:r>
        <w:rPr>
          <w:rFonts w:ascii="Arial" w:cs="Arial" w:eastAsia="Arial" w:hAnsi="Arial"/>
          <w:sz w:val="16"/>
          <w:szCs w:val="16"/>
          <w:color w:val="auto"/>
        </w:rPr>
        <w:t>1,049,656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5715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405"/>
        <w:spacing w:after="0"/>
        <w:tabs>
          <w:tab w:leader="none" w:pos="1765" w:val="left"/>
          <w:tab w:leader="none" w:pos="3005" w:val="left"/>
          <w:tab w:leader="none" w:pos="4325" w:val="left"/>
        </w:tabs>
        <w:rPr>
          <w:sz w:val="20"/>
          <w:szCs w:val="20"/>
          <w:color w:val="auto"/>
        </w:rPr>
      </w:pPr>
      <w:r>
        <w:rPr>
          <w:rFonts w:ascii="Arial" w:cs="Arial" w:eastAsia="Arial" w:hAnsi="Arial"/>
          <w:sz w:val="18"/>
          <w:szCs w:val="18"/>
          <w:color w:val="auto"/>
        </w:rPr>
        <w:t>8,739,005</w:t>
      </w:r>
      <w:r>
        <w:rPr>
          <w:sz w:val="20"/>
          <w:szCs w:val="20"/>
          <w:color w:val="auto"/>
        </w:rPr>
        <w:tab/>
      </w:r>
      <w:r>
        <w:rPr>
          <w:rFonts w:ascii="Arial" w:cs="Arial" w:eastAsia="Arial" w:hAnsi="Arial"/>
          <w:sz w:val="18"/>
          <w:szCs w:val="18"/>
          <w:color w:val="auto"/>
        </w:rPr>
        <w:t>8,295,039</w:t>
      </w:r>
      <w:r>
        <w:rPr>
          <w:sz w:val="20"/>
          <w:szCs w:val="20"/>
          <w:color w:val="auto"/>
        </w:rPr>
        <w:tab/>
      </w:r>
      <w:r>
        <w:rPr>
          <w:rFonts w:ascii="Arial" w:cs="Arial" w:eastAsia="Arial" w:hAnsi="Arial"/>
          <w:sz w:val="18"/>
          <w:szCs w:val="18"/>
          <w:color w:val="auto"/>
        </w:rPr>
        <w:t>18,391,043</w:t>
      </w:r>
      <w:r>
        <w:rPr>
          <w:sz w:val="20"/>
          <w:szCs w:val="20"/>
          <w:color w:val="auto"/>
        </w:rPr>
        <w:tab/>
      </w:r>
      <w:r>
        <w:rPr>
          <w:rFonts w:ascii="Arial" w:cs="Arial" w:eastAsia="Arial" w:hAnsi="Arial"/>
          <w:sz w:val="16"/>
          <w:szCs w:val="16"/>
          <w:color w:val="auto"/>
        </w:rPr>
        <w:t>16,512,176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168910</wp:posOffset>
            </wp:positionV>
            <wp:extent cx="713232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72" w:lineRule="exact"/>
        <w:rPr>
          <w:sz w:val="20"/>
          <w:szCs w:val="20"/>
          <w:color w:val="auto"/>
        </w:rPr>
      </w:pPr>
    </w:p>
    <w:p>
      <w:pPr>
        <w:ind w:left="5"/>
        <w:spacing w:after="0"/>
        <w:tabs>
          <w:tab w:leader="none" w:pos="305" w:val="left"/>
          <w:tab w:leader="none" w:pos="1365" w:val="left"/>
          <w:tab w:leader="none" w:pos="1685" w:val="left"/>
          <w:tab w:leader="none" w:pos="2705" w:val="left"/>
          <w:tab w:leader="none" w:pos="3005" w:val="left"/>
          <w:tab w:leader="none" w:pos="4025" w:val="left"/>
          <w:tab w:leader="none" w:pos="4325" w:val="left"/>
        </w:tabs>
        <w:rPr>
          <w:sz w:val="20"/>
          <w:szCs w:val="20"/>
          <w:color w:val="auto"/>
        </w:rPr>
      </w:pPr>
      <w:r>
        <w:rPr>
          <w:rFonts w:ascii="Arial" w:cs="Arial" w:eastAsia="Arial" w:hAnsi="Arial"/>
          <w:sz w:val="18"/>
          <w:szCs w:val="18"/>
          <w:u w:val="single" w:color="auto"/>
          <w:color w:val="auto"/>
        </w:rPr>
        <w:t>$</w:t>
        <w:tab/>
        <w:t>12,706,889</w:t>
        <w:tab/>
        <w:t>$</w:t>
        <w:tab/>
        <w:t>12,898,479</w:t>
        <w:tab/>
        <w:t>$</w:t>
        <w:tab/>
        <w:t>27,203,364</w:t>
        <w:tab/>
        <w:t>$</w:t>
      </w:r>
      <w:r>
        <w:rPr>
          <w:sz w:val="20"/>
          <w:szCs w:val="20"/>
          <w:color w:val="auto"/>
        </w:rPr>
        <w:tab/>
      </w:r>
      <w:r>
        <w:rPr>
          <w:rFonts w:ascii="Arial" w:cs="Arial" w:eastAsia="Arial" w:hAnsi="Arial"/>
          <w:sz w:val="16"/>
          <w:szCs w:val="16"/>
          <w:u w:val="single" w:color="auto"/>
          <w:color w:val="auto"/>
        </w:rPr>
        <w:t>24,761,253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32746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55" w:space="720"/>
            <w:col w:w="5265"/>
          </w:cols>
          <w:pgMar w:left="320" w:top="881" w:right="339" w:bottom="1440" w:gutter="0" w:footer="0" w:header="0"/>
          <w:type w:val="continuous"/>
        </w:sectPr>
      </w:pP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greatest increase was in other general and administrative expenses. Other general and administrative expenses increased from approximately $8.3 million for the three months ended June 30, 2022 to approximately $8.7 million for the same period in 2023. Other general and administrative expenses increased from $16.5 million for the six months ended June 30, 2022 to approximately $18.4 million for the same period in 2022. This increase is mostly as a result of an increase in headcount as well as other investments to support our growth initiatives and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had a net loss of approximately $4.2 million for the three months ended June 30, 2023, as compared to a net loss of approximately $3.9 million during the same period in 2022. We had a net loss of approximately $10.6 million for the six months ended June 30, 2023, as compared to a net loss of approximately $7.6 million during the same period in 2022. The reasons and specific components associated with the change are discussed above.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Historically, our primary sources of liquidity have been cash receipts from customers and proceeds from equity offerings. As of June 30, 2023, we had total current assets of approximately $85.1 million, compared with current liabilities of approximately $5.5 million, resulting in working capital of approximately $79.6 million and a current ratio of approximately 15.4 to 1. This represents a decrease from our working capital of approximately $90.2 million and an increase from the current ratio of 11.7 to 1 at December 31, 2022. This decrease in our working capital is discussed in more detail below.</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table with summary data from the consolidated statements of cash flows for the six months ended June 30, 2023 and 2022, as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 provided by operating activities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(2,454,489)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4,388,372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provided by / (used in) investing activities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1,674,215</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(2,186,592)</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 provided by financing activities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(7,620,081)</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509,420</w:t>
            </w:r>
          </w:p>
        </w:tc>
        <w:tc>
          <w:tcPr>
            <w:tcW w:w="8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(decrease) / increase in cash and cash equivalents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(8,400,355</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2,711,200</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used approximately $2.5 million for operating activities during the six months ended June 30, 2023, compared with $4.4 million provided by operating activities in the same period in 2022. We had a net loss of $10.6 million for the first six months of 2023. Noncash expenses of $9.1 million and working capital generated by the collection of receivables partially offset the loss. Additional channel partner investment in the second quarter of 2023 as well as the timing of certain revenue share payments increased our balance of prepaid services year over year. This in conjunction with the greater net loss, led to the year over year decrease cash flow from operations.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investing activities was approximately $1.7 million for the six months ended June 30, 2023. We redeemed $112.5 million in treasury bills which was partially offset by reinvestment of $109.5 million in treasury bills. We also invested in internally developed software in the amount of $1.3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20" w:name="page21"/>
    <w:bookmarkEnd w:id="20"/>
    <w:p>
      <w:pPr>
        <w:jc w:val="both"/>
        <w:spacing w:after="0" w:line="311" w:lineRule="auto"/>
        <w:rPr>
          <w:sz w:val="20"/>
          <w:szCs w:val="20"/>
          <w:color w:val="auto"/>
        </w:rPr>
      </w:pPr>
      <w:r>
        <w:rPr>
          <w:rFonts w:ascii="Arial" w:cs="Arial" w:eastAsia="Arial" w:hAnsi="Arial"/>
          <w:sz w:val="16"/>
          <w:szCs w:val="16"/>
          <w:color w:val="auto"/>
        </w:rPr>
        <w:t>Cash used for financing activities was approximately $7.6 million mostly related to a company stock repurchase program approved in March 2023. During the quarter ended June 30, 2023 we used $7.5 million to purchase 526,999 shares of common stock. Additionally, we used $0.2 million to pay withholding taxes on behalf of employees vesting in restricted stock units. This activity was partially offset by the receipt of funds from the exercise of stock options.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funds generated from operations, together with existing cash, will be sufficient to finance our current operations for the next twelve (12) months. In addition, we believe we can generate the cash needed to operate beyond the next 12 months from operations. However, we may seek additional debt, equity financing, or lines of credit to supplement cash from operations to fund acquisitions or strategic partner relationships, make capital expenditures, and satisfy working capital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2 to the Consolidated Financial Statements in the Annual Report on Form 10-K for the year ended December 31, 2022 (2022 Annual Report on Form 10-K). The accounting policies we used in preparing these financial statements are substantially consistent with those we applied in our 2022 Annual Report on Form 10-K. Our critical accounting estimates are described in Management’s Discussion and Analysis included in the 2022 Annual Report on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ASU Topic 2021-08 </w:t>
      </w:r>
      <w:r>
        <w:rPr>
          <w:rFonts w:ascii="Arial" w:cs="Arial" w:eastAsia="Arial" w:hAnsi="Arial"/>
          <w:sz w:val="18"/>
          <w:szCs w:val="18"/>
          <w:i w:val="1"/>
          <w:iCs w:val="1"/>
          <w:color w:val="auto"/>
        </w:rPr>
        <w:t>Business Combinations (Topic 805), Accounting for Contract Assets and Contract Liabilities from Contracts with Customers</w:t>
      </w:r>
      <w:r>
        <w:rPr>
          <w:rFonts w:ascii="Arial" w:cs="Arial" w:eastAsia="Arial" w:hAnsi="Arial"/>
          <w:sz w:val="18"/>
          <w:szCs w:val="18"/>
          <w:color w:val="auto"/>
        </w:rPr>
        <w:t>, requires contract assets and contract liabilities acquired in a business combination to be recognized and measured by the acquirer on the acquisition date in accordance with ASC 606</w:t>
      </w:r>
      <w:r>
        <w:rPr>
          <w:rFonts w:ascii="Arial" w:cs="Arial" w:eastAsia="Arial" w:hAnsi="Arial"/>
          <w:sz w:val="18"/>
          <w:szCs w:val="18"/>
          <w:i w:val="1"/>
          <w:iCs w:val="1"/>
          <w:color w:val="auto"/>
        </w:rPr>
        <w:t>, Revenue from Contracts with Customers</w:t>
      </w:r>
      <w:r>
        <w:rPr>
          <w:rFonts w:ascii="Arial" w:cs="Arial" w:eastAsia="Arial" w:hAnsi="Arial"/>
          <w:sz w:val="18"/>
          <w:szCs w:val="18"/>
          <w:color w:val="auto"/>
        </w:rPr>
        <w:t>, as if it had originated the contracts. The standard was effective for the Company’s fiscal year beginning January 1, 2023. The adoption of this standard did not have a material effect on our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contracts with various electronic health records systems and ePrescribe platforms, whereby we agree to share a portion of the revenue we generate for eCoupons or banners through their network. From time to time the Company enters into arrangements with a partner to acquire minimum amounts of messaging capabilities. As of June 30, 2023, the Company had commitments for future minimum payments of $13.3 million that will be reflected in cost of revenues during the years 2023 through 2025.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jc w:val="both"/>
        <w:spacing w:after="0" w:line="296"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concluded that, as of the end of the period covered by this report, our disclosure controls and procedures, as defined in Rule 13a-15(e), were not effective at the reasonable assurance level due to a material weakness in our internal controls over financial reporting which was disclosed in our Annual Report on Form 10-K for the year ended December 31, 2022.</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address the material weakness referenced above, the Company performed additional analysis and performed other procedures in order to prepare the consolidated financial statements in accordance with generally accepted accounting principles (GAAP). Accordingly, management believes that the consolidated financial statements included in this quarterly report on this Form 10-Q fairly present, in all material respects, our financial condition, results of operations and cash flows for the periods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Remediation of Material Weakness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Management is actively engaged in the planning for, and implementation of, remediation efforts to address the material weakness identified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intends to implement the following remediation steps:</w:t>
      </w:r>
    </w:p>
    <w:p>
      <w:pPr>
        <w:spacing w:after="0" w:line="2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will require each third-party service organization to provide a SOC-1, Type 2 report to us.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 SOC-1, Type 2 report is not available, the Company will evaluate each third-party’s relevant system(s) and reporting directly through inquiry and substantive testing of such third-party’s control environment.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quarters ended June 30, 2023 and March 31, 2023, the Company met with the third-party service organizations to discuss the reporting requirements. As management continues to evaluate and improve our disclosure controls and procedures and internal control over financial reporting, the Company may decide to take additional measures to address control deficiencies or determine to modify, or in appropriate circumstances not to complete, certain of the remediation measures identified.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noted above, there was no change in our internal control over financial reporting (as defined in Rule 13a-15(f) under the Exchange Act), that occurred during the quarter ended June 30, 2023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pending legal proceeding.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have been no material changes in our risk factors from the risks previously reported in PART 1, ITEM 1A, “Risk Factors” of our Annual Report on Form 10-K for the year ended December 31, 2022. You should carefully consider the factors discussed in PART I, ITEM 1A, “Risk Factors” in our Annual Report on Form 10-K for the year ended December 31, 2022, which could materially affect our business, financial condition 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2023, we purchased shares of our common stock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8"/>
              </w:rPr>
              <w:t>Dollar Value) of</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Shares</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 as</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r>
      <w:tr>
        <w:trPr>
          <w:trHeight w:val="221"/>
        </w:trPr>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Price Paid</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Plans or</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Plans or</w:t>
            </w:r>
          </w:p>
        </w:tc>
      </w:tr>
      <w:tr>
        <w:trPr>
          <w:trHeight w:val="277"/>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320" w:type="dxa"/>
            <w:vAlign w:val="bottom"/>
            <w:gridSpan w:val="2"/>
          </w:tcPr>
          <w:p>
            <w:pPr>
              <w:jc w:val="center"/>
              <w:ind w:right="220"/>
              <w:spacing w:after="0" w:line="270" w:lineRule="exact"/>
              <w:rPr>
                <w:sz w:val="20"/>
                <w:szCs w:val="20"/>
                <w:color w:val="auto"/>
              </w:rPr>
            </w:pPr>
            <w:r>
              <w:rPr>
                <w:rFonts w:ascii="Arial" w:cs="Arial" w:eastAsia="Arial" w:hAnsi="Arial"/>
                <w:sz w:val="18"/>
                <w:szCs w:val="18"/>
                <w:b w:val="1"/>
                <w:bCs w:val="1"/>
                <w:color w:val="auto"/>
                <w:w w:val="84"/>
              </w:rPr>
              <w:t xml:space="preserve">Purchased </w:t>
            </w:r>
            <w:r>
              <w:rPr>
                <w:rFonts w:ascii="Arial" w:cs="Arial" w:eastAsia="Arial" w:hAnsi="Arial"/>
                <w:sz w:val="29"/>
                <w:szCs w:val="29"/>
                <w:b w:val="1"/>
                <w:bCs w:val="1"/>
                <w:color w:val="auto"/>
                <w:w w:val="84"/>
                <w:vertAlign w:val="superscript"/>
              </w:rPr>
              <w:t>(1)</w:t>
            </w: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per Share</w:t>
            </w:r>
          </w:p>
        </w:tc>
        <w:tc>
          <w:tcPr>
            <w:tcW w:w="1440" w:type="dxa"/>
            <w:vAlign w:val="bottom"/>
            <w:gridSpan w:val="2"/>
          </w:tcPr>
          <w:p>
            <w:pPr>
              <w:jc w:val="center"/>
              <w:ind w:right="220"/>
              <w:spacing w:after="0" w:line="270" w:lineRule="exact"/>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29"/>
                <w:szCs w:val="29"/>
                <w:b w:val="1"/>
                <w:bCs w:val="1"/>
                <w:color w:val="auto"/>
                <w:w w:val="86"/>
                <w:vertAlign w:val="superscript"/>
              </w:rPr>
              <w:t>(1)</w:t>
            </w:r>
          </w:p>
        </w:tc>
        <w:tc>
          <w:tcPr>
            <w:tcW w:w="100" w:type="dxa"/>
            <w:vAlign w:val="bottom"/>
          </w:tcPr>
          <w:p>
            <w:pPr>
              <w:spacing w:after="0"/>
              <w:rPr>
                <w:sz w:val="24"/>
                <w:szCs w:val="24"/>
                <w:color w:val="auto"/>
              </w:rPr>
            </w:pPr>
          </w:p>
        </w:tc>
        <w:tc>
          <w:tcPr>
            <w:tcW w:w="1220" w:type="dxa"/>
            <w:vAlign w:val="bottom"/>
            <w:gridSpan w:val="2"/>
          </w:tcPr>
          <w:p>
            <w:pPr>
              <w:jc w:val="center"/>
              <w:ind w:right="200"/>
              <w:spacing w:after="0" w:line="270" w:lineRule="exact"/>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29"/>
                <w:szCs w:val="29"/>
                <w:b w:val="1"/>
                <w:bCs w:val="1"/>
                <w:color w:val="auto"/>
                <w:w w:val="86"/>
                <w:vertAlign w:val="superscript"/>
              </w:rPr>
              <w:t>(1)</w:t>
            </w:r>
          </w:p>
        </w:tc>
      </w:tr>
      <w:tr>
        <w:trPr>
          <w:trHeight w:val="216"/>
        </w:trPr>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4/1/23 - 4/30/23</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5/1/23 - 5/31/23</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132,000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13.15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132,000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13,267,253</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6/1/23 - 6/30/23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7,488,116</w:t>
            </w:r>
          </w:p>
        </w:tc>
      </w:tr>
    </w:tbl>
    <w:p>
      <w:pPr>
        <w:spacing w:after="0" w:line="202" w:lineRule="exact"/>
        <w:rPr>
          <w:sz w:val="20"/>
          <w:szCs w:val="20"/>
          <w:color w:val="auto"/>
        </w:rPr>
      </w:pPr>
    </w:p>
    <w:p>
      <w:pPr>
        <w:jc w:val="both"/>
        <w:ind w:left="34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14, 2023, the Company announced that its Board of Directors had authorized the repurchase of up to $15 million of the Company’s outstanding common stock. Under this new program, share repurchases may be made from time to time depending on market conditions, share price and availability and other factors at the Company’s discretion. This stock repurchase authorization expires on the earlier of March 12, 2024, or when the repurchase of $15 million of shares of its common stock has been reached.</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repurchase of shares took place in open market transactions or privately negotiated transactions in accordance with applicable securities and other laws, including the Exchange Act. The Company intends to finance the purchase using its available cash and cash equivalents.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600" w:type="dxa"/>
            <w:vAlign w:val="bottom"/>
            <w:gridSpan w:val="2"/>
          </w:tcPr>
          <w:p>
            <w:pPr>
              <w:ind w:left="168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1"/>
              </w:rPr>
              <w:t>Certification of Chief Executive Officer pursuant to 18 U.S.C. Section 1350, as adopted pursuant to Section 302 of the Sarbanes-Oxley Act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9"/>
              </w:rPr>
              <w:t>of 2002</w:t>
            </w:r>
          </w:p>
        </w:tc>
        <w:tc>
          <w:tcPr>
            <w:tcW w:w="954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sz w:val="20"/>
                <w:szCs w:val="20"/>
                <w:color w:val="auto"/>
              </w:rPr>
            </w:pPr>
            <w:r>
              <w:rPr>
                <w:rFonts w:ascii="Arial" w:cs="Arial" w:eastAsia="Arial" w:hAnsi="Arial"/>
                <w:sz w:val="18"/>
                <w:szCs w:val="18"/>
                <w:color w:val="0000EE"/>
                <w:w w:val="92"/>
              </w:rPr>
              <w:t>Certification of Chief Financial Officer pursuant to 18 U.S.C. Section 1350, as adopted pursuant to Section 302 of the Sarbanes-Oxley Act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4"/>
          </w:tcPr>
          <w:p>
            <w:pPr>
              <w:spacing w:after="0" w:line="196" w:lineRule="exact"/>
              <w:rPr>
                <w:sz w:val="20"/>
                <w:szCs w:val="20"/>
                <w:color w:val="auto"/>
              </w:rPr>
            </w:pPr>
            <w:r>
              <w:rPr>
                <w:rFonts w:ascii="Arial" w:cs="Arial" w:eastAsia="Arial" w:hAnsi="Arial"/>
                <w:sz w:val="18"/>
                <w:szCs w:val="18"/>
                <w:color w:val="0000EE"/>
              </w:rPr>
              <w:t>of 2002</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1"/>
              </w:rPr>
              <w:t>Certification of Chief Executive Officer and Chief Financial Officer pursuant to 18 U.S.C. Section 1350, as adopted pursuant to Section 906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w w:val="90"/>
              </w:rPr>
              <w:t>of the Sarbanes-Oxley Act of 2002</w:t>
            </w:r>
          </w:p>
        </w:tc>
        <w:tc>
          <w:tcPr>
            <w:tcW w:w="758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Instance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560" w:firstLine="8"/>
        <w:spacing w:after="0" w:line="509" w:lineRule="auto"/>
        <w:tabs>
          <w:tab w:leader="none" w:pos="11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Provided herewith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Date: August 14, 2023</w:t>
            </w:r>
          </w:p>
        </w:tc>
        <w:tc>
          <w:tcPr>
            <w:tcW w:w="3800" w:type="dxa"/>
            <w:vAlign w:val="bottom"/>
          </w:tcPr>
          <w:p>
            <w:pPr>
              <w:spacing w:after="0"/>
              <w:rPr>
                <w:sz w:val="18"/>
                <w:szCs w:val="18"/>
                <w:color w:val="auto"/>
              </w:rPr>
            </w:pPr>
          </w:p>
        </w:tc>
      </w:tr>
      <w:tr>
        <w:trPr>
          <w:trHeight w:val="237"/>
        </w:trPr>
        <w:tc>
          <w:tcPr>
            <w:tcW w:w="7440" w:type="dxa"/>
            <w:vAlign w:val="bottom"/>
          </w:tcPr>
          <w:p>
            <w:pPr>
              <w:ind w:left="676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8"/>
        </w:trPr>
        <w:tc>
          <w:tcPr>
            <w:tcW w:w="7440" w:type="dxa"/>
            <w:vAlign w:val="bottom"/>
          </w:tcPr>
          <w:p>
            <w:pPr>
              <w:spacing w:after="0"/>
              <w:rPr>
                <w:sz w:val="17"/>
                <w:szCs w:val="17"/>
                <w:color w:val="auto"/>
              </w:rPr>
            </w:pPr>
          </w:p>
        </w:tc>
        <w:tc>
          <w:tcPr>
            <w:tcW w:w="3800" w:type="dxa"/>
            <w:vAlign w:val="bottom"/>
          </w:tcPr>
          <w:p>
            <w:pPr>
              <w:spacing w:after="0" w:line="198" w:lineRule="exact"/>
              <w:rPr>
                <w:sz w:val="20"/>
                <w:szCs w:val="20"/>
                <w:color w:val="auto"/>
              </w:rPr>
            </w:pPr>
            <w:r>
              <w:rPr>
                <w:rFonts w:ascii="Arial" w:cs="Arial" w:eastAsia="Arial" w:hAnsi="Arial"/>
                <w:sz w:val="18"/>
                <w:szCs w:val="18"/>
                <w:color w:val="auto"/>
              </w:rPr>
              <w:t>William J. Febbo</w:t>
            </w:r>
          </w:p>
        </w:tc>
      </w:tr>
      <w:tr>
        <w:trPr>
          <w:trHeight w:val="216"/>
        </w:trPr>
        <w:tc>
          <w:tcPr>
            <w:tcW w:w="7440" w:type="dxa"/>
            <w:vAlign w:val="bottom"/>
          </w:tcPr>
          <w:p>
            <w:pPr>
              <w:ind w:left="6760"/>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744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(principal executive officer)</w:t>
            </w:r>
          </w:p>
        </w:tc>
      </w:tr>
      <w:tr>
        <w:trPr>
          <w:trHeight w:val="418"/>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Date: August 14, 2023</w:t>
            </w:r>
          </w:p>
        </w:tc>
        <w:tc>
          <w:tcPr>
            <w:tcW w:w="3800" w:type="dxa"/>
            <w:vAlign w:val="bottom"/>
          </w:tcPr>
          <w:p>
            <w:pPr>
              <w:spacing w:after="0"/>
              <w:rPr>
                <w:sz w:val="18"/>
                <w:szCs w:val="18"/>
                <w:color w:val="auto"/>
              </w:rPr>
            </w:pPr>
          </w:p>
        </w:tc>
      </w:tr>
      <w:tr>
        <w:trPr>
          <w:trHeight w:val="237"/>
        </w:trPr>
        <w:tc>
          <w:tcPr>
            <w:tcW w:w="7440" w:type="dxa"/>
            <w:vAlign w:val="bottom"/>
          </w:tcPr>
          <w:p>
            <w:pPr>
              <w:ind w:left="676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Stelmakh</w:t>
            </w:r>
          </w:p>
        </w:tc>
      </w:tr>
      <w:tr>
        <w:trPr>
          <w:trHeight w:val="198"/>
        </w:trPr>
        <w:tc>
          <w:tcPr>
            <w:tcW w:w="7440" w:type="dxa"/>
            <w:vAlign w:val="bottom"/>
          </w:tcPr>
          <w:p>
            <w:pPr>
              <w:spacing w:after="0"/>
              <w:rPr>
                <w:sz w:val="17"/>
                <w:szCs w:val="17"/>
                <w:color w:val="auto"/>
              </w:rPr>
            </w:pPr>
          </w:p>
        </w:tc>
        <w:tc>
          <w:tcPr>
            <w:tcW w:w="3800" w:type="dxa"/>
            <w:vAlign w:val="bottom"/>
          </w:tcPr>
          <w:p>
            <w:pPr>
              <w:spacing w:after="0" w:line="198" w:lineRule="exact"/>
              <w:rPr>
                <w:sz w:val="20"/>
                <w:szCs w:val="20"/>
                <w:color w:val="auto"/>
              </w:rPr>
            </w:pPr>
            <w:r>
              <w:rPr>
                <w:rFonts w:ascii="Arial" w:cs="Arial" w:eastAsia="Arial" w:hAnsi="Arial"/>
                <w:sz w:val="18"/>
                <w:szCs w:val="18"/>
                <w:color w:val="auto"/>
              </w:rPr>
              <w:t>Edward Stelmakh</w:t>
            </w:r>
          </w:p>
        </w:tc>
      </w:tr>
      <w:tr>
        <w:trPr>
          <w:trHeight w:val="216"/>
        </w:trPr>
        <w:tc>
          <w:tcPr>
            <w:tcW w:w="7440" w:type="dxa"/>
            <w:vAlign w:val="bottom"/>
          </w:tcPr>
          <w:p>
            <w:pPr>
              <w:ind w:left="6760"/>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b w:val="1"/>
                <w:bCs w:val="1"/>
                <w:color w:val="auto"/>
              </w:rPr>
              <w:t>Chief Financial Officer and</w:t>
            </w:r>
          </w:p>
        </w:tc>
      </w:tr>
      <w:tr>
        <w:trPr>
          <w:trHeight w:val="216"/>
        </w:trPr>
        <w:tc>
          <w:tcPr>
            <w:tcW w:w="74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Chief Operations Officer</w:t>
            </w:r>
          </w:p>
        </w:tc>
      </w:tr>
      <w:tr>
        <w:trPr>
          <w:trHeight w:val="234"/>
        </w:trPr>
        <w:tc>
          <w:tcPr>
            <w:tcW w:w="744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(principal financial and accounting officer)</w:t>
            </w:r>
          </w:p>
        </w:tc>
      </w:tr>
      <w:tr>
        <w:trPr>
          <w:trHeight w:val="655"/>
        </w:trPr>
        <w:tc>
          <w:tcPr>
            <w:tcW w:w="744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23</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5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2023 of OptimizeRx Corp (the “registrant”);</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J. Febbo</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Edward Stelmakh certify that;</w:t>
      </w:r>
    </w:p>
    <w:p>
      <w:pPr>
        <w:spacing w:after="0" w:line="25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2023 of OptimizeRx Corp (the “registrant”);</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Edward Stelmakh</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June 30, 2023 filed with the Securities and Exchange Commission (the “Report”), I, Will Febbo, Chief Executive Officer and I, Edward Stelmakh, Chief Financial Officer of the Company, certify, pursuant to 18 U.S.C. Section 1350, as adopted pursuant to Section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Willian J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August 14, 2023</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Stelmakh</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Edward Stelmakh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August 14, 2023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2"/>
      <w:numFmt w:val="bullet"/>
      <w:start w:val="1"/>
    </w:lvl>
  </w:abstractNum>
  <w:abstractNum w:abstractNumId="2">
    <w:nsid w:val="12200854"/>
    <w:multiLevelType w:val="hybridMultilevel"/>
    <w:lvl w:ilvl="0">
      <w:lvlJc w:val="left"/>
      <w:lvlText w:val="3"/>
      <w:numFmt w:val="bullet"/>
      <w:start w:val="1"/>
    </w:lvl>
  </w:abstractNum>
  <w:abstractNum w:abstractNumId="3">
    <w:nsid w:val="4DB127F8"/>
    <w:multiLevelType w:val="hybridMultilevel"/>
    <w:lvl w:ilvl="0">
      <w:lvlJc w:val="left"/>
      <w:lvlText w:val="4"/>
      <w:numFmt w:val="bullet"/>
      <w:start w:val="1"/>
    </w:lvl>
  </w:abstractNum>
  <w:abstractNum w:abstractNumId="4">
    <w:nsid w:val="216231B"/>
    <w:multiLevelType w:val="hybridMultilevel"/>
    <w:lvl w:ilvl="0">
      <w:lvlJc w:val="left"/>
      <w:lvlText w:val="6"/>
      <w:numFmt w:val="bullet"/>
      <w:start w:val="1"/>
    </w:lvl>
  </w:abstractNum>
  <w:abstractNum w:abstractNumId="5">
    <w:nsid w:val="1F16E9E8"/>
    <w:multiLevelType w:val="hybridMultilevel"/>
    <w:lvl w:ilvl="0">
      <w:lvlJc w:val="left"/>
      <w:lvlText w:val="7"/>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2023-08-14T15:44:39Z</dcterms:created>
  <dcterms:modified xsi:type="dcterms:W3CDTF">2023-08-14T15:44:39Z</dcterms:modified>
</cp:coreProperties>
</file>