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SCHEDULE 13G</w:t>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(Amendment No. 1)*</w:t>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(Name of Issuer)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(Title of Class of Securities)</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(CUSIP Number)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23"/>
          <w:szCs w:val="23"/>
          <w:color w:val="auto"/>
        </w:rPr>
        <w:t>Check the appropriate box to designate the rule pursuant to which this Schedule 13G is filed:</w:t>
      </w:r>
    </w:p>
    <w:p>
      <w:pPr>
        <w:spacing w:after="0" w:line="249" w:lineRule="exact"/>
        <w:rPr>
          <w:sz w:val="24"/>
          <w:szCs w:val="24"/>
          <w:color w:val="auto"/>
        </w:rPr>
      </w:pPr>
    </w:p>
    <w:p>
      <w:pPr>
        <w:jc w:val="both"/>
        <w:ind w:left="680" w:right="9660" w:hanging="1"/>
        <w:spacing w:after="0" w:line="265" w:lineRule="auto"/>
        <w:tabs>
          <w:tab w:leader="none" w:pos="927"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13d-1(b) [X] Rule 13d-1(c)</w:t>
      </w:r>
    </w:p>
    <w:p>
      <w:pPr>
        <w:ind w:left="920" w:hanging="241"/>
        <w:spacing w:after="0"/>
        <w:tabs>
          <w:tab w:leader="none" w:pos="920" w:val="left"/>
        </w:tabs>
        <w:numPr>
          <w:ilvl w:val="1"/>
          <w:numId w:val="1"/>
        </w:numPr>
        <w:rPr>
          <w:rFonts w:ascii="Arial" w:cs="Arial" w:eastAsia="Arial" w:hAnsi="Arial"/>
          <w:sz w:val="23"/>
          <w:szCs w:val="23"/>
          <w:color w:val="auto"/>
        </w:rPr>
      </w:pPr>
      <w:r>
        <w:rPr>
          <w:rFonts w:ascii="Arial" w:cs="Arial" w:eastAsia="Arial" w:hAnsi="Arial"/>
          <w:sz w:val="23"/>
          <w:szCs w:val="23"/>
          <w:color w:val="auto"/>
        </w:rPr>
        <w:t>] Rule 13d-1(d)</w:t>
      </w:r>
    </w:p>
    <w:p>
      <w:pPr>
        <w:spacing w:after="0" w:line="200" w:lineRule="exact"/>
        <w:rPr>
          <w:rFonts w:ascii="Arial" w:cs="Arial" w:eastAsia="Arial" w:hAnsi="Arial"/>
          <w:sz w:val="23"/>
          <w:szCs w:val="23"/>
          <w:color w:val="auto"/>
        </w:rPr>
      </w:pPr>
    </w:p>
    <w:p>
      <w:pPr>
        <w:spacing w:after="0" w:line="285" w:lineRule="exact"/>
        <w:rPr>
          <w:rFonts w:ascii="Arial" w:cs="Arial" w:eastAsia="Arial" w:hAnsi="Arial"/>
          <w:sz w:val="23"/>
          <w:szCs w:val="23"/>
          <w:color w:val="auto"/>
        </w:rPr>
      </w:pPr>
    </w:p>
    <w:p>
      <w:pPr>
        <w:jc w:val="both"/>
        <w:spacing w:after="0" w:line="245" w:lineRule="auto"/>
        <w:rPr>
          <w:rFonts w:ascii="Arial" w:cs="Arial" w:eastAsia="Arial" w:hAnsi="Arial"/>
          <w:sz w:val="23"/>
          <w:szCs w:val="23"/>
          <w:color w:val="auto"/>
        </w:rPr>
      </w:pPr>
      <w:r>
        <w:rPr>
          <w:rFonts w:ascii="Arial" w:cs="Arial" w:eastAsia="Arial" w:hAnsi="Arial"/>
          <w:sz w:val="23"/>
          <w:szCs w:val="23"/>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7" w:lineRule="exact"/>
        <w:rPr>
          <w:sz w:val="24"/>
          <w:szCs w:val="24"/>
          <w:color w:val="auto"/>
        </w:rPr>
      </w:pPr>
    </w:p>
    <w:p>
      <w:pPr>
        <w:jc w:val="both"/>
        <w:spacing w:after="0" w:line="245" w:lineRule="auto"/>
        <w:rPr>
          <w:sz w:val="20"/>
          <w:szCs w:val="20"/>
          <w:color w:val="auto"/>
        </w:rPr>
      </w:pPr>
      <w:r>
        <w:rPr>
          <w:rFonts w:ascii="Arial" w:cs="Arial" w:eastAsia="Arial" w:hAnsi="Arial"/>
          <w:sz w:val="23"/>
          <w:szCs w:val="23"/>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2240" w:h="15840" w:orient="portrait"/>
          <w:cols w:equalWidth="0" w:num="1">
            <w:col w:w="12000"/>
          </w:cols>
          <w:pgMar w:left="120" w:top="341" w:right="120" w:bottom="1440" w:gutter="0" w:footer="0" w:header="0"/>
        </w:sectPr>
      </w:pPr>
    </w:p>
    <w:bookmarkStart w:id="1" w:name="page2"/>
    <w:bookmarkEnd w:id="1"/>
    <w:p>
      <w:pPr>
        <w:ind w:left="106"/>
        <w:spacing w:after="0"/>
        <w:rPr>
          <w:sz w:val="20"/>
          <w:szCs w:val="20"/>
          <w:color w:val="auto"/>
        </w:rPr>
      </w:pPr>
      <w:r>
        <w:rPr>
          <w:rFonts w:ascii="Arial" w:cs="Arial" w:eastAsia="Arial" w:hAnsi="Arial"/>
          <w:sz w:val="23"/>
          <w:szCs w:val="23"/>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625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291"/>
        </w:trPr>
        <w:tc>
          <w:tcPr>
            <w:tcW w:w="280" w:type="dxa"/>
            <w:vAlign w:val="bottom"/>
          </w:tcPr>
          <w:p>
            <w:pPr>
              <w:jc w:val="right"/>
              <w:spacing w:after="0"/>
              <w:rPr>
                <w:sz w:val="20"/>
                <w:szCs w:val="20"/>
                <w:color w:val="auto"/>
              </w:rPr>
            </w:pPr>
            <w:r>
              <w:rPr>
                <w:rFonts w:ascii="Arial" w:cs="Arial" w:eastAsia="Arial" w:hAnsi="Arial"/>
                <w:sz w:val="23"/>
                <w:szCs w:val="23"/>
                <w:color w:val="auto"/>
                <w:w w:val="85"/>
              </w:rPr>
              <w:t>(1)</w:t>
            </w:r>
          </w:p>
        </w:tc>
        <w:tc>
          <w:tcPr>
            <w:tcW w:w="6280" w:type="dxa"/>
            <w:vAlign w:val="bottom"/>
          </w:tcPr>
          <w:p>
            <w:pPr>
              <w:ind w:left="40"/>
              <w:spacing w:after="0"/>
              <w:rPr>
                <w:sz w:val="20"/>
                <w:szCs w:val="20"/>
                <w:color w:val="auto"/>
              </w:rPr>
            </w:pPr>
            <w:r>
              <w:rPr>
                <w:rFonts w:ascii="Arial" w:cs="Arial" w:eastAsia="Arial" w:hAnsi="Arial"/>
                <w:sz w:val="23"/>
                <w:szCs w:val="23"/>
                <w:color w:val="auto"/>
              </w:rPr>
              <w:t>Names of Reporting Persons</w:t>
            </w:r>
          </w:p>
        </w:tc>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71"/>
        </w:trPr>
        <w:tc>
          <w:tcPr>
            <w:tcW w:w="280" w:type="dxa"/>
            <w:vAlign w:val="bottom"/>
          </w:tcPr>
          <w:p>
            <w:pPr>
              <w:spacing w:after="0"/>
              <w:rPr>
                <w:sz w:val="24"/>
                <w:szCs w:val="24"/>
                <w:color w:val="auto"/>
              </w:rPr>
            </w:pPr>
          </w:p>
        </w:tc>
        <w:tc>
          <w:tcPr>
            <w:tcW w:w="6280" w:type="dxa"/>
            <w:vAlign w:val="bottom"/>
          </w:tcPr>
          <w:p>
            <w:pPr>
              <w:ind w:left="780"/>
              <w:spacing w:after="0"/>
              <w:rPr>
                <w:sz w:val="20"/>
                <w:szCs w:val="20"/>
                <w:color w:val="auto"/>
              </w:rPr>
            </w:pPr>
            <w:r>
              <w:rPr>
                <w:rFonts w:ascii="Arial" w:cs="Arial" w:eastAsia="Arial" w:hAnsi="Arial"/>
                <w:sz w:val="23"/>
                <w:szCs w:val="23"/>
                <w:color w:val="auto"/>
              </w:rPr>
              <w:t>Park West Asset Management LLC</w:t>
            </w:r>
          </w:p>
        </w:tc>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03"/>
        </w:trPr>
        <w:tc>
          <w:tcPr>
            <w:tcW w:w="28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r>
      <w:tr>
        <w:trPr>
          <w:trHeight w:val="341"/>
        </w:trPr>
        <w:tc>
          <w:tcPr>
            <w:tcW w:w="280" w:type="dxa"/>
            <w:vAlign w:val="bottom"/>
          </w:tcPr>
          <w:p>
            <w:pPr>
              <w:jc w:val="right"/>
              <w:spacing w:after="0"/>
              <w:rPr>
                <w:sz w:val="20"/>
                <w:szCs w:val="20"/>
                <w:color w:val="auto"/>
              </w:rPr>
            </w:pPr>
            <w:r>
              <w:rPr>
                <w:rFonts w:ascii="Arial" w:cs="Arial" w:eastAsia="Arial" w:hAnsi="Arial"/>
                <w:sz w:val="23"/>
                <w:szCs w:val="23"/>
                <w:color w:val="auto"/>
                <w:w w:val="85"/>
              </w:rPr>
              <w:t>(2)</w:t>
            </w:r>
          </w:p>
        </w:tc>
        <w:tc>
          <w:tcPr>
            <w:tcW w:w="6280" w:type="dxa"/>
            <w:vAlign w:val="bottom"/>
          </w:tcPr>
          <w:p>
            <w:pPr>
              <w:ind w:left="40"/>
              <w:spacing w:after="0"/>
              <w:rPr>
                <w:sz w:val="20"/>
                <w:szCs w:val="20"/>
                <w:color w:val="auto"/>
              </w:rPr>
            </w:pPr>
            <w:r>
              <w:rPr>
                <w:rFonts w:ascii="Arial" w:cs="Arial" w:eastAsia="Arial" w:hAnsi="Arial"/>
                <w:sz w:val="23"/>
                <w:szCs w:val="23"/>
                <w:color w:val="auto"/>
              </w:rPr>
              <w:t>Check the Appropriate Box if a Member of a Group</w:t>
            </w:r>
          </w:p>
        </w:tc>
        <w:tc>
          <w:tcPr>
            <w:tcW w:w="1980" w:type="dxa"/>
            <w:vAlign w:val="bottom"/>
          </w:tcPr>
          <w:p>
            <w:pPr>
              <w:ind w:left="1480"/>
              <w:spacing w:after="0"/>
              <w:rPr>
                <w:sz w:val="20"/>
                <w:szCs w:val="20"/>
                <w:color w:val="auto"/>
              </w:rPr>
            </w:pPr>
            <w:r>
              <w:rPr>
                <w:rFonts w:ascii="Arial" w:cs="Arial" w:eastAsia="Arial" w:hAnsi="Arial"/>
                <w:sz w:val="23"/>
                <w:szCs w:val="23"/>
                <w:color w:val="auto"/>
              </w:rPr>
              <w:t>(a) [</w:t>
            </w:r>
          </w:p>
        </w:tc>
        <w:tc>
          <w:tcPr>
            <w:tcW w:w="3460" w:type="dxa"/>
            <w:vAlign w:val="bottom"/>
          </w:tcPr>
          <w:p>
            <w:pPr>
              <w:jc w:val="right"/>
              <w:ind w:right="3146"/>
              <w:spacing w:after="0"/>
              <w:rPr>
                <w:sz w:val="20"/>
                <w:szCs w:val="20"/>
                <w:color w:val="auto"/>
              </w:rPr>
            </w:pPr>
            <w:r>
              <w:rPr>
                <w:rFonts w:ascii="Arial" w:cs="Arial" w:eastAsia="Arial" w:hAnsi="Arial"/>
                <w:sz w:val="23"/>
                <w:szCs w:val="23"/>
                <w:color w:val="auto"/>
              </w:rPr>
              <w:t>]</w:t>
            </w:r>
          </w:p>
        </w:tc>
      </w:tr>
      <w:tr>
        <w:trPr>
          <w:trHeight w:val="291"/>
        </w:trPr>
        <w:tc>
          <w:tcPr>
            <w:tcW w:w="2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980" w:type="dxa"/>
            <w:vAlign w:val="bottom"/>
          </w:tcPr>
          <w:p>
            <w:pPr>
              <w:ind w:left="1480"/>
              <w:spacing w:after="0"/>
              <w:rPr>
                <w:sz w:val="20"/>
                <w:szCs w:val="20"/>
                <w:color w:val="auto"/>
              </w:rPr>
            </w:pPr>
            <w:r>
              <w:rPr>
                <w:rFonts w:ascii="Arial" w:cs="Arial" w:eastAsia="Arial" w:hAnsi="Arial"/>
                <w:sz w:val="23"/>
                <w:szCs w:val="23"/>
                <w:color w:val="auto"/>
              </w:rPr>
              <w:t>(b) [</w:t>
            </w:r>
          </w:p>
        </w:tc>
        <w:tc>
          <w:tcPr>
            <w:tcW w:w="3460" w:type="dxa"/>
            <w:vAlign w:val="bottom"/>
          </w:tcPr>
          <w:p>
            <w:pPr>
              <w:jc w:val="right"/>
              <w:ind w:right="3146"/>
              <w:spacing w:after="0"/>
              <w:rPr>
                <w:sz w:val="20"/>
                <w:szCs w:val="20"/>
                <w:color w:val="auto"/>
              </w:rPr>
            </w:pPr>
            <w:r>
              <w:rPr>
                <w:rFonts w:ascii="Arial" w:cs="Arial" w:eastAsia="Arial" w:hAnsi="Arial"/>
                <w:sz w:val="23"/>
                <w:szCs w:val="2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26" w:hanging="326"/>
        <w:spacing w:after="0"/>
        <w:tabs>
          <w:tab w:leader="none" w:pos="326" w:val="left"/>
        </w:tabs>
        <w:numPr>
          <w:ilvl w:val="0"/>
          <w:numId w:val="2"/>
        </w:numPr>
        <w:rPr>
          <w:rFonts w:ascii="Arial" w:cs="Arial" w:eastAsia="Arial" w:hAnsi="Arial"/>
          <w:sz w:val="23"/>
          <w:szCs w:val="23"/>
          <w:color w:val="auto"/>
        </w:rPr>
      </w:pPr>
      <w:r>
        <w:rPr>
          <w:rFonts w:ascii="Arial" w:cs="Arial" w:eastAsia="Arial" w:hAnsi="Arial"/>
          <w:sz w:val="23"/>
          <w:szCs w:val="23"/>
          <w:color w:val="auto"/>
        </w:rPr>
        <w:t>SEC Use Only</w:t>
      </w:r>
    </w:p>
    <w:p>
      <w:pPr>
        <w:spacing w:after="0" w:line="234" w:lineRule="exact"/>
        <w:rPr>
          <w:rFonts w:ascii="Arial" w:cs="Arial" w:eastAsia="Arial" w:hAnsi="Arial"/>
          <w:sz w:val="23"/>
          <w:szCs w:val="23"/>
          <w:color w:val="auto"/>
        </w:rPr>
      </w:pPr>
    </w:p>
    <w:p>
      <w:pPr>
        <w:ind w:left="326" w:hanging="326"/>
        <w:spacing w:after="0"/>
        <w:tabs>
          <w:tab w:leader="none" w:pos="326" w:val="left"/>
        </w:tabs>
        <w:numPr>
          <w:ilvl w:val="0"/>
          <w:numId w:val="2"/>
        </w:numPr>
        <w:rPr>
          <w:rFonts w:ascii="Arial" w:cs="Arial" w:eastAsia="Arial" w:hAnsi="Arial"/>
          <w:sz w:val="23"/>
          <w:szCs w:val="23"/>
          <w:color w:val="auto"/>
        </w:rPr>
      </w:pPr>
      <w:r>
        <w:rPr>
          <w:rFonts w:ascii="Arial" w:cs="Arial" w:eastAsia="Arial" w:hAnsi="Arial"/>
          <w:sz w:val="23"/>
          <w:szCs w:val="23"/>
          <w:color w:val="auto"/>
        </w:rPr>
        <w:t>Citizenship or Place of Organization</w:t>
      </w:r>
    </w:p>
    <w:p>
      <w:pPr>
        <w:spacing w:after="0" w:line="111" w:lineRule="exact"/>
        <w:rPr>
          <w:rFonts w:ascii="Arial" w:cs="Arial" w:eastAsia="Arial" w:hAnsi="Arial"/>
          <w:sz w:val="23"/>
          <w:szCs w:val="23"/>
          <w:color w:val="auto"/>
        </w:rPr>
      </w:pPr>
    </w:p>
    <w:p>
      <w:pPr>
        <w:ind w:left="1066"/>
        <w:spacing w:after="0"/>
        <w:rPr>
          <w:rFonts w:ascii="Arial" w:cs="Arial" w:eastAsia="Arial" w:hAnsi="Arial"/>
          <w:sz w:val="23"/>
          <w:szCs w:val="23"/>
          <w:color w:val="auto"/>
        </w:rPr>
      </w:pPr>
      <w:r>
        <w:rPr>
          <w:rFonts w:ascii="Arial" w:cs="Arial" w:eastAsia="Arial" w:hAnsi="Arial"/>
          <w:sz w:val="21"/>
          <w:szCs w:val="2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-457835</wp:posOffset>
            </wp:positionV>
            <wp:extent cx="7625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33" w:lineRule="exact"/>
        <w:rPr>
          <w:sz w:val="20"/>
          <w:szCs w:val="20"/>
          <w:color w:val="auto"/>
        </w:rPr>
      </w:pPr>
    </w:p>
    <w:tbl>
      <w:tblPr>
        <w:tblLayout w:type="fixed"/>
        <w:tblInd w:w="6" w:type="dxa"/>
        <w:tblCellMar>
          <w:top w:w="0" w:type="dxa"/>
          <w:left w:w="0" w:type="dxa"/>
          <w:bottom w:w="0" w:type="dxa"/>
          <w:right w:w="0" w:type="dxa"/>
        </w:tblCellMar>
      </w:tblPr>
      <w:tr>
        <w:trPr>
          <w:trHeight w:val="291"/>
        </w:trPr>
        <w:tc>
          <w:tcPr>
            <w:tcW w:w="8480" w:type="dxa"/>
            <w:vAlign w:val="bottom"/>
            <w:gridSpan w:val="3"/>
          </w:tcPr>
          <w:p>
            <w:pPr>
              <w:spacing w:after="0"/>
              <w:rPr>
                <w:sz w:val="20"/>
                <w:szCs w:val="20"/>
                <w:color w:val="auto"/>
              </w:rPr>
            </w:pPr>
            <w:r>
              <w:rPr>
                <w:rFonts w:ascii="Arial" w:cs="Arial" w:eastAsia="Arial" w:hAnsi="Arial"/>
                <w:sz w:val="23"/>
                <w:szCs w:val="23"/>
                <w:color w:val="auto"/>
              </w:rPr>
              <w:t>Number of Shares Beneficially Owned By Each Reporting Person With</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040" w:type="dxa"/>
            <w:vAlign w:val="bottom"/>
            <w:gridSpan w:val="2"/>
          </w:tcPr>
          <w:p>
            <w:pPr>
              <w:jc w:val="right"/>
              <w:spacing w:after="0"/>
              <w:rPr>
                <w:sz w:val="20"/>
                <w:szCs w:val="20"/>
                <w:color w:val="auto"/>
              </w:rPr>
            </w:pPr>
            <w:r>
              <w:rPr>
                <w:rFonts w:ascii="Arial" w:cs="Arial" w:eastAsia="Arial" w:hAnsi="Arial"/>
                <w:sz w:val="23"/>
                <w:szCs w:val="23"/>
                <w:color w:val="auto"/>
              </w:rPr>
              <w:t>(5)</w:t>
            </w:r>
          </w:p>
        </w:tc>
        <w:tc>
          <w:tcPr>
            <w:tcW w:w="5440" w:type="dxa"/>
            <w:vAlign w:val="bottom"/>
          </w:tcPr>
          <w:p>
            <w:pPr>
              <w:ind w:left="40"/>
              <w:spacing w:after="0"/>
              <w:rPr>
                <w:sz w:val="20"/>
                <w:szCs w:val="20"/>
                <w:color w:val="auto"/>
              </w:rPr>
            </w:pPr>
            <w:r>
              <w:rPr>
                <w:rFonts w:ascii="Arial" w:cs="Arial" w:eastAsia="Arial" w:hAnsi="Arial"/>
                <w:sz w:val="23"/>
                <w:szCs w:val="23"/>
                <w:color w:val="auto"/>
              </w:rPr>
              <w:t>Sole Voting Power:</w:t>
            </w:r>
          </w:p>
        </w:tc>
        <w:tc>
          <w:tcPr>
            <w:tcW w:w="2920" w:type="dxa"/>
            <w:vAlign w:val="bottom"/>
          </w:tcPr>
          <w:p>
            <w:pPr>
              <w:jc w:val="right"/>
              <w:ind w:right="106"/>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46"/>
        </w:trPr>
        <w:tc>
          <w:tcPr>
            <w:tcW w:w="2640" w:type="dxa"/>
            <w:vAlign w:val="bottom"/>
            <w:vMerge w:val="restart"/>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640" w:type="dxa"/>
            <w:vAlign w:val="bottom"/>
            <w:vMerge w:val="continue"/>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3"/>
                <w:szCs w:val="23"/>
                <w:color w:val="auto"/>
              </w:rPr>
              <w:t>(6)</w:t>
            </w:r>
          </w:p>
        </w:tc>
        <w:tc>
          <w:tcPr>
            <w:tcW w:w="5440" w:type="dxa"/>
            <w:vAlign w:val="bottom"/>
          </w:tcPr>
          <w:p>
            <w:pPr>
              <w:ind w:left="40"/>
              <w:spacing w:after="0"/>
              <w:rPr>
                <w:sz w:val="20"/>
                <w:szCs w:val="20"/>
                <w:color w:val="auto"/>
              </w:rPr>
            </w:pPr>
            <w:r>
              <w:rPr>
                <w:rFonts w:ascii="Arial" w:cs="Arial" w:eastAsia="Arial" w:hAnsi="Arial"/>
                <w:sz w:val="23"/>
                <w:szCs w:val="23"/>
                <w:color w:val="auto"/>
              </w:rPr>
              <w:t>Shared Voting Power:</w:t>
            </w:r>
          </w:p>
        </w:tc>
        <w:tc>
          <w:tcPr>
            <w:tcW w:w="2920" w:type="dxa"/>
            <w:vAlign w:val="bottom"/>
          </w:tcPr>
          <w:p>
            <w:pPr>
              <w:jc w:val="right"/>
              <w:spacing w:after="0"/>
              <w:rPr>
                <w:sz w:val="20"/>
                <w:szCs w:val="20"/>
                <w:color w:val="auto"/>
              </w:rPr>
            </w:pPr>
            <w:r>
              <w:rPr>
                <w:rFonts w:ascii="Arial" w:cs="Arial" w:eastAsia="Arial" w:hAnsi="Arial"/>
                <w:sz w:val="23"/>
                <w:szCs w:val="23"/>
                <w:color w:val="auto"/>
              </w:rPr>
              <w:t>967,448*</w:t>
            </w:r>
          </w:p>
        </w:tc>
        <w:tc>
          <w:tcPr>
            <w:tcW w:w="0" w:type="dxa"/>
            <w:vAlign w:val="bottom"/>
          </w:tcPr>
          <w:p>
            <w:pPr>
              <w:spacing w:after="0"/>
              <w:rPr>
                <w:sz w:val="1"/>
                <w:szCs w:val="1"/>
                <w:color w:val="auto"/>
              </w:rPr>
            </w:pPr>
          </w:p>
        </w:tc>
      </w:tr>
      <w:tr>
        <w:trPr>
          <w:trHeight w:val="22"/>
        </w:trPr>
        <w:tc>
          <w:tcPr>
            <w:tcW w:w="26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2640" w:type="dxa"/>
            <w:vAlign w:val="bottom"/>
            <w:vMerge w:val="continue"/>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3"/>
                <w:szCs w:val="23"/>
                <w:color w:val="auto"/>
              </w:rPr>
              <w:t>(7)</w:t>
            </w:r>
          </w:p>
        </w:tc>
        <w:tc>
          <w:tcPr>
            <w:tcW w:w="5440" w:type="dxa"/>
            <w:vAlign w:val="bottom"/>
          </w:tcPr>
          <w:p>
            <w:pPr>
              <w:ind w:left="40"/>
              <w:spacing w:after="0"/>
              <w:rPr>
                <w:sz w:val="20"/>
                <w:szCs w:val="20"/>
                <w:color w:val="auto"/>
              </w:rPr>
            </w:pPr>
            <w:r>
              <w:rPr>
                <w:rFonts w:ascii="Arial" w:cs="Arial" w:eastAsia="Arial" w:hAnsi="Arial"/>
                <w:sz w:val="23"/>
                <w:szCs w:val="23"/>
                <w:color w:val="auto"/>
              </w:rPr>
              <w:t>Sole Dispositive Power:</w:t>
            </w:r>
          </w:p>
        </w:tc>
        <w:tc>
          <w:tcPr>
            <w:tcW w:w="2920" w:type="dxa"/>
            <w:vAlign w:val="bottom"/>
          </w:tcPr>
          <w:p>
            <w:pPr>
              <w:jc w:val="right"/>
              <w:ind w:right="106"/>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2"/>
        </w:trPr>
        <w:tc>
          <w:tcPr>
            <w:tcW w:w="26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2640" w:type="dxa"/>
            <w:vAlign w:val="bottom"/>
            <w:vMerge w:val="continue"/>
          </w:tcPr>
          <w:p>
            <w:pPr>
              <w:spacing w:after="0"/>
              <w:rPr>
                <w:sz w:val="21"/>
                <w:szCs w:val="21"/>
                <w:color w:val="auto"/>
              </w:rPr>
            </w:pPr>
          </w:p>
        </w:tc>
        <w:tc>
          <w:tcPr>
            <w:tcW w:w="40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3"/>
                <w:szCs w:val="23"/>
                <w:color w:val="auto"/>
              </w:rPr>
              <w:t>(8)</w:t>
            </w:r>
          </w:p>
        </w:tc>
        <w:tc>
          <w:tcPr>
            <w:tcW w:w="5440" w:type="dxa"/>
            <w:vAlign w:val="bottom"/>
            <w:tcBorders>
              <w:bottom w:val="single" w:sz="8" w:color="auto"/>
            </w:tcBorders>
          </w:tcPr>
          <w:p>
            <w:pPr>
              <w:ind w:left="40"/>
              <w:spacing w:after="0" w:line="251" w:lineRule="exact"/>
              <w:rPr>
                <w:sz w:val="20"/>
                <w:szCs w:val="20"/>
                <w:color w:val="auto"/>
              </w:rPr>
            </w:pPr>
            <w:r>
              <w:rPr>
                <w:rFonts w:ascii="Arial" w:cs="Arial" w:eastAsia="Arial" w:hAnsi="Arial"/>
                <w:sz w:val="23"/>
                <w:szCs w:val="23"/>
                <w:color w:val="auto"/>
              </w:rPr>
              <w:t>Shared Dispositive Power:</w:t>
            </w:r>
          </w:p>
        </w:tc>
        <w:tc>
          <w:tcPr>
            <w:tcW w:w="292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3"/>
                <w:szCs w:val="23"/>
                <w:color w:val="auto"/>
              </w:rPr>
              <w:t>967,448*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625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27" w:lineRule="exact"/>
        <w:rPr>
          <w:sz w:val="20"/>
          <w:szCs w:val="20"/>
          <w:color w:val="auto"/>
        </w:rPr>
      </w:pPr>
    </w:p>
    <w:p>
      <w:pPr>
        <w:ind w:left="1066" w:right="5600" w:hanging="1066"/>
        <w:spacing w:after="0" w:line="360" w:lineRule="auto"/>
        <w:tabs>
          <w:tab w:leader="none" w:pos="317" w:val="left"/>
        </w:tabs>
        <w:numPr>
          <w:ilvl w:val="0"/>
          <w:numId w:val="3"/>
        </w:numPr>
        <w:rPr>
          <w:rFonts w:ascii="Arial" w:cs="Arial" w:eastAsia="Arial" w:hAnsi="Arial"/>
          <w:sz w:val="23"/>
          <w:szCs w:val="23"/>
          <w:color w:val="auto"/>
        </w:rPr>
      </w:pPr>
      <w:r>
        <w:rPr>
          <w:rFonts w:ascii="Arial" w:cs="Arial" w:eastAsia="Arial" w:hAnsi="Arial"/>
          <w:sz w:val="23"/>
          <w:szCs w:val="23"/>
          <w:color w:val="auto"/>
        </w:rPr>
        <w:t>Aggregate Amount Beneficially Owned by Each Reporting Person 967,448*</w:t>
      </w:r>
    </w:p>
    <w:p>
      <w:pPr>
        <w:spacing w:after="0" w:line="76" w:lineRule="exact"/>
        <w:rPr>
          <w:rFonts w:ascii="Arial" w:cs="Arial" w:eastAsia="Arial" w:hAnsi="Arial"/>
          <w:sz w:val="23"/>
          <w:szCs w:val="23"/>
          <w:color w:val="auto"/>
        </w:rPr>
      </w:pPr>
    </w:p>
    <w:p>
      <w:pPr>
        <w:ind w:left="446" w:hanging="446"/>
        <w:spacing w:after="0"/>
        <w:tabs>
          <w:tab w:leader="none" w:pos="446" w:val="left"/>
        </w:tabs>
        <w:numPr>
          <w:ilvl w:val="0"/>
          <w:numId w:val="3"/>
        </w:numPr>
        <w:rPr>
          <w:rFonts w:ascii="Arial" w:cs="Arial" w:eastAsia="Arial" w:hAnsi="Arial"/>
          <w:sz w:val="23"/>
          <w:szCs w:val="23"/>
          <w:color w:val="auto"/>
        </w:rPr>
      </w:pPr>
      <w:r>
        <w:rPr>
          <w:rFonts w:ascii="Arial" w:cs="Arial" w:eastAsia="Arial" w:hAnsi="Arial"/>
          <w:sz w:val="23"/>
          <w:szCs w:val="23"/>
          <w:color w:val="auto"/>
        </w:rPr>
        <w:t>Check if the Aggregate Amount in Row (9) Excludes Certain Shares (See Instructions):</w:t>
      </w:r>
    </w:p>
    <w:p>
      <w:pPr>
        <w:spacing w:after="0" w:line="111" w:lineRule="exact"/>
        <w:rPr>
          <w:rFonts w:ascii="Arial" w:cs="Arial" w:eastAsia="Arial" w:hAnsi="Arial"/>
          <w:sz w:val="23"/>
          <w:szCs w:val="23"/>
          <w:color w:val="auto"/>
        </w:rPr>
      </w:pPr>
    </w:p>
    <w:p>
      <w:pPr>
        <w:ind w:left="1066"/>
        <w:spacing w:after="0"/>
        <w:rPr>
          <w:rFonts w:ascii="Arial" w:cs="Arial" w:eastAsia="Arial" w:hAnsi="Arial"/>
          <w:sz w:val="23"/>
          <w:szCs w:val="23"/>
          <w:color w:val="auto"/>
        </w:rPr>
      </w:pPr>
      <w:r>
        <w:rPr>
          <w:rFonts w:ascii="Arial" w:cs="Arial" w:eastAsia="Arial" w:hAnsi="Arial"/>
          <w:sz w:val="21"/>
          <w:szCs w:val="21"/>
          <w:color w:val="auto"/>
        </w:rPr>
        <w:t>[  ]</w:t>
      </w:r>
    </w:p>
    <w:p>
      <w:pPr>
        <w:spacing w:after="0" w:line="252" w:lineRule="exact"/>
        <w:rPr>
          <w:rFonts w:ascii="Arial" w:cs="Arial" w:eastAsia="Arial" w:hAnsi="Arial"/>
          <w:sz w:val="23"/>
          <w:szCs w:val="23"/>
          <w:color w:val="auto"/>
        </w:rPr>
      </w:pPr>
    </w:p>
    <w:p>
      <w:pPr>
        <w:ind w:left="426" w:hanging="426"/>
        <w:spacing w:after="0"/>
        <w:tabs>
          <w:tab w:leader="none" w:pos="426" w:val="left"/>
        </w:tabs>
        <w:numPr>
          <w:ilvl w:val="0"/>
          <w:numId w:val="3"/>
        </w:numPr>
        <w:rPr>
          <w:rFonts w:ascii="Arial" w:cs="Arial" w:eastAsia="Arial" w:hAnsi="Arial"/>
          <w:sz w:val="23"/>
          <w:szCs w:val="23"/>
          <w:color w:val="auto"/>
        </w:rPr>
      </w:pPr>
      <w:r>
        <w:rPr>
          <w:rFonts w:ascii="Arial" w:cs="Arial" w:eastAsia="Arial" w:hAnsi="Arial"/>
          <w:sz w:val="23"/>
          <w:szCs w:val="23"/>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625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-786130</wp:posOffset>
            </wp:positionV>
            <wp:extent cx="7625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86" w:lineRule="exact"/>
        <w:rPr>
          <w:sz w:val="20"/>
          <w:szCs w:val="20"/>
          <w:color w:val="auto"/>
        </w:rPr>
      </w:pPr>
    </w:p>
    <w:p>
      <w:pPr>
        <w:ind w:left="1066"/>
        <w:spacing w:after="0"/>
        <w:rPr>
          <w:sz w:val="20"/>
          <w:szCs w:val="20"/>
          <w:color w:val="auto"/>
        </w:rPr>
      </w:pPr>
      <w:r>
        <w:rPr>
          <w:rFonts w:ascii="Arial" w:cs="Arial" w:eastAsia="Arial" w:hAnsi="Arial"/>
          <w:sz w:val="23"/>
          <w:szCs w:val="2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625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5" w:lineRule="exact"/>
        <w:rPr>
          <w:sz w:val="20"/>
          <w:szCs w:val="20"/>
          <w:color w:val="auto"/>
        </w:rPr>
      </w:pPr>
    </w:p>
    <w:p>
      <w:pPr>
        <w:ind w:left="446" w:hanging="446"/>
        <w:spacing w:after="0"/>
        <w:tabs>
          <w:tab w:leader="none" w:pos="446" w:val="left"/>
        </w:tabs>
        <w:numPr>
          <w:ilvl w:val="0"/>
          <w:numId w:val="4"/>
        </w:numPr>
        <w:rPr>
          <w:rFonts w:ascii="Arial" w:cs="Arial" w:eastAsia="Arial" w:hAnsi="Arial"/>
          <w:sz w:val="23"/>
          <w:szCs w:val="23"/>
          <w:color w:val="auto"/>
        </w:rPr>
      </w:pPr>
      <w:r>
        <w:rPr>
          <w:rFonts w:ascii="Arial" w:cs="Arial" w:eastAsia="Arial" w:hAnsi="Arial"/>
          <w:sz w:val="23"/>
          <w:szCs w:val="23"/>
          <w:color w:val="auto"/>
        </w:rPr>
        <w:t>Type of Reporting Person</w:t>
      </w:r>
    </w:p>
    <w:p>
      <w:pPr>
        <w:spacing w:after="0" w:line="111" w:lineRule="exact"/>
        <w:rPr>
          <w:rFonts w:ascii="Arial" w:cs="Arial" w:eastAsia="Arial" w:hAnsi="Arial"/>
          <w:sz w:val="23"/>
          <w:szCs w:val="23"/>
          <w:color w:val="auto"/>
        </w:rPr>
      </w:pPr>
    </w:p>
    <w:p>
      <w:pPr>
        <w:ind w:left="1066"/>
        <w:spacing w:after="0"/>
        <w:rPr>
          <w:rFonts w:ascii="Arial" w:cs="Arial" w:eastAsia="Arial" w:hAnsi="Arial"/>
          <w:sz w:val="23"/>
          <w:szCs w:val="23"/>
          <w:color w:val="auto"/>
        </w:rPr>
      </w:pPr>
      <w:r>
        <w:rPr>
          <w:rFonts w:ascii="Arial" w:cs="Arial" w:eastAsia="Arial" w:hAnsi="Arial"/>
          <w:sz w:val="21"/>
          <w:szCs w:val="2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625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5" w:lineRule="exact"/>
        <w:rPr>
          <w:sz w:val="20"/>
          <w:szCs w:val="20"/>
          <w:color w:val="auto"/>
        </w:rPr>
      </w:pPr>
    </w:p>
    <w:p>
      <w:pPr>
        <w:jc w:val="both"/>
        <w:ind w:left="6" w:hanging="6"/>
        <w:spacing w:after="0" w:line="287" w:lineRule="auto"/>
        <w:tabs>
          <w:tab w:leader="none" w:pos="177" w:val="left"/>
        </w:tabs>
        <w:numPr>
          <w:ilvl w:val="0"/>
          <w:numId w:val="5"/>
        </w:numPr>
        <w:rPr>
          <w:rFonts w:ascii="Arial" w:cs="Arial" w:eastAsia="Arial" w:hAnsi="Arial"/>
          <w:sz w:val="17"/>
          <w:szCs w:val="17"/>
          <w:color w:val="auto"/>
        </w:rPr>
      </w:pPr>
      <w:r>
        <w:rPr>
          <w:rFonts w:ascii="Arial" w:cs="Arial" w:eastAsia="Arial" w:hAnsi="Arial"/>
          <w:sz w:val="17"/>
          <w:szCs w:val="17"/>
          <w:color w:val="auto"/>
        </w:rPr>
        <w:t>Beneficial ownership percentage is based upon 12,013,682 shares of common stock, $0.001 par value per share (“Common Stock”), of OptimizeRx Corporation, a Nevada corporation (the “Company”), issued and outstanding as of October 31, 2018, based on information reported by the Company in its Quarterly Report on Form 10-Q, filed with the Securities and Exchange Commission on November 5, 2018. Park West Asset Management LLC (“PWAM”) is the investment manager to Park West Investors Master Fund, Limited, a Cayman Islands exempted company (“PWIMF”), and Park West Partners International, Limited, a Cayman Islands exempted company (“PWPI” and, collectively with PWIMF, the “PW Funds”), and Peter S. Park (“Mr. Park” and, collectively with PWAM and PWIMF, the “Reporting Persons”) is the sole member and manager of PWAM. As of December 31, 2018, PWIMF held 871,411 shares of Common Stock and PWPI held 96,037 shares of Common Stock. As a result of the foregoing, for purposes of Reg. Section 240.13d-3, PWAM and Mr. Park may be deemed to beneficially own the 967,448 shares of Common Stock held in the aggregate by the PW Funds for an aggregate beneficial ownership percentage of approximately 8.1% of the shares of Common Stock deemed issued and outstanding as of December 31, 2018.</w:t>
      </w:r>
    </w:p>
    <w:p>
      <w:pPr>
        <w:sectPr>
          <w:pgSz w:w="12240" w:h="15840" w:orient="portrait"/>
          <w:cols w:equalWidth="0" w:num="1">
            <w:col w:w="12006"/>
          </w:cols>
          <w:pgMar w:left="114" w:top="603" w:right="120" w:bottom="1440" w:gutter="0" w:footer="0" w:header="0"/>
        </w:sectPr>
      </w:pPr>
    </w:p>
    <w:bookmarkStart w:id="2" w:name="page3"/>
    <w:bookmarkEnd w:id="2"/>
    <w:p>
      <w:pPr>
        <w:ind w:left="106"/>
        <w:spacing w:after="0"/>
        <w:rPr>
          <w:sz w:val="20"/>
          <w:szCs w:val="20"/>
          <w:color w:val="auto"/>
        </w:rPr>
      </w:pPr>
      <w:r>
        <w:rPr>
          <w:rFonts w:ascii="Arial" w:cs="Arial" w:eastAsia="Arial" w:hAnsi="Arial"/>
          <w:sz w:val="23"/>
          <w:szCs w:val="23"/>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291"/>
        </w:trPr>
        <w:tc>
          <w:tcPr>
            <w:tcW w:w="280" w:type="dxa"/>
            <w:vAlign w:val="bottom"/>
          </w:tcPr>
          <w:p>
            <w:pPr>
              <w:jc w:val="right"/>
              <w:spacing w:after="0"/>
              <w:rPr>
                <w:sz w:val="20"/>
                <w:szCs w:val="20"/>
                <w:color w:val="auto"/>
              </w:rPr>
            </w:pPr>
            <w:r>
              <w:rPr>
                <w:rFonts w:ascii="Arial" w:cs="Arial" w:eastAsia="Arial" w:hAnsi="Arial"/>
                <w:sz w:val="23"/>
                <w:szCs w:val="23"/>
                <w:color w:val="auto"/>
                <w:w w:val="85"/>
              </w:rPr>
              <w:t>(1)</w:t>
            </w:r>
          </w:p>
        </w:tc>
        <w:tc>
          <w:tcPr>
            <w:tcW w:w="6280" w:type="dxa"/>
            <w:vAlign w:val="bottom"/>
          </w:tcPr>
          <w:p>
            <w:pPr>
              <w:ind w:left="40"/>
              <w:spacing w:after="0"/>
              <w:rPr>
                <w:sz w:val="20"/>
                <w:szCs w:val="20"/>
                <w:color w:val="auto"/>
              </w:rPr>
            </w:pPr>
            <w:r>
              <w:rPr>
                <w:rFonts w:ascii="Arial" w:cs="Arial" w:eastAsia="Arial" w:hAnsi="Arial"/>
                <w:sz w:val="23"/>
                <w:szCs w:val="23"/>
                <w:color w:val="auto"/>
              </w:rPr>
              <w:t>Names of Reporting Persons</w:t>
            </w:r>
          </w:p>
        </w:tc>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71"/>
        </w:trPr>
        <w:tc>
          <w:tcPr>
            <w:tcW w:w="280" w:type="dxa"/>
            <w:vAlign w:val="bottom"/>
          </w:tcPr>
          <w:p>
            <w:pPr>
              <w:spacing w:after="0"/>
              <w:rPr>
                <w:sz w:val="24"/>
                <w:szCs w:val="24"/>
                <w:color w:val="auto"/>
              </w:rPr>
            </w:pPr>
          </w:p>
        </w:tc>
        <w:tc>
          <w:tcPr>
            <w:tcW w:w="6280" w:type="dxa"/>
            <w:vAlign w:val="bottom"/>
          </w:tcPr>
          <w:p>
            <w:pPr>
              <w:ind w:left="780"/>
              <w:spacing w:after="0"/>
              <w:rPr>
                <w:sz w:val="20"/>
                <w:szCs w:val="20"/>
                <w:color w:val="auto"/>
              </w:rPr>
            </w:pPr>
            <w:r>
              <w:rPr>
                <w:rFonts w:ascii="Arial" w:cs="Arial" w:eastAsia="Arial" w:hAnsi="Arial"/>
                <w:sz w:val="23"/>
                <w:szCs w:val="23"/>
                <w:color w:val="auto"/>
              </w:rPr>
              <w:t>Park West Investors Master Fund, Limited</w:t>
            </w:r>
          </w:p>
        </w:tc>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03"/>
        </w:trPr>
        <w:tc>
          <w:tcPr>
            <w:tcW w:w="28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r>
      <w:tr>
        <w:trPr>
          <w:trHeight w:val="341"/>
        </w:trPr>
        <w:tc>
          <w:tcPr>
            <w:tcW w:w="280" w:type="dxa"/>
            <w:vAlign w:val="bottom"/>
          </w:tcPr>
          <w:p>
            <w:pPr>
              <w:jc w:val="right"/>
              <w:spacing w:after="0"/>
              <w:rPr>
                <w:sz w:val="20"/>
                <w:szCs w:val="20"/>
                <w:color w:val="auto"/>
              </w:rPr>
            </w:pPr>
            <w:r>
              <w:rPr>
                <w:rFonts w:ascii="Arial" w:cs="Arial" w:eastAsia="Arial" w:hAnsi="Arial"/>
                <w:sz w:val="23"/>
                <w:szCs w:val="23"/>
                <w:color w:val="auto"/>
                <w:w w:val="85"/>
              </w:rPr>
              <w:t>(2)</w:t>
            </w:r>
          </w:p>
        </w:tc>
        <w:tc>
          <w:tcPr>
            <w:tcW w:w="6280" w:type="dxa"/>
            <w:vAlign w:val="bottom"/>
          </w:tcPr>
          <w:p>
            <w:pPr>
              <w:ind w:left="40"/>
              <w:spacing w:after="0"/>
              <w:rPr>
                <w:sz w:val="20"/>
                <w:szCs w:val="20"/>
                <w:color w:val="auto"/>
              </w:rPr>
            </w:pPr>
            <w:r>
              <w:rPr>
                <w:rFonts w:ascii="Arial" w:cs="Arial" w:eastAsia="Arial" w:hAnsi="Arial"/>
                <w:sz w:val="23"/>
                <w:szCs w:val="23"/>
                <w:color w:val="auto"/>
              </w:rPr>
              <w:t>Check the Appropriate Box if a Member of a Group</w:t>
            </w:r>
          </w:p>
        </w:tc>
        <w:tc>
          <w:tcPr>
            <w:tcW w:w="1980" w:type="dxa"/>
            <w:vAlign w:val="bottom"/>
          </w:tcPr>
          <w:p>
            <w:pPr>
              <w:ind w:left="1480"/>
              <w:spacing w:after="0"/>
              <w:rPr>
                <w:sz w:val="20"/>
                <w:szCs w:val="20"/>
                <w:color w:val="auto"/>
              </w:rPr>
            </w:pPr>
            <w:r>
              <w:rPr>
                <w:rFonts w:ascii="Arial" w:cs="Arial" w:eastAsia="Arial" w:hAnsi="Arial"/>
                <w:sz w:val="23"/>
                <w:szCs w:val="23"/>
                <w:color w:val="auto"/>
              </w:rPr>
              <w:t>(a) [</w:t>
            </w:r>
          </w:p>
        </w:tc>
        <w:tc>
          <w:tcPr>
            <w:tcW w:w="3460" w:type="dxa"/>
            <w:vAlign w:val="bottom"/>
          </w:tcPr>
          <w:p>
            <w:pPr>
              <w:jc w:val="right"/>
              <w:ind w:right="3146"/>
              <w:spacing w:after="0"/>
              <w:rPr>
                <w:sz w:val="20"/>
                <w:szCs w:val="20"/>
                <w:color w:val="auto"/>
              </w:rPr>
            </w:pPr>
            <w:r>
              <w:rPr>
                <w:rFonts w:ascii="Arial" w:cs="Arial" w:eastAsia="Arial" w:hAnsi="Arial"/>
                <w:sz w:val="23"/>
                <w:szCs w:val="23"/>
                <w:color w:val="auto"/>
              </w:rPr>
              <w:t>]</w:t>
            </w:r>
          </w:p>
        </w:tc>
      </w:tr>
      <w:tr>
        <w:trPr>
          <w:trHeight w:val="291"/>
        </w:trPr>
        <w:tc>
          <w:tcPr>
            <w:tcW w:w="2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980" w:type="dxa"/>
            <w:vAlign w:val="bottom"/>
          </w:tcPr>
          <w:p>
            <w:pPr>
              <w:ind w:left="1480"/>
              <w:spacing w:after="0"/>
              <w:rPr>
                <w:sz w:val="20"/>
                <w:szCs w:val="20"/>
                <w:color w:val="auto"/>
              </w:rPr>
            </w:pPr>
            <w:r>
              <w:rPr>
                <w:rFonts w:ascii="Arial" w:cs="Arial" w:eastAsia="Arial" w:hAnsi="Arial"/>
                <w:sz w:val="23"/>
                <w:szCs w:val="23"/>
                <w:color w:val="auto"/>
              </w:rPr>
              <w:t>(b) [</w:t>
            </w:r>
          </w:p>
        </w:tc>
        <w:tc>
          <w:tcPr>
            <w:tcW w:w="3460" w:type="dxa"/>
            <w:vAlign w:val="bottom"/>
          </w:tcPr>
          <w:p>
            <w:pPr>
              <w:jc w:val="right"/>
              <w:ind w:right="3146"/>
              <w:spacing w:after="0"/>
              <w:rPr>
                <w:sz w:val="20"/>
                <w:szCs w:val="20"/>
                <w:color w:val="auto"/>
              </w:rPr>
            </w:pPr>
            <w:r>
              <w:rPr>
                <w:rFonts w:ascii="Arial" w:cs="Arial" w:eastAsia="Arial" w:hAnsi="Arial"/>
                <w:sz w:val="23"/>
                <w:szCs w:val="2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625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26" w:hanging="326"/>
        <w:spacing w:after="0"/>
        <w:tabs>
          <w:tab w:leader="none" w:pos="326" w:val="left"/>
        </w:tabs>
        <w:numPr>
          <w:ilvl w:val="0"/>
          <w:numId w:val="6"/>
        </w:numPr>
        <w:rPr>
          <w:rFonts w:ascii="Arial" w:cs="Arial" w:eastAsia="Arial" w:hAnsi="Arial"/>
          <w:sz w:val="23"/>
          <w:szCs w:val="23"/>
          <w:color w:val="auto"/>
        </w:rPr>
      </w:pPr>
      <w:r>
        <w:rPr>
          <w:rFonts w:ascii="Arial" w:cs="Arial" w:eastAsia="Arial" w:hAnsi="Arial"/>
          <w:sz w:val="23"/>
          <w:szCs w:val="23"/>
          <w:color w:val="auto"/>
        </w:rPr>
        <w:t>SEC Use Only</w:t>
      </w:r>
    </w:p>
    <w:p>
      <w:pPr>
        <w:spacing w:after="0" w:line="234" w:lineRule="exact"/>
        <w:rPr>
          <w:rFonts w:ascii="Arial" w:cs="Arial" w:eastAsia="Arial" w:hAnsi="Arial"/>
          <w:sz w:val="23"/>
          <w:szCs w:val="23"/>
          <w:color w:val="auto"/>
        </w:rPr>
      </w:pPr>
    </w:p>
    <w:p>
      <w:pPr>
        <w:ind w:left="326" w:hanging="326"/>
        <w:spacing w:after="0"/>
        <w:tabs>
          <w:tab w:leader="none" w:pos="326" w:val="left"/>
        </w:tabs>
        <w:numPr>
          <w:ilvl w:val="0"/>
          <w:numId w:val="6"/>
        </w:numPr>
        <w:rPr>
          <w:rFonts w:ascii="Arial" w:cs="Arial" w:eastAsia="Arial" w:hAnsi="Arial"/>
          <w:sz w:val="23"/>
          <w:szCs w:val="23"/>
          <w:color w:val="auto"/>
        </w:rPr>
      </w:pPr>
      <w:r>
        <w:rPr>
          <w:rFonts w:ascii="Arial" w:cs="Arial" w:eastAsia="Arial" w:hAnsi="Arial"/>
          <w:sz w:val="23"/>
          <w:szCs w:val="23"/>
          <w:color w:val="auto"/>
        </w:rPr>
        <w:t>Citizenship or Place of Organization</w:t>
      </w:r>
    </w:p>
    <w:p>
      <w:pPr>
        <w:spacing w:after="0" w:line="111" w:lineRule="exact"/>
        <w:rPr>
          <w:rFonts w:ascii="Arial" w:cs="Arial" w:eastAsia="Arial" w:hAnsi="Arial"/>
          <w:sz w:val="23"/>
          <w:szCs w:val="23"/>
          <w:color w:val="auto"/>
        </w:rPr>
      </w:pPr>
    </w:p>
    <w:p>
      <w:pPr>
        <w:ind w:left="1066"/>
        <w:spacing w:after="0"/>
        <w:rPr>
          <w:rFonts w:ascii="Arial" w:cs="Arial" w:eastAsia="Arial" w:hAnsi="Arial"/>
          <w:sz w:val="23"/>
          <w:szCs w:val="23"/>
          <w:color w:val="auto"/>
        </w:rPr>
      </w:pPr>
      <w:r>
        <w:rPr>
          <w:rFonts w:ascii="Arial" w:cs="Arial" w:eastAsia="Arial" w:hAnsi="Arial"/>
          <w:sz w:val="21"/>
          <w:szCs w:val="2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625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-457835</wp:posOffset>
            </wp:positionV>
            <wp:extent cx="7625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33" w:lineRule="exact"/>
        <w:rPr>
          <w:sz w:val="20"/>
          <w:szCs w:val="20"/>
          <w:color w:val="auto"/>
        </w:rPr>
      </w:pPr>
    </w:p>
    <w:tbl>
      <w:tblPr>
        <w:tblLayout w:type="fixed"/>
        <w:tblInd w:w="6" w:type="dxa"/>
        <w:tblCellMar>
          <w:top w:w="0" w:type="dxa"/>
          <w:left w:w="0" w:type="dxa"/>
          <w:bottom w:w="0" w:type="dxa"/>
          <w:right w:w="0" w:type="dxa"/>
        </w:tblCellMar>
      </w:tblPr>
      <w:tr>
        <w:trPr>
          <w:trHeight w:val="291"/>
        </w:trPr>
        <w:tc>
          <w:tcPr>
            <w:tcW w:w="8500" w:type="dxa"/>
            <w:vAlign w:val="bottom"/>
            <w:gridSpan w:val="3"/>
          </w:tcPr>
          <w:p>
            <w:pPr>
              <w:spacing w:after="0"/>
              <w:rPr>
                <w:sz w:val="20"/>
                <w:szCs w:val="20"/>
                <w:color w:val="auto"/>
              </w:rPr>
            </w:pPr>
            <w:r>
              <w:rPr>
                <w:rFonts w:ascii="Arial" w:cs="Arial" w:eastAsia="Arial" w:hAnsi="Arial"/>
                <w:sz w:val="23"/>
                <w:szCs w:val="23"/>
                <w:color w:val="auto"/>
              </w:rPr>
              <w:t>Number of Shares Beneficially Owned By Each Reporting Person With</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040" w:type="dxa"/>
            <w:vAlign w:val="bottom"/>
            <w:gridSpan w:val="2"/>
          </w:tcPr>
          <w:p>
            <w:pPr>
              <w:jc w:val="right"/>
              <w:spacing w:after="0"/>
              <w:rPr>
                <w:sz w:val="20"/>
                <w:szCs w:val="20"/>
                <w:color w:val="auto"/>
              </w:rPr>
            </w:pPr>
            <w:r>
              <w:rPr>
                <w:rFonts w:ascii="Arial" w:cs="Arial" w:eastAsia="Arial" w:hAnsi="Arial"/>
                <w:sz w:val="23"/>
                <w:szCs w:val="23"/>
                <w:color w:val="auto"/>
              </w:rPr>
              <w:t>(5)</w:t>
            </w:r>
          </w:p>
        </w:tc>
        <w:tc>
          <w:tcPr>
            <w:tcW w:w="5460" w:type="dxa"/>
            <w:vAlign w:val="bottom"/>
          </w:tcPr>
          <w:p>
            <w:pPr>
              <w:ind w:left="40"/>
              <w:spacing w:after="0"/>
              <w:rPr>
                <w:sz w:val="20"/>
                <w:szCs w:val="20"/>
                <w:color w:val="auto"/>
              </w:rPr>
            </w:pPr>
            <w:r>
              <w:rPr>
                <w:rFonts w:ascii="Arial" w:cs="Arial" w:eastAsia="Arial" w:hAnsi="Arial"/>
                <w:sz w:val="23"/>
                <w:szCs w:val="23"/>
                <w:color w:val="auto"/>
              </w:rPr>
              <w:t>Sole Voting Power:</w:t>
            </w:r>
          </w:p>
        </w:tc>
        <w:tc>
          <w:tcPr>
            <w:tcW w:w="2900" w:type="dxa"/>
            <w:vAlign w:val="bottom"/>
          </w:tcPr>
          <w:p>
            <w:pPr>
              <w:jc w:val="right"/>
              <w:ind w:right="106"/>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46"/>
        </w:trPr>
        <w:tc>
          <w:tcPr>
            <w:tcW w:w="2640" w:type="dxa"/>
            <w:vAlign w:val="bottom"/>
            <w:vMerge w:val="restart"/>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640" w:type="dxa"/>
            <w:vAlign w:val="bottom"/>
            <w:vMerge w:val="continue"/>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3"/>
                <w:szCs w:val="23"/>
                <w:color w:val="auto"/>
              </w:rPr>
              <w:t>(6)</w:t>
            </w:r>
          </w:p>
        </w:tc>
        <w:tc>
          <w:tcPr>
            <w:tcW w:w="5460" w:type="dxa"/>
            <w:vAlign w:val="bottom"/>
          </w:tcPr>
          <w:p>
            <w:pPr>
              <w:ind w:left="40"/>
              <w:spacing w:after="0"/>
              <w:rPr>
                <w:sz w:val="20"/>
                <w:szCs w:val="20"/>
                <w:color w:val="auto"/>
              </w:rPr>
            </w:pPr>
            <w:r>
              <w:rPr>
                <w:rFonts w:ascii="Arial" w:cs="Arial" w:eastAsia="Arial" w:hAnsi="Arial"/>
                <w:sz w:val="23"/>
                <w:szCs w:val="23"/>
                <w:color w:val="auto"/>
              </w:rPr>
              <w:t>Shared Voting Power:</w:t>
            </w:r>
          </w:p>
        </w:tc>
        <w:tc>
          <w:tcPr>
            <w:tcW w:w="2900" w:type="dxa"/>
            <w:vAlign w:val="bottom"/>
          </w:tcPr>
          <w:p>
            <w:pPr>
              <w:jc w:val="right"/>
              <w:spacing w:after="0"/>
              <w:rPr>
                <w:sz w:val="20"/>
                <w:szCs w:val="20"/>
                <w:color w:val="auto"/>
              </w:rPr>
            </w:pPr>
            <w:r>
              <w:rPr>
                <w:rFonts w:ascii="Arial" w:cs="Arial" w:eastAsia="Arial" w:hAnsi="Arial"/>
                <w:sz w:val="23"/>
                <w:szCs w:val="23"/>
                <w:color w:val="auto"/>
              </w:rPr>
              <w:t>871,411*</w:t>
            </w:r>
          </w:p>
        </w:tc>
        <w:tc>
          <w:tcPr>
            <w:tcW w:w="0" w:type="dxa"/>
            <w:vAlign w:val="bottom"/>
          </w:tcPr>
          <w:p>
            <w:pPr>
              <w:spacing w:after="0"/>
              <w:rPr>
                <w:sz w:val="1"/>
                <w:szCs w:val="1"/>
                <w:color w:val="auto"/>
              </w:rPr>
            </w:pPr>
          </w:p>
        </w:tc>
      </w:tr>
      <w:tr>
        <w:trPr>
          <w:trHeight w:val="22"/>
        </w:trPr>
        <w:tc>
          <w:tcPr>
            <w:tcW w:w="26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2640" w:type="dxa"/>
            <w:vAlign w:val="bottom"/>
            <w:vMerge w:val="continue"/>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3"/>
                <w:szCs w:val="23"/>
                <w:color w:val="auto"/>
              </w:rPr>
              <w:t>(7)</w:t>
            </w:r>
          </w:p>
        </w:tc>
        <w:tc>
          <w:tcPr>
            <w:tcW w:w="5460" w:type="dxa"/>
            <w:vAlign w:val="bottom"/>
          </w:tcPr>
          <w:p>
            <w:pPr>
              <w:ind w:left="40"/>
              <w:spacing w:after="0"/>
              <w:rPr>
                <w:sz w:val="20"/>
                <w:szCs w:val="20"/>
                <w:color w:val="auto"/>
              </w:rPr>
            </w:pPr>
            <w:r>
              <w:rPr>
                <w:rFonts w:ascii="Arial" w:cs="Arial" w:eastAsia="Arial" w:hAnsi="Arial"/>
                <w:sz w:val="23"/>
                <w:szCs w:val="23"/>
                <w:color w:val="auto"/>
              </w:rPr>
              <w:t>Sole Dispositive Power:</w:t>
            </w:r>
          </w:p>
        </w:tc>
        <w:tc>
          <w:tcPr>
            <w:tcW w:w="2900" w:type="dxa"/>
            <w:vAlign w:val="bottom"/>
          </w:tcPr>
          <w:p>
            <w:pPr>
              <w:jc w:val="right"/>
              <w:ind w:right="106"/>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2"/>
        </w:trPr>
        <w:tc>
          <w:tcPr>
            <w:tcW w:w="26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2640" w:type="dxa"/>
            <w:vAlign w:val="bottom"/>
            <w:vMerge w:val="continue"/>
          </w:tcPr>
          <w:p>
            <w:pPr>
              <w:spacing w:after="0"/>
              <w:rPr>
                <w:sz w:val="21"/>
                <w:szCs w:val="21"/>
                <w:color w:val="auto"/>
              </w:rPr>
            </w:pPr>
          </w:p>
        </w:tc>
        <w:tc>
          <w:tcPr>
            <w:tcW w:w="40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3"/>
                <w:szCs w:val="23"/>
                <w:color w:val="auto"/>
              </w:rPr>
              <w:t>(8)</w:t>
            </w:r>
          </w:p>
        </w:tc>
        <w:tc>
          <w:tcPr>
            <w:tcW w:w="5460" w:type="dxa"/>
            <w:vAlign w:val="bottom"/>
            <w:tcBorders>
              <w:bottom w:val="single" w:sz="8" w:color="auto"/>
            </w:tcBorders>
          </w:tcPr>
          <w:p>
            <w:pPr>
              <w:ind w:left="40"/>
              <w:spacing w:after="0" w:line="251" w:lineRule="exact"/>
              <w:rPr>
                <w:sz w:val="20"/>
                <w:szCs w:val="20"/>
                <w:color w:val="auto"/>
              </w:rPr>
            </w:pPr>
            <w:r>
              <w:rPr>
                <w:rFonts w:ascii="Arial" w:cs="Arial" w:eastAsia="Arial" w:hAnsi="Arial"/>
                <w:sz w:val="23"/>
                <w:szCs w:val="23"/>
                <w:color w:val="auto"/>
              </w:rPr>
              <w:t>Shared Dispositive Power:</w:t>
            </w:r>
          </w:p>
        </w:tc>
        <w:tc>
          <w:tcPr>
            <w:tcW w:w="290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3"/>
                <w:szCs w:val="23"/>
                <w:color w:val="auto"/>
              </w:rPr>
              <w:t>871,411*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625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27" w:lineRule="exact"/>
        <w:rPr>
          <w:sz w:val="20"/>
          <w:szCs w:val="20"/>
          <w:color w:val="auto"/>
        </w:rPr>
      </w:pPr>
    </w:p>
    <w:p>
      <w:pPr>
        <w:ind w:left="1066" w:right="5600" w:hanging="1066"/>
        <w:spacing w:after="0" w:line="360" w:lineRule="auto"/>
        <w:tabs>
          <w:tab w:leader="none" w:pos="317" w:val="left"/>
        </w:tabs>
        <w:numPr>
          <w:ilvl w:val="0"/>
          <w:numId w:val="7"/>
        </w:numPr>
        <w:rPr>
          <w:rFonts w:ascii="Arial" w:cs="Arial" w:eastAsia="Arial" w:hAnsi="Arial"/>
          <w:sz w:val="23"/>
          <w:szCs w:val="23"/>
          <w:color w:val="auto"/>
        </w:rPr>
      </w:pPr>
      <w:r>
        <w:rPr>
          <w:rFonts w:ascii="Arial" w:cs="Arial" w:eastAsia="Arial" w:hAnsi="Arial"/>
          <w:sz w:val="23"/>
          <w:szCs w:val="23"/>
          <w:color w:val="auto"/>
        </w:rPr>
        <w:t>Aggregate Amount Beneficially Owned by Each Reporting Person 871,411*</w:t>
      </w:r>
    </w:p>
    <w:p>
      <w:pPr>
        <w:spacing w:after="0" w:line="76" w:lineRule="exact"/>
        <w:rPr>
          <w:rFonts w:ascii="Arial" w:cs="Arial" w:eastAsia="Arial" w:hAnsi="Arial"/>
          <w:sz w:val="23"/>
          <w:szCs w:val="23"/>
          <w:color w:val="auto"/>
        </w:rPr>
      </w:pPr>
    </w:p>
    <w:p>
      <w:pPr>
        <w:ind w:left="446" w:hanging="446"/>
        <w:spacing w:after="0"/>
        <w:tabs>
          <w:tab w:leader="none" w:pos="446" w:val="left"/>
        </w:tabs>
        <w:numPr>
          <w:ilvl w:val="0"/>
          <w:numId w:val="7"/>
        </w:numPr>
        <w:rPr>
          <w:rFonts w:ascii="Arial" w:cs="Arial" w:eastAsia="Arial" w:hAnsi="Arial"/>
          <w:sz w:val="23"/>
          <w:szCs w:val="23"/>
          <w:color w:val="auto"/>
        </w:rPr>
      </w:pPr>
      <w:r>
        <w:rPr>
          <w:rFonts w:ascii="Arial" w:cs="Arial" w:eastAsia="Arial" w:hAnsi="Arial"/>
          <w:sz w:val="23"/>
          <w:szCs w:val="23"/>
          <w:color w:val="auto"/>
        </w:rPr>
        <w:t>Check if the Aggregate Amount in Row (9) Excludes Certain Shares (See Instructions):</w:t>
      </w:r>
    </w:p>
    <w:p>
      <w:pPr>
        <w:spacing w:after="0" w:line="111" w:lineRule="exact"/>
        <w:rPr>
          <w:rFonts w:ascii="Arial" w:cs="Arial" w:eastAsia="Arial" w:hAnsi="Arial"/>
          <w:sz w:val="23"/>
          <w:szCs w:val="23"/>
          <w:color w:val="auto"/>
        </w:rPr>
      </w:pPr>
    </w:p>
    <w:p>
      <w:pPr>
        <w:ind w:left="1066"/>
        <w:spacing w:after="0"/>
        <w:rPr>
          <w:rFonts w:ascii="Arial" w:cs="Arial" w:eastAsia="Arial" w:hAnsi="Arial"/>
          <w:sz w:val="23"/>
          <w:szCs w:val="23"/>
          <w:color w:val="auto"/>
        </w:rPr>
      </w:pPr>
      <w:r>
        <w:rPr>
          <w:rFonts w:ascii="Arial" w:cs="Arial" w:eastAsia="Arial" w:hAnsi="Arial"/>
          <w:sz w:val="21"/>
          <w:szCs w:val="21"/>
          <w:color w:val="auto"/>
        </w:rPr>
        <w:t>[  ]</w:t>
      </w:r>
    </w:p>
    <w:p>
      <w:pPr>
        <w:spacing w:after="0" w:line="252" w:lineRule="exact"/>
        <w:rPr>
          <w:rFonts w:ascii="Arial" w:cs="Arial" w:eastAsia="Arial" w:hAnsi="Arial"/>
          <w:sz w:val="23"/>
          <w:szCs w:val="23"/>
          <w:color w:val="auto"/>
        </w:rPr>
      </w:pPr>
    </w:p>
    <w:p>
      <w:pPr>
        <w:ind w:left="426" w:hanging="426"/>
        <w:spacing w:after="0"/>
        <w:tabs>
          <w:tab w:leader="none" w:pos="426" w:val="left"/>
        </w:tabs>
        <w:numPr>
          <w:ilvl w:val="0"/>
          <w:numId w:val="7"/>
        </w:numPr>
        <w:rPr>
          <w:rFonts w:ascii="Arial" w:cs="Arial" w:eastAsia="Arial" w:hAnsi="Arial"/>
          <w:sz w:val="23"/>
          <w:szCs w:val="23"/>
          <w:color w:val="auto"/>
        </w:rPr>
      </w:pPr>
      <w:r>
        <w:rPr>
          <w:rFonts w:ascii="Arial" w:cs="Arial" w:eastAsia="Arial" w:hAnsi="Arial"/>
          <w:sz w:val="23"/>
          <w:szCs w:val="23"/>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625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-786130</wp:posOffset>
            </wp:positionV>
            <wp:extent cx="7625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86" w:lineRule="exact"/>
        <w:rPr>
          <w:sz w:val="20"/>
          <w:szCs w:val="20"/>
          <w:color w:val="auto"/>
        </w:rPr>
      </w:pPr>
    </w:p>
    <w:p>
      <w:pPr>
        <w:ind w:left="1066"/>
        <w:spacing w:after="0"/>
        <w:rPr>
          <w:sz w:val="20"/>
          <w:szCs w:val="20"/>
          <w:color w:val="auto"/>
        </w:rPr>
      </w:pPr>
      <w:r>
        <w:rPr>
          <w:rFonts w:ascii="Arial" w:cs="Arial" w:eastAsia="Arial" w:hAnsi="Arial"/>
          <w:sz w:val="23"/>
          <w:szCs w:val="2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625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5" w:lineRule="exact"/>
        <w:rPr>
          <w:sz w:val="20"/>
          <w:szCs w:val="20"/>
          <w:color w:val="auto"/>
        </w:rPr>
      </w:pPr>
    </w:p>
    <w:p>
      <w:pPr>
        <w:ind w:left="446" w:hanging="446"/>
        <w:spacing w:after="0"/>
        <w:tabs>
          <w:tab w:leader="none" w:pos="446" w:val="left"/>
        </w:tabs>
        <w:numPr>
          <w:ilvl w:val="0"/>
          <w:numId w:val="8"/>
        </w:numPr>
        <w:rPr>
          <w:rFonts w:ascii="Arial" w:cs="Arial" w:eastAsia="Arial" w:hAnsi="Arial"/>
          <w:sz w:val="23"/>
          <w:szCs w:val="23"/>
          <w:color w:val="auto"/>
        </w:rPr>
      </w:pPr>
      <w:r>
        <w:rPr>
          <w:rFonts w:ascii="Arial" w:cs="Arial" w:eastAsia="Arial" w:hAnsi="Arial"/>
          <w:sz w:val="23"/>
          <w:szCs w:val="23"/>
          <w:color w:val="auto"/>
        </w:rPr>
        <w:t>Type of Reporting Person</w:t>
      </w:r>
    </w:p>
    <w:p>
      <w:pPr>
        <w:spacing w:after="0" w:line="111" w:lineRule="exact"/>
        <w:rPr>
          <w:rFonts w:ascii="Arial" w:cs="Arial" w:eastAsia="Arial" w:hAnsi="Arial"/>
          <w:sz w:val="23"/>
          <w:szCs w:val="23"/>
          <w:color w:val="auto"/>
        </w:rPr>
      </w:pPr>
    </w:p>
    <w:p>
      <w:pPr>
        <w:ind w:left="1066"/>
        <w:spacing w:after="0"/>
        <w:rPr>
          <w:rFonts w:ascii="Arial" w:cs="Arial" w:eastAsia="Arial" w:hAnsi="Arial"/>
          <w:sz w:val="23"/>
          <w:szCs w:val="23"/>
          <w:color w:val="auto"/>
        </w:rPr>
      </w:pPr>
      <w:r>
        <w:rPr>
          <w:rFonts w:ascii="Arial" w:cs="Arial" w:eastAsia="Arial" w:hAnsi="Arial"/>
          <w:sz w:val="21"/>
          <w:szCs w:val="2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625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5" w:lineRule="exact"/>
        <w:rPr>
          <w:sz w:val="20"/>
          <w:szCs w:val="20"/>
          <w:color w:val="auto"/>
        </w:rPr>
      </w:pPr>
    </w:p>
    <w:p>
      <w:pPr>
        <w:jc w:val="both"/>
        <w:ind w:left="6" w:firstLine="125"/>
        <w:spacing w:after="0" w:line="255" w:lineRule="auto"/>
        <w:tabs>
          <w:tab w:leader="none" w:pos="298" w:val="left"/>
        </w:tabs>
        <w:numPr>
          <w:ilvl w:val="0"/>
          <w:numId w:val="9"/>
        </w:numPr>
        <w:rPr>
          <w:rFonts w:ascii="Arial" w:cs="Arial" w:eastAsia="Arial" w:hAnsi="Arial"/>
          <w:sz w:val="19"/>
          <w:szCs w:val="19"/>
          <w:color w:val="auto"/>
        </w:rPr>
      </w:pPr>
      <w:r>
        <w:rPr>
          <w:rFonts w:ascii="Arial" w:cs="Arial" w:eastAsia="Arial" w:hAnsi="Arial"/>
          <w:sz w:val="19"/>
          <w:szCs w:val="19"/>
          <w:color w:val="auto"/>
        </w:rPr>
        <w:t>Beneficial ownership percentage is based upon 12,013,682 shares of Common Stock of the Company issued and outstanding as of October 31, 2018, based on information reported by the Company in its Quarterly Report on Form 10-Q, filed with the Securities and Exchange Commission on November 5, 2018. PWAM is the investment manager to the PW Funds, and Mr. Park is the sole member and manager of PWAM. As of December 31, 2018, PWIMF held 871,411 shares of Common Stock. As a result of the foregoing, for purposes of Reg. Section 240.13d-3, PWIMF may be deemed to beneficially own 871,411 shares of Common Stock of the Company for an aggregate beneficial ownership percentage of approximately 7.3% of the shares of Common Stock deemed issued and outstanding as of December 31, 2018.</w:t>
      </w:r>
    </w:p>
    <w:p>
      <w:pPr>
        <w:sectPr>
          <w:pgSz w:w="12240" w:h="15840" w:orient="portrait"/>
          <w:cols w:equalWidth="0" w:num="1">
            <w:col w:w="12006"/>
          </w:cols>
          <w:pgMar w:left="114" w:top="532" w:right="120" w:bottom="1440" w:gutter="0" w:footer="0" w:header="0"/>
        </w:sectPr>
      </w:pPr>
    </w:p>
    <w:bookmarkStart w:id="3" w:name="page4"/>
    <w:bookmarkEnd w:id="3"/>
    <w:p>
      <w:pPr>
        <w:ind w:left="106"/>
        <w:spacing w:after="0"/>
        <w:rPr>
          <w:sz w:val="20"/>
          <w:szCs w:val="20"/>
          <w:color w:val="auto"/>
        </w:rPr>
      </w:pPr>
      <w:r>
        <w:rPr>
          <w:rFonts w:ascii="Arial" w:cs="Arial" w:eastAsia="Arial" w:hAnsi="Arial"/>
          <w:sz w:val="23"/>
          <w:szCs w:val="23"/>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625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91" w:lineRule="exact"/>
        <w:rPr>
          <w:sz w:val="20"/>
          <w:szCs w:val="20"/>
          <w:color w:val="auto"/>
        </w:rPr>
      </w:pPr>
    </w:p>
    <w:tbl>
      <w:tblPr>
        <w:tblLayout w:type="fixed"/>
        <w:tblInd w:w="6" w:type="dxa"/>
        <w:tblCellMar>
          <w:top w:w="0" w:type="dxa"/>
          <w:left w:w="0" w:type="dxa"/>
          <w:bottom w:w="0" w:type="dxa"/>
          <w:right w:w="0" w:type="dxa"/>
        </w:tblCellMar>
      </w:tblPr>
      <w:tr>
        <w:trPr>
          <w:trHeight w:val="291"/>
        </w:trPr>
        <w:tc>
          <w:tcPr>
            <w:tcW w:w="280" w:type="dxa"/>
            <w:vAlign w:val="bottom"/>
          </w:tcPr>
          <w:p>
            <w:pPr>
              <w:jc w:val="right"/>
              <w:spacing w:after="0"/>
              <w:rPr>
                <w:sz w:val="20"/>
                <w:szCs w:val="20"/>
                <w:color w:val="auto"/>
              </w:rPr>
            </w:pPr>
            <w:r>
              <w:rPr>
                <w:rFonts w:ascii="Arial" w:cs="Arial" w:eastAsia="Arial" w:hAnsi="Arial"/>
                <w:sz w:val="23"/>
                <w:szCs w:val="23"/>
                <w:color w:val="auto"/>
                <w:w w:val="85"/>
              </w:rPr>
              <w:t>(1)</w:t>
            </w:r>
          </w:p>
        </w:tc>
        <w:tc>
          <w:tcPr>
            <w:tcW w:w="6280" w:type="dxa"/>
            <w:vAlign w:val="bottom"/>
          </w:tcPr>
          <w:p>
            <w:pPr>
              <w:ind w:left="40"/>
              <w:spacing w:after="0"/>
              <w:rPr>
                <w:sz w:val="20"/>
                <w:szCs w:val="20"/>
                <w:color w:val="auto"/>
              </w:rPr>
            </w:pPr>
            <w:r>
              <w:rPr>
                <w:rFonts w:ascii="Arial" w:cs="Arial" w:eastAsia="Arial" w:hAnsi="Arial"/>
                <w:sz w:val="23"/>
                <w:szCs w:val="23"/>
                <w:color w:val="auto"/>
              </w:rPr>
              <w:t>Names of Reporting Persons</w:t>
            </w:r>
          </w:p>
        </w:tc>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71"/>
        </w:trPr>
        <w:tc>
          <w:tcPr>
            <w:tcW w:w="280" w:type="dxa"/>
            <w:vAlign w:val="bottom"/>
          </w:tcPr>
          <w:p>
            <w:pPr>
              <w:spacing w:after="0"/>
              <w:rPr>
                <w:sz w:val="24"/>
                <w:szCs w:val="24"/>
                <w:color w:val="auto"/>
              </w:rPr>
            </w:pPr>
          </w:p>
        </w:tc>
        <w:tc>
          <w:tcPr>
            <w:tcW w:w="6280" w:type="dxa"/>
            <w:vAlign w:val="bottom"/>
          </w:tcPr>
          <w:p>
            <w:pPr>
              <w:ind w:left="780"/>
              <w:spacing w:after="0"/>
              <w:rPr>
                <w:sz w:val="20"/>
                <w:szCs w:val="20"/>
                <w:color w:val="auto"/>
              </w:rPr>
            </w:pPr>
            <w:r>
              <w:rPr>
                <w:rFonts w:ascii="Arial" w:cs="Arial" w:eastAsia="Arial" w:hAnsi="Arial"/>
                <w:sz w:val="23"/>
                <w:szCs w:val="23"/>
                <w:color w:val="auto"/>
              </w:rPr>
              <w:t>Peter S. Park</w:t>
            </w:r>
          </w:p>
        </w:tc>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03"/>
        </w:trPr>
        <w:tc>
          <w:tcPr>
            <w:tcW w:w="28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r>
      <w:tr>
        <w:trPr>
          <w:trHeight w:val="341"/>
        </w:trPr>
        <w:tc>
          <w:tcPr>
            <w:tcW w:w="280" w:type="dxa"/>
            <w:vAlign w:val="bottom"/>
          </w:tcPr>
          <w:p>
            <w:pPr>
              <w:jc w:val="right"/>
              <w:spacing w:after="0"/>
              <w:rPr>
                <w:sz w:val="20"/>
                <w:szCs w:val="20"/>
                <w:color w:val="auto"/>
              </w:rPr>
            </w:pPr>
            <w:r>
              <w:rPr>
                <w:rFonts w:ascii="Arial" w:cs="Arial" w:eastAsia="Arial" w:hAnsi="Arial"/>
                <w:sz w:val="23"/>
                <w:szCs w:val="23"/>
                <w:color w:val="auto"/>
                <w:w w:val="85"/>
              </w:rPr>
              <w:t>(2)</w:t>
            </w:r>
          </w:p>
        </w:tc>
        <w:tc>
          <w:tcPr>
            <w:tcW w:w="6280" w:type="dxa"/>
            <w:vAlign w:val="bottom"/>
          </w:tcPr>
          <w:p>
            <w:pPr>
              <w:ind w:left="40"/>
              <w:spacing w:after="0"/>
              <w:rPr>
                <w:sz w:val="20"/>
                <w:szCs w:val="20"/>
                <w:color w:val="auto"/>
              </w:rPr>
            </w:pPr>
            <w:r>
              <w:rPr>
                <w:rFonts w:ascii="Arial" w:cs="Arial" w:eastAsia="Arial" w:hAnsi="Arial"/>
                <w:sz w:val="23"/>
                <w:szCs w:val="23"/>
                <w:color w:val="auto"/>
              </w:rPr>
              <w:t>Check the Appropriate Box if a Member of a Group</w:t>
            </w:r>
          </w:p>
        </w:tc>
        <w:tc>
          <w:tcPr>
            <w:tcW w:w="1980" w:type="dxa"/>
            <w:vAlign w:val="bottom"/>
          </w:tcPr>
          <w:p>
            <w:pPr>
              <w:ind w:left="1480"/>
              <w:spacing w:after="0"/>
              <w:rPr>
                <w:sz w:val="20"/>
                <w:szCs w:val="20"/>
                <w:color w:val="auto"/>
              </w:rPr>
            </w:pPr>
            <w:r>
              <w:rPr>
                <w:rFonts w:ascii="Arial" w:cs="Arial" w:eastAsia="Arial" w:hAnsi="Arial"/>
                <w:sz w:val="23"/>
                <w:szCs w:val="23"/>
                <w:color w:val="auto"/>
              </w:rPr>
              <w:t>(a) [</w:t>
            </w:r>
          </w:p>
        </w:tc>
        <w:tc>
          <w:tcPr>
            <w:tcW w:w="3460" w:type="dxa"/>
            <w:vAlign w:val="bottom"/>
          </w:tcPr>
          <w:p>
            <w:pPr>
              <w:jc w:val="right"/>
              <w:ind w:right="3146"/>
              <w:spacing w:after="0"/>
              <w:rPr>
                <w:sz w:val="20"/>
                <w:szCs w:val="20"/>
                <w:color w:val="auto"/>
              </w:rPr>
            </w:pPr>
            <w:r>
              <w:rPr>
                <w:rFonts w:ascii="Arial" w:cs="Arial" w:eastAsia="Arial" w:hAnsi="Arial"/>
                <w:sz w:val="23"/>
                <w:szCs w:val="23"/>
                <w:color w:val="auto"/>
              </w:rPr>
              <w:t>]</w:t>
            </w:r>
          </w:p>
        </w:tc>
      </w:tr>
      <w:tr>
        <w:trPr>
          <w:trHeight w:val="291"/>
        </w:trPr>
        <w:tc>
          <w:tcPr>
            <w:tcW w:w="2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980" w:type="dxa"/>
            <w:vAlign w:val="bottom"/>
          </w:tcPr>
          <w:p>
            <w:pPr>
              <w:ind w:left="1480"/>
              <w:spacing w:after="0"/>
              <w:rPr>
                <w:sz w:val="20"/>
                <w:szCs w:val="20"/>
                <w:color w:val="auto"/>
              </w:rPr>
            </w:pPr>
            <w:r>
              <w:rPr>
                <w:rFonts w:ascii="Arial" w:cs="Arial" w:eastAsia="Arial" w:hAnsi="Arial"/>
                <w:sz w:val="23"/>
                <w:szCs w:val="23"/>
                <w:color w:val="auto"/>
              </w:rPr>
              <w:t>(b) [</w:t>
            </w:r>
          </w:p>
        </w:tc>
        <w:tc>
          <w:tcPr>
            <w:tcW w:w="3460" w:type="dxa"/>
            <w:vAlign w:val="bottom"/>
          </w:tcPr>
          <w:p>
            <w:pPr>
              <w:jc w:val="right"/>
              <w:ind w:right="3146"/>
              <w:spacing w:after="0"/>
              <w:rPr>
                <w:sz w:val="20"/>
                <w:szCs w:val="20"/>
                <w:color w:val="auto"/>
              </w:rPr>
            </w:pPr>
            <w:r>
              <w:rPr>
                <w:rFonts w:ascii="Arial" w:cs="Arial" w:eastAsia="Arial" w:hAnsi="Arial"/>
                <w:sz w:val="23"/>
                <w:szCs w:val="2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625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26" w:hanging="326"/>
        <w:spacing w:after="0"/>
        <w:tabs>
          <w:tab w:leader="none" w:pos="326" w:val="left"/>
        </w:tabs>
        <w:numPr>
          <w:ilvl w:val="0"/>
          <w:numId w:val="10"/>
        </w:numPr>
        <w:rPr>
          <w:rFonts w:ascii="Arial" w:cs="Arial" w:eastAsia="Arial" w:hAnsi="Arial"/>
          <w:sz w:val="23"/>
          <w:szCs w:val="23"/>
          <w:color w:val="auto"/>
        </w:rPr>
      </w:pPr>
      <w:r>
        <w:rPr>
          <w:rFonts w:ascii="Arial" w:cs="Arial" w:eastAsia="Arial" w:hAnsi="Arial"/>
          <w:sz w:val="23"/>
          <w:szCs w:val="23"/>
          <w:color w:val="auto"/>
        </w:rPr>
        <w:t>SEC Use Only</w:t>
      </w:r>
    </w:p>
    <w:p>
      <w:pPr>
        <w:spacing w:after="0" w:line="234" w:lineRule="exact"/>
        <w:rPr>
          <w:rFonts w:ascii="Arial" w:cs="Arial" w:eastAsia="Arial" w:hAnsi="Arial"/>
          <w:sz w:val="23"/>
          <w:szCs w:val="23"/>
          <w:color w:val="auto"/>
        </w:rPr>
      </w:pPr>
    </w:p>
    <w:p>
      <w:pPr>
        <w:ind w:left="1066" w:right="8360" w:hanging="1066"/>
        <w:spacing w:after="0" w:line="450" w:lineRule="auto"/>
        <w:tabs>
          <w:tab w:leader="none" w:pos="317" w:val="left"/>
        </w:tabs>
        <w:numPr>
          <w:ilvl w:val="0"/>
          <w:numId w:val="10"/>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625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-613410</wp:posOffset>
            </wp:positionV>
            <wp:extent cx="7625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91"/>
        </w:trPr>
        <w:tc>
          <w:tcPr>
            <w:tcW w:w="8480" w:type="dxa"/>
            <w:vAlign w:val="bottom"/>
            <w:gridSpan w:val="3"/>
          </w:tcPr>
          <w:p>
            <w:pPr>
              <w:spacing w:after="0"/>
              <w:rPr>
                <w:sz w:val="20"/>
                <w:szCs w:val="20"/>
                <w:color w:val="auto"/>
              </w:rPr>
            </w:pPr>
            <w:r>
              <w:rPr>
                <w:rFonts w:ascii="Arial" w:cs="Arial" w:eastAsia="Arial" w:hAnsi="Arial"/>
                <w:sz w:val="23"/>
                <w:szCs w:val="23"/>
                <w:color w:val="auto"/>
              </w:rPr>
              <w:t>Number of Shares Beneficially Owned By Each Reporting Person With</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040" w:type="dxa"/>
            <w:vAlign w:val="bottom"/>
            <w:gridSpan w:val="2"/>
          </w:tcPr>
          <w:p>
            <w:pPr>
              <w:jc w:val="right"/>
              <w:spacing w:after="0"/>
              <w:rPr>
                <w:sz w:val="20"/>
                <w:szCs w:val="20"/>
                <w:color w:val="auto"/>
              </w:rPr>
            </w:pPr>
            <w:r>
              <w:rPr>
                <w:rFonts w:ascii="Arial" w:cs="Arial" w:eastAsia="Arial" w:hAnsi="Arial"/>
                <w:sz w:val="23"/>
                <w:szCs w:val="23"/>
                <w:color w:val="auto"/>
              </w:rPr>
              <w:t>(5)</w:t>
            </w:r>
          </w:p>
        </w:tc>
        <w:tc>
          <w:tcPr>
            <w:tcW w:w="5440" w:type="dxa"/>
            <w:vAlign w:val="bottom"/>
          </w:tcPr>
          <w:p>
            <w:pPr>
              <w:ind w:left="40"/>
              <w:spacing w:after="0"/>
              <w:rPr>
                <w:sz w:val="20"/>
                <w:szCs w:val="20"/>
                <w:color w:val="auto"/>
              </w:rPr>
            </w:pPr>
            <w:r>
              <w:rPr>
                <w:rFonts w:ascii="Arial" w:cs="Arial" w:eastAsia="Arial" w:hAnsi="Arial"/>
                <w:sz w:val="23"/>
                <w:szCs w:val="23"/>
                <w:color w:val="auto"/>
              </w:rPr>
              <w:t>Sole Voting Power:</w:t>
            </w:r>
          </w:p>
        </w:tc>
        <w:tc>
          <w:tcPr>
            <w:tcW w:w="2920" w:type="dxa"/>
            <w:vAlign w:val="bottom"/>
          </w:tcPr>
          <w:p>
            <w:pPr>
              <w:jc w:val="right"/>
              <w:ind w:right="106"/>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46"/>
        </w:trPr>
        <w:tc>
          <w:tcPr>
            <w:tcW w:w="2640" w:type="dxa"/>
            <w:vAlign w:val="bottom"/>
            <w:vMerge w:val="restart"/>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640" w:type="dxa"/>
            <w:vAlign w:val="bottom"/>
            <w:vMerge w:val="continue"/>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3"/>
                <w:szCs w:val="23"/>
                <w:color w:val="auto"/>
              </w:rPr>
              <w:t>(6)</w:t>
            </w:r>
          </w:p>
        </w:tc>
        <w:tc>
          <w:tcPr>
            <w:tcW w:w="5440" w:type="dxa"/>
            <w:vAlign w:val="bottom"/>
          </w:tcPr>
          <w:p>
            <w:pPr>
              <w:ind w:left="40"/>
              <w:spacing w:after="0"/>
              <w:rPr>
                <w:sz w:val="20"/>
                <w:szCs w:val="20"/>
                <w:color w:val="auto"/>
              </w:rPr>
            </w:pPr>
            <w:r>
              <w:rPr>
                <w:rFonts w:ascii="Arial" w:cs="Arial" w:eastAsia="Arial" w:hAnsi="Arial"/>
                <w:sz w:val="23"/>
                <w:szCs w:val="23"/>
                <w:color w:val="auto"/>
              </w:rPr>
              <w:t>Shared Voting Power:</w:t>
            </w:r>
          </w:p>
        </w:tc>
        <w:tc>
          <w:tcPr>
            <w:tcW w:w="2920" w:type="dxa"/>
            <w:vAlign w:val="bottom"/>
          </w:tcPr>
          <w:p>
            <w:pPr>
              <w:jc w:val="right"/>
              <w:spacing w:after="0"/>
              <w:rPr>
                <w:sz w:val="20"/>
                <w:szCs w:val="20"/>
                <w:color w:val="auto"/>
              </w:rPr>
            </w:pPr>
            <w:r>
              <w:rPr>
                <w:rFonts w:ascii="Arial" w:cs="Arial" w:eastAsia="Arial" w:hAnsi="Arial"/>
                <w:sz w:val="23"/>
                <w:szCs w:val="23"/>
                <w:color w:val="auto"/>
              </w:rPr>
              <w:t>967,448*</w:t>
            </w:r>
          </w:p>
        </w:tc>
        <w:tc>
          <w:tcPr>
            <w:tcW w:w="0" w:type="dxa"/>
            <w:vAlign w:val="bottom"/>
          </w:tcPr>
          <w:p>
            <w:pPr>
              <w:spacing w:after="0"/>
              <w:rPr>
                <w:sz w:val="1"/>
                <w:szCs w:val="1"/>
                <w:color w:val="auto"/>
              </w:rPr>
            </w:pPr>
          </w:p>
        </w:tc>
      </w:tr>
      <w:tr>
        <w:trPr>
          <w:trHeight w:val="22"/>
        </w:trPr>
        <w:tc>
          <w:tcPr>
            <w:tcW w:w="26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2640" w:type="dxa"/>
            <w:vAlign w:val="bottom"/>
            <w:vMerge w:val="continue"/>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3"/>
                <w:szCs w:val="23"/>
                <w:color w:val="auto"/>
              </w:rPr>
              <w:t>(7)</w:t>
            </w:r>
          </w:p>
        </w:tc>
        <w:tc>
          <w:tcPr>
            <w:tcW w:w="5440" w:type="dxa"/>
            <w:vAlign w:val="bottom"/>
          </w:tcPr>
          <w:p>
            <w:pPr>
              <w:ind w:left="40"/>
              <w:spacing w:after="0"/>
              <w:rPr>
                <w:sz w:val="20"/>
                <w:szCs w:val="20"/>
                <w:color w:val="auto"/>
              </w:rPr>
            </w:pPr>
            <w:r>
              <w:rPr>
                <w:rFonts w:ascii="Arial" w:cs="Arial" w:eastAsia="Arial" w:hAnsi="Arial"/>
                <w:sz w:val="23"/>
                <w:szCs w:val="23"/>
                <w:color w:val="auto"/>
              </w:rPr>
              <w:t>Sole Dispositive Power:</w:t>
            </w:r>
          </w:p>
        </w:tc>
        <w:tc>
          <w:tcPr>
            <w:tcW w:w="2920" w:type="dxa"/>
            <w:vAlign w:val="bottom"/>
          </w:tcPr>
          <w:p>
            <w:pPr>
              <w:jc w:val="right"/>
              <w:ind w:right="106"/>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2"/>
        </w:trPr>
        <w:tc>
          <w:tcPr>
            <w:tcW w:w="26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2640" w:type="dxa"/>
            <w:vAlign w:val="bottom"/>
            <w:vMerge w:val="continue"/>
          </w:tcPr>
          <w:p>
            <w:pPr>
              <w:spacing w:after="0"/>
              <w:rPr>
                <w:sz w:val="21"/>
                <w:szCs w:val="21"/>
                <w:color w:val="auto"/>
              </w:rPr>
            </w:pPr>
          </w:p>
        </w:tc>
        <w:tc>
          <w:tcPr>
            <w:tcW w:w="40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3"/>
                <w:szCs w:val="23"/>
                <w:color w:val="auto"/>
              </w:rPr>
              <w:t>(8)</w:t>
            </w:r>
          </w:p>
        </w:tc>
        <w:tc>
          <w:tcPr>
            <w:tcW w:w="5440" w:type="dxa"/>
            <w:vAlign w:val="bottom"/>
            <w:tcBorders>
              <w:bottom w:val="single" w:sz="8" w:color="auto"/>
            </w:tcBorders>
          </w:tcPr>
          <w:p>
            <w:pPr>
              <w:ind w:left="40"/>
              <w:spacing w:after="0" w:line="251" w:lineRule="exact"/>
              <w:rPr>
                <w:sz w:val="20"/>
                <w:szCs w:val="20"/>
                <w:color w:val="auto"/>
              </w:rPr>
            </w:pPr>
            <w:r>
              <w:rPr>
                <w:rFonts w:ascii="Arial" w:cs="Arial" w:eastAsia="Arial" w:hAnsi="Arial"/>
                <w:sz w:val="23"/>
                <w:szCs w:val="23"/>
                <w:color w:val="auto"/>
              </w:rPr>
              <w:t>Shared Dispositive Power:</w:t>
            </w:r>
          </w:p>
        </w:tc>
        <w:tc>
          <w:tcPr>
            <w:tcW w:w="292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3"/>
                <w:szCs w:val="23"/>
                <w:color w:val="auto"/>
              </w:rPr>
              <w:t>967,448*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625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27" w:lineRule="exact"/>
        <w:rPr>
          <w:sz w:val="20"/>
          <w:szCs w:val="20"/>
          <w:color w:val="auto"/>
        </w:rPr>
      </w:pPr>
    </w:p>
    <w:p>
      <w:pPr>
        <w:ind w:left="1066" w:right="5600" w:hanging="1066"/>
        <w:spacing w:after="0" w:line="360" w:lineRule="auto"/>
        <w:tabs>
          <w:tab w:leader="none" w:pos="317" w:val="left"/>
        </w:tabs>
        <w:numPr>
          <w:ilvl w:val="0"/>
          <w:numId w:val="11"/>
        </w:numPr>
        <w:rPr>
          <w:rFonts w:ascii="Arial" w:cs="Arial" w:eastAsia="Arial" w:hAnsi="Arial"/>
          <w:sz w:val="23"/>
          <w:szCs w:val="23"/>
          <w:color w:val="auto"/>
        </w:rPr>
      </w:pPr>
      <w:r>
        <w:rPr>
          <w:rFonts w:ascii="Arial" w:cs="Arial" w:eastAsia="Arial" w:hAnsi="Arial"/>
          <w:sz w:val="23"/>
          <w:szCs w:val="23"/>
          <w:color w:val="auto"/>
        </w:rPr>
        <w:t>Aggregate Amount Beneficially Owned by Each Reporting Person 967,448*</w:t>
      </w:r>
    </w:p>
    <w:p>
      <w:pPr>
        <w:spacing w:after="0" w:line="76" w:lineRule="exact"/>
        <w:rPr>
          <w:rFonts w:ascii="Arial" w:cs="Arial" w:eastAsia="Arial" w:hAnsi="Arial"/>
          <w:sz w:val="23"/>
          <w:szCs w:val="23"/>
          <w:color w:val="auto"/>
        </w:rPr>
      </w:pPr>
    </w:p>
    <w:p>
      <w:pPr>
        <w:ind w:left="446" w:hanging="446"/>
        <w:spacing w:after="0"/>
        <w:tabs>
          <w:tab w:leader="none" w:pos="446" w:val="left"/>
        </w:tabs>
        <w:numPr>
          <w:ilvl w:val="0"/>
          <w:numId w:val="11"/>
        </w:numPr>
        <w:rPr>
          <w:rFonts w:ascii="Arial" w:cs="Arial" w:eastAsia="Arial" w:hAnsi="Arial"/>
          <w:sz w:val="23"/>
          <w:szCs w:val="23"/>
          <w:color w:val="auto"/>
        </w:rPr>
      </w:pPr>
      <w:r>
        <w:rPr>
          <w:rFonts w:ascii="Arial" w:cs="Arial" w:eastAsia="Arial" w:hAnsi="Arial"/>
          <w:sz w:val="23"/>
          <w:szCs w:val="23"/>
          <w:color w:val="auto"/>
        </w:rPr>
        <w:t>Check if the Aggregate Amount in Row (9) Excludes Certain Shares (See Instructions):</w:t>
      </w:r>
    </w:p>
    <w:p>
      <w:pPr>
        <w:spacing w:after="0" w:line="111" w:lineRule="exact"/>
        <w:rPr>
          <w:rFonts w:ascii="Arial" w:cs="Arial" w:eastAsia="Arial" w:hAnsi="Arial"/>
          <w:sz w:val="23"/>
          <w:szCs w:val="23"/>
          <w:color w:val="auto"/>
        </w:rPr>
      </w:pPr>
    </w:p>
    <w:p>
      <w:pPr>
        <w:ind w:left="1066"/>
        <w:spacing w:after="0"/>
        <w:rPr>
          <w:rFonts w:ascii="Arial" w:cs="Arial" w:eastAsia="Arial" w:hAnsi="Arial"/>
          <w:sz w:val="23"/>
          <w:szCs w:val="23"/>
          <w:color w:val="auto"/>
        </w:rPr>
      </w:pPr>
      <w:r>
        <w:rPr>
          <w:rFonts w:ascii="Arial" w:cs="Arial" w:eastAsia="Arial" w:hAnsi="Arial"/>
          <w:sz w:val="21"/>
          <w:szCs w:val="21"/>
          <w:color w:val="auto"/>
        </w:rPr>
        <w:t>[  ]</w:t>
      </w:r>
    </w:p>
    <w:p>
      <w:pPr>
        <w:spacing w:after="0" w:line="252" w:lineRule="exact"/>
        <w:rPr>
          <w:rFonts w:ascii="Arial" w:cs="Arial" w:eastAsia="Arial" w:hAnsi="Arial"/>
          <w:sz w:val="23"/>
          <w:szCs w:val="23"/>
          <w:color w:val="auto"/>
        </w:rPr>
      </w:pPr>
    </w:p>
    <w:p>
      <w:pPr>
        <w:ind w:left="426" w:hanging="426"/>
        <w:spacing w:after="0"/>
        <w:tabs>
          <w:tab w:leader="none" w:pos="426" w:val="left"/>
        </w:tabs>
        <w:numPr>
          <w:ilvl w:val="0"/>
          <w:numId w:val="11"/>
        </w:numPr>
        <w:rPr>
          <w:rFonts w:ascii="Arial" w:cs="Arial" w:eastAsia="Arial" w:hAnsi="Arial"/>
          <w:sz w:val="23"/>
          <w:szCs w:val="23"/>
          <w:color w:val="auto"/>
        </w:rPr>
      </w:pPr>
      <w:r>
        <w:rPr>
          <w:rFonts w:ascii="Arial" w:cs="Arial" w:eastAsia="Arial" w:hAnsi="Arial"/>
          <w:sz w:val="23"/>
          <w:szCs w:val="23"/>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625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-786130</wp:posOffset>
            </wp:positionV>
            <wp:extent cx="7625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86" w:lineRule="exact"/>
        <w:rPr>
          <w:sz w:val="20"/>
          <w:szCs w:val="20"/>
          <w:color w:val="auto"/>
        </w:rPr>
      </w:pPr>
    </w:p>
    <w:p>
      <w:pPr>
        <w:ind w:left="1066"/>
        <w:spacing w:after="0"/>
        <w:rPr>
          <w:sz w:val="20"/>
          <w:szCs w:val="20"/>
          <w:color w:val="auto"/>
        </w:rPr>
      </w:pPr>
      <w:r>
        <w:rPr>
          <w:rFonts w:ascii="Arial" w:cs="Arial" w:eastAsia="Arial" w:hAnsi="Arial"/>
          <w:sz w:val="23"/>
          <w:szCs w:val="2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625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15" w:lineRule="exact"/>
        <w:rPr>
          <w:sz w:val="20"/>
          <w:szCs w:val="20"/>
          <w:color w:val="auto"/>
        </w:rPr>
      </w:pPr>
    </w:p>
    <w:p>
      <w:pPr>
        <w:ind w:left="446" w:hanging="446"/>
        <w:spacing w:after="0"/>
        <w:tabs>
          <w:tab w:leader="none" w:pos="446" w:val="left"/>
        </w:tabs>
        <w:numPr>
          <w:ilvl w:val="0"/>
          <w:numId w:val="12"/>
        </w:numPr>
        <w:rPr>
          <w:rFonts w:ascii="Arial" w:cs="Arial" w:eastAsia="Arial" w:hAnsi="Arial"/>
          <w:sz w:val="23"/>
          <w:szCs w:val="23"/>
          <w:color w:val="auto"/>
        </w:rPr>
      </w:pPr>
      <w:r>
        <w:rPr>
          <w:rFonts w:ascii="Arial" w:cs="Arial" w:eastAsia="Arial" w:hAnsi="Arial"/>
          <w:sz w:val="23"/>
          <w:szCs w:val="23"/>
          <w:color w:val="auto"/>
        </w:rPr>
        <w:t>Type of Reporting Person</w:t>
      </w:r>
    </w:p>
    <w:p>
      <w:pPr>
        <w:spacing w:after="0" w:line="111" w:lineRule="exact"/>
        <w:rPr>
          <w:rFonts w:ascii="Arial" w:cs="Arial" w:eastAsia="Arial" w:hAnsi="Arial"/>
          <w:sz w:val="23"/>
          <w:szCs w:val="23"/>
          <w:color w:val="auto"/>
        </w:rPr>
      </w:pPr>
    </w:p>
    <w:p>
      <w:pPr>
        <w:ind w:left="1066"/>
        <w:spacing w:after="0"/>
        <w:rPr>
          <w:rFonts w:ascii="Arial" w:cs="Arial" w:eastAsia="Arial" w:hAnsi="Arial"/>
          <w:sz w:val="23"/>
          <w:szCs w:val="23"/>
          <w:color w:val="auto"/>
        </w:rPr>
      </w:pPr>
      <w:r>
        <w:rPr>
          <w:rFonts w:ascii="Arial" w:cs="Arial" w:eastAsia="Arial" w:hAnsi="Arial"/>
          <w:sz w:val="21"/>
          <w:szCs w:val="2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625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5" w:lineRule="exact"/>
        <w:rPr>
          <w:sz w:val="20"/>
          <w:szCs w:val="20"/>
          <w:color w:val="auto"/>
        </w:rPr>
      </w:pPr>
    </w:p>
    <w:p>
      <w:pPr>
        <w:jc w:val="both"/>
        <w:ind w:left="6" w:hanging="6"/>
        <w:spacing w:after="0" w:line="257" w:lineRule="auto"/>
        <w:tabs>
          <w:tab w:leader="none" w:pos="151" w:val="left"/>
        </w:tabs>
        <w:numPr>
          <w:ilvl w:val="0"/>
          <w:numId w:val="13"/>
        </w:numPr>
        <w:rPr>
          <w:rFonts w:ascii="Arial" w:cs="Arial" w:eastAsia="Arial" w:hAnsi="Arial"/>
          <w:sz w:val="19"/>
          <w:szCs w:val="19"/>
          <w:color w:val="auto"/>
        </w:rPr>
      </w:pPr>
      <w:r>
        <w:rPr>
          <w:rFonts w:ascii="Arial" w:cs="Arial" w:eastAsia="Arial" w:hAnsi="Arial"/>
          <w:sz w:val="19"/>
          <w:szCs w:val="19"/>
          <w:color w:val="auto"/>
        </w:rPr>
        <w:t>Beneficial ownership percentage is based upon 12,013,682 shares of Common Stock of the Company issued and outstanding as of October 31, 2018, based on information reported by the Company in its Quarterly Report on Form 10-Q, filed with the Securities and Exchange Commission on November 5, 2018. Park West Asset Management LLC (“PWAM”) is the investment manager to Park West Investors Master Fund, Limited, a Cayman Islands exempted company (“PWIMF”), and Park West Partners International, Limited, a Cayman Islands exempted company (“PWPI” and, collectively with PWIMF, the “PW Funds”), and Peter S. Park (“Mr. Park” and, collectively with PWAM and PWIMF, the “Reporting Persons”) is the sole member and manager of PWAM. As of December 31, 2018, PWIMF held 871,411 shares of Common Stock and PWPI held 96,037 shares of Common Stock. As a result of the foregoing, for purposes of Reg. Section 240.13d-3, PWAM and Mr. Park may be deemed to beneficially own the 967,448 shares of Common Stock held in the aggregate by the PW Funds for an aggregate beneficial ownership percentage of approximately 8.1% of the shares of Common Stock deemed issued and outstanding as of December 31, 2018.</w:t>
      </w:r>
    </w:p>
    <w:p>
      <w:pPr>
        <w:sectPr>
          <w:pgSz w:w="12240" w:h="15840" w:orient="portrait"/>
          <w:cols w:equalWidth="0" w:num="1">
            <w:col w:w="12006"/>
          </w:cols>
          <w:pgMar w:left="114" w:top="0" w:right="120" w:bottom="1440"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auto"/>
        </w:rPr>
        <w:t xml:space="preserve">Item 1(a). Name Of Issuer: </w:t>
      </w:r>
      <w:r>
        <w:rPr>
          <w:rFonts w:ascii="Arial" w:cs="Arial" w:eastAsia="Arial" w:hAnsi="Arial"/>
          <w:sz w:val="23"/>
          <w:szCs w:val="23"/>
          <w:color w:val="auto"/>
        </w:rPr>
        <w:t>OptimizeRx Corporation (the “Company”)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1(b). Address of Issuer’s Principal Executive Offices:</w:t>
      </w:r>
    </w:p>
    <w:p>
      <w:pPr>
        <w:spacing w:after="0" w:line="112" w:lineRule="exact"/>
        <w:rPr>
          <w:sz w:val="20"/>
          <w:szCs w:val="20"/>
          <w:color w:val="auto"/>
        </w:rPr>
      </w:pPr>
    </w:p>
    <w:p>
      <w:pPr>
        <w:ind w:left="940"/>
        <w:spacing w:after="0"/>
        <w:rPr>
          <w:sz w:val="20"/>
          <w:szCs w:val="20"/>
          <w:color w:val="auto"/>
        </w:rPr>
      </w:pPr>
      <w:r>
        <w:rPr>
          <w:rFonts w:ascii="Arial" w:cs="Arial" w:eastAsia="Arial" w:hAnsi="Arial"/>
          <w:sz w:val="23"/>
          <w:szCs w:val="23"/>
          <w:color w:val="auto"/>
        </w:rPr>
        <w:t>400 Water Street, Suite 200</w:t>
      </w:r>
    </w:p>
    <w:p>
      <w:pPr>
        <w:spacing w:after="0" w:line="12" w:lineRule="exact"/>
        <w:rPr>
          <w:sz w:val="20"/>
          <w:szCs w:val="20"/>
          <w:color w:val="auto"/>
        </w:rPr>
      </w:pPr>
    </w:p>
    <w:p>
      <w:pPr>
        <w:ind w:left="940"/>
        <w:spacing w:after="0"/>
        <w:rPr>
          <w:sz w:val="20"/>
          <w:szCs w:val="20"/>
          <w:color w:val="auto"/>
        </w:rPr>
      </w:pPr>
      <w:r>
        <w:rPr>
          <w:rFonts w:ascii="Arial" w:cs="Arial" w:eastAsia="Arial" w:hAnsi="Arial"/>
          <w:sz w:val="23"/>
          <w:szCs w:val="23"/>
          <w:color w:val="auto"/>
        </w:rPr>
        <w:t>Rochester, MI 48307</w:t>
      </w:r>
    </w:p>
    <w:p>
      <w:pPr>
        <w:spacing w:after="0" w:line="3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2(a). Name of Person Filing:</w:t>
      </w:r>
    </w:p>
    <w:p>
      <w:pPr>
        <w:spacing w:after="0" w:line="112" w:lineRule="exact"/>
        <w:rPr>
          <w:sz w:val="20"/>
          <w:szCs w:val="20"/>
          <w:color w:val="auto"/>
        </w:rPr>
      </w:pPr>
    </w:p>
    <w:p>
      <w:pPr>
        <w:jc w:val="both"/>
        <w:ind w:left="940" w:firstLine="685"/>
        <w:spacing w:after="0" w:line="263" w:lineRule="auto"/>
        <w:rPr>
          <w:sz w:val="20"/>
          <w:szCs w:val="20"/>
          <w:color w:val="auto"/>
        </w:rPr>
      </w:pPr>
      <w:r>
        <w:rPr>
          <w:rFonts w:ascii="Arial" w:cs="Arial" w:eastAsia="Arial" w:hAnsi="Arial"/>
          <w:sz w:val="21"/>
          <w:szCs w:val="21"/>
          <w:color w:val="auto"/>
        </w:rPr>
        <w:t>This report on Schedule 13G (this “Schedule 13G”), is being jointly filed by (i) Park West Asset Management LLC (“PWAM”), a Delaware limited liability company and the investment manager to (a) Park West Investors Master Fund, Limited (“PWIMF”), a Cayman Islands exempted company that is the holder of 871,411 shares of common stock, $0.001 par value per share (“Common Stock”), of the Company and (b) Park West Partners International, Limited (“PWPI” and, collectively with PWIMF, the “PW Funds”), a Cayman Islands exempted company that is the holder of 96,037 shares of Common Stock; (ii) PWIMF; and (iii) Peter S. Park, as the sole member and manager of PWAM (“Mr. Park” and, collectively with PWAM and PWIMF, the “Reporting Persons”).</w:t>
      </w:r>
    </w:p>
    <w:p>
      <w:pPr>
        <w:spacing w:after="0" w:line="201" w:lineRule="exact"/>
        <w:rPr>
          <w:sz w:val="20"/>
          <w:szCs w:val="20"/>
          <w:color w:val="auto"/>
        </w:rPr>
      </w:pPr>
    </w:p>
    <w:p>
      <w:pPr>
        <w:jc w:val="both"/>
        <w:ind w:left="940" w:firstLine="685"/>
        <w:spacing w:after="0" w:line="255" w:lineRule="auto"/>
        <w:rPr>
          <w:sz w:val="20"/>
          <w:szCs w:val="20"/>
          <w:color w:val="auto"/>
        </w:rPr>
      </w:pPr>
      <w:r>
        <w:rPr>
          <w:rFonts w:ascii="Arial" w:cs="Arial" w:eastAsia="Arial" w:hAnsi="Arial"/>
          <w:sz w:val="22"/>
          <w:szCs w:val="22"/>
          <w:color w:val="auto"/>
        </w:rPr>
        <w:t>The 967,448 shares of Common Stock of the Company held in the aggregate by the PW Funds, which constitute approximately 8.1% of the shares of Common Stock of the Company deemed to be issued and outstanding as of the date hereof, may be deemed to be beneficially owned (x) indirectly by PWAM, as the investment manager to the PW Funds, and (y) indirectly by Mr. Park, as the managing member of PWAM.</w:t>
      </w:r>
    </w:p>
    <w:p>
      <w:pPr>
        <w:spacing w:after="0" w:line="208" w:lineRule="exact"/>
        <w:rPr>
          <w:sz w:val="20"/>
          <w:szCs w:val="20"/>
          <w:color w:val="auto"/>
        </w:rPr>
      </w:pPr>
    </w:p>
    <w:p>
      <w:pPr>
        <w:jc w:val="both"/>
        <w:ind w:left="940" w:firstLine="685"/>
        <w:spacing w:after="0" w:line="257" w:lineRule="auto"/>
        <w:rPr>
          <w:sz w:val="20"/>
          <w:szCs w:val="20"/>
          <w:color w:val="auto"/>
        </w:rPr>
      </w:pPr>
      <w:r>
        <w:rPr>
          <w:rFonts w:ascii="Arial" w:cs="Arial" w:eastAsia="Arial" w:hAnsi="Arial"/>
          <w:sz w:val="23"/>
          <w:szCs w:val="23"/>
          <w:color w:val="auto"/>
        </w:rPr>
        <w:t>As of December 31, 2018, PWIMF held 871,411 shares of Common Stock, constituting approximately 7.3% of the Common Stock deemed to be issued and outstanding as of December 31, 2018.</w:t>
      </w:r>
    </w:p>
    <w:p>
      <w:pPr>
        <w:spacing w:after="0" w:line="3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2(b). Address of Principal Business Office or, if None, Residence:</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21"/>
          <w:szCs w:val="21"/>
          <w:color w:val="auto"/>
        </w:rPr>
        <w:t>The address for the Reporting Persons is: 900 Larkspur Landing Circle, Suite 165, Larkspur, California 94939.</w:t>
      </w:r>
    </w:p>
    <w:p>
      <w:pPr>
        <w:spacing w:after="0" w:line="3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2(c). Citizenship:</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PWAM is organized under the laws of the State of Delaware. PWIMF is a Cayman Islands exempted company.</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23"/>
          <w:szCs w:val="23"/>
          <w:color w:val="auto"/>
        </w:rPr>
        <w:t>Mr. Park is a citizen of the United States.</w:t>
      </w:r>
    </w:p>
    <w:p>
      <w:pPr>
        <w:spacing w:after="0" w:line="3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2(d). Title of Class of Securities:</w:t>
      </w:r>
    </w:p>
    <w:p>
      <w:pPr>
        <w:spacing w:after="0" w:line="226" w:lineRule="exact"/>
        <w:rPr>
          <w:sz w:val="20"/>
          <w:szCs w:val="20"/>
          <w:color w:val="auto"/>
        </w:rPr>
      </w:pPr>
    </w:p>
    <w:p>
      <w:pPr>
        <w:ind w:left="900"/>
        <w:spacing w:after="0"/>
        <w:rPr>
          <w:sz w:val="20"/>
          <w:szCs w:val="20"/>
          <w:color w:val="auto"/>
        </w:rPr>
      </w:pPr>
      <w:r>
        <w:rPr>
          <w:rFonts w:ascii="Arial" w:cs="Arial" w:eastAsia="Arial" w:hAnsi="Arial"/>
          <w:sz w:val="23"/>
          <w:szCs w:val="23"/>
          <w:color w:val="auto"/>
        </w:rPr>
        <w:t>Common Stock, $0.001 par value per share.</w:t>
      </w: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2(e). CUSIP No.:</w:t>
      </w:r>
    </w:p>
    <w:p>
      <w:pPr>
        <w:spacing w:after="0" w:line="226" w:lineRule="exact"/>
        <w:rPr>
          <w:sz w:val="20"/>
          <w:szCs w:val="20"/>
          <w:color w:val="auto"/>
        </w:rPr>
      </w:pPr>
    </w:p>
    <w:p>
      <w:pPr>
        <w:ind w:left="900"/>
        <w:spacing w:after="0"/>
        <w:rPr>
          <w:sz w:val="20"/>
          <w:szCs w:val="20"/>
          <w:color w:val="auto"/>
        </w:rPr>
      </w:pPr>
      <w:r>
        <w:rPr>
          <w:rFonts w:ascii="Arial" w:cs="Arial" w:eastAsia="Arial" w:hAnsi="Arial"/>
          <w:sz w:val="23"/>
          <w:szCs w:val="23"/>
          <w:color w:val="auto"/>
        </w:rPr>
        <w:t>68401U204</w:t>
      </w:r>
    </w:p>
    <w:p>
      <w:pPr>
        <w:sectPr>
          <w:pgSz w:w="12240" w:h="15840" w:orient="portrait"/>
          <w:cols w:equalWidth="0" w:num="1">
            <w:col w:w="11900"/>
          </w:cols>
          <w:pgMar w:left="120" w:top="1039" w:right="220" w:bottom="1440" w:gutter="0" w:footer="0" w:header="0"/>
        </w:sectPr>
      </w:pPr>
    </w:p>
    <w:bookmarkStart w:id="5" w:name="page6"/>
    <w:bookmarkEnd w:id="5"/>
    <w:p>
      <w:pPr>
        <w:ind w:left="766" w:right="720" w:hanging="769"/>
        <w:spacing w:after="0" w:line="262" w:lineRule="auto"/>
        <w:rPr>
          <w:sz w:val="20"/>
          <w:szCs w:val="20"/>
          <w:color w:val="auto"/>
        </w:rPr>
      </w:pPr>
      <w:r>
        <w:rPr>
          <w:rFonts w:ascii="Arial" w:cs="Arial" w:eastAsia="Arial" w:hAnsi="Arial"/>
          <w:sz w:val="23"/>
          <w:szCs w:val="23"/>
          <w:b w:val="1"/>
          <w:bCs w:val="1"/>
          <w:color w:val="auto"/>
        </w:rPr>
        <w:t>Item 3. If This Statement Is Filed Pursuant to Section 240.13d-1(b) or 240.13d-2(b) or (c), check whether the Person Filing is a:</w:t>
      </w:r>
    </w:p>
    <w:p>
      <w:pPr>
        <w:spacing w:after="0" w:line="170" w:lineRule="exact"/>
        <w:rPr>
          <w:sz w:val="20"/>
          <w:szCs w:val="20"/>
          <w:color w:val="auto"/>
        </w:rPr>
      </w:pPr>
    </w:p>
    <w:p>
      <w:pPr>
        <w:ind w:left="846"/>
        <w:spacing w:after="0"/>
        <w:rPr>
          <w:sz w:val="20"/>
          <w:szCs w:val="20"/>
          <w:color w:val="auto"/>
        </w:rPr>
      </w:pPr>
      <w:r>
        <w:rPr>
          <w:rFonts w:ascii="Arial" w:cs="Arial" w:eastAsia="Arial" w:hAnsi="Arial"/>
          <w:sz w:val="23"/>
          <w:szCs w:val="23"/>
          <w:color w:val="auto"/>
        </w:rPr>
        <w:t>Not Applicable.</w:t>
      </w:r>
    </w:p>
    <w:p>
      <w:pPr>
        <w:spacing w:after="0" w:line="214" w:lineRule="exact"/>
        <w:rPr>
          <w:sz w:val="20"/>
          <w:szCs w:val="20"/>
          <w:color w:val="auto"/>
        </w:rPr>
      </w:pPr>
    </w:p>
    <w:p>
      <w:pPr>
        <w:ind w:left="6"/>
        <w:spacing w:after="0"/>
        <w:rPr>
          <w:sz w:val="20"/>
          <w:szCs w:val="20"/>
          <w:color w:val="auto"/>
        </w:rPr>
      </w:pPr>
      <w:r>
        <w:rPr>
          <w:rFonts w:ascii="Arial" w:cs="Arial" w:eastAsia="Arial" w:hAnsi="Arial"/>
          <w:sz w:val="23"/>
          <w:szCs w:val="23"/>
          <w:b w:val="1"/>
          <w:bCs w:val="1"/>
          <w:color w:val="auto"/>
        </w:rPr>
        <w:t>Item 4. Ownership:</w:t>
      </w:r>
    </w:p>
    <w:p>
      <w:pPr>
        <w:spacing w:after="0" w:line="112" w:lineRule="exact"/>
        <w:rPr>
          <w:sz w:val="20"/>
          <w:szCs w:val="20"/>
          <w:color w:val="auto"/>
        </w:rPr>
      </w:pPr>
    </w:p>
    <w:p>
      <w:pPr>
        <w:ind w:left="946"/>
        <w:spacing w:after="0"/>
        <w:rPr>
          <w:sz w:val="20"/>
          <w:szCs w:val="20"/>
          <w:color w:val="auto"/>
        </w:rPr>
      </w:pPr>
      <w:r>
        <w:rPr>
          <w:rFonts w:ascii="Arial" w:cs="Arial" w:eastAsia="Arial" w:hAnsi="Arial"/>
          <w:sz w:val="22"/>
          <w:szCs w:val="22"/>
          <w:color w:val="auto"/>
        </w:rPr>
        <w:t>As reported in the cover pages to this report, the ownership information with respect to each of PWAM and Mr.</w:t>
      </w:r>
    </w:p>
    <w:p>
      <w:pPr>
        <w:spacing w:after="0" w:line="24" w:lineRule="exact"/>
        <w:rPr>
          <w:sz w:val="20"/>
          <w:szCs w:val="20"/>
          <w:color w:val="auto"/>
        </w:rPr>
      </w:pPr>
    </w:p>
    <w:p>
      <w:pPr>
        <w:ind w:left="946"/>
        <w:spacing w:after="0"/>
        <w:rPr>
          <w:sz w:val="20"/>
          <w:szCs w:val="20"/>
          <w:color w:val="auto"/>
        </w:rPr>
      </w:pPr>
      <w:r>
        <w:rPr>
          <w:rFonts w:ascii="Arial" w:cs="Arial" w:eastAsia="Arial" w:hAnsi="Arial"/>
          <w:sz w:val="23"/>
          <w:szCs w:val="23"/>
          <w:color w:val="auto"/>
        </w:rPr>
        <w:t>Park is as follows:</w:t>
      </w:r>
    </w:p>
    <w:p>
      <w:pPr>
        <w:spacing w:after="0" w:line="343" w:lineRule="exact"/>
        <w:rPr>
          <w:sz w:val="20"/>
          <w:szCs w:val="20"/>
          <w:color w:val="auto"/>
        </w:rPr>
      </w:pPr>
    </w:p>
    <w:tbl>
      <w:tblPr>
        <w:tblLayout w:type="fixed"/>
        <w:tblInd w:w="946" w:type="dxa"/>
        <w:tblCellMar>
          <w:top w:w="0" w:type="dxa"/>
          <w:left w:w="0" w:type="dxa"/>
          <w:bottom w:w="0" w:type="dxa"/>
          <w:right w:w="0" w:type="dxa"/>
        </w:tblCellMar>
      </w:tblPr>
      <w:tr>
        <w:trPr>
          <w:trHeight w:val="291"/>
        </w:trPr>
        <w:tc>
          <w:tcPr>
            <w:tcW w:w="380" w:type="dxa"/>
            <w:vAlign w:val="bottom"/>
          </w:tcPr>
          <w:p>
            <w:pPr>
              <w:spacing w:after="0"/>
              <w:rPr>
                <w:sz w:val="20"/>
                <w:szCs w:val="20"/>
                <w:color w:val="auto"/>
              </w:rPr>
            </w:pPr>
            <w:r>
              <w:rPr>
                <w:rFonts w:ascii="Arial" w:cs="Arial" w:eastAsia="Arial" w:hAnsi="Arial"/>
                <w:sz w:val="23"/>
                <w:szCs w:val="23"/>
                <w:color w:val="auto"/>
              </w:rPr>
              <w:t>(a)</w:t>
            </w:r>
          </w:p>
        </w:tc>
        <w:tc>
          <w:tcPr>
            <w:tcW w:w="7840" w:type="dxa"/>
            <w:vAlign w:val="bottom"/>
          </w:tcPr>
          <w:p>
            <w:pPr>
              <w:ind w:left="140"/>
              <w:spacing w:after="0"/>
              <w:rPr>
                <w:sz w:val="20"/>
                <w:szCs w:val="20"/>
                <w:color w:val="auto"/>
              </w:rPr>
            </w:pPr>
            <w:r>
              <w:rPr>
                <w:rFonts w:ascii="Arial" w:cs="Arial" w:eastAsia="Arial" w:hAnsi="Arial"/>
                <w:sz w:val="23"/>
                <w:szCs w:val="23"/>
                <w:color w:val="auto"/>
              </w:rPr>
              <w:t>Amount Beneficially Owned:</w:t>
            </w:r>
          </w:p>
        </w:tc>
        <w:tc>
          <w:tcPr>
            <w:tcW w:w="2260" w:type="dxa"/>
            <w:vAlign w:val="bottom"/>
          </w:tcPr>
          <w:p>
            <w:pPr>
              <w:jc w:val="right"/>
              <w:spacing w:after="0"/>
              <w:rPr>
                <w:sz w:val="20"/>
                <w:szCs w:val="20"/>
                <w:color w:val="auto"/>
              </w:rPr>
            </w:pPr>
            <w:r>
              <w:rPr>
                <w:rFonts w:ascii="Arial" w:cs="Arial" w:eastAsia="Arial" w:hAnsi="Arial"/>
                <w:sz w:val="23"/>
                <w:szCs w:val="23"/>
                <w:color w:val="auto"/>
              </w:rPr>
              <w:t>967,448*</w:t>
            </w:r>
          </w:p>
        </w:tc>
      </w:tr>
      <w:tr>
        <w:trPr>
          <w:trHeight w:val="371"/>
        </w:trPr>
        <w:tc>
          <w:tcPr>
            <w:tcW w:w="380" w:type="dxa"/>
            <w:vAlign w:val="bottom"/>
          </w:tcPr>
          <w:p>
            <w:pPr>
              <w:spacing w:after="0"/>
              <w:rPr>
                <w:sz w:val="20"/>
                <w:szCs w:val="20"/>
                <w:color w:val="auto"/>
              </w:rPr>
            </w:pPr>
            <w:r>
              <w:rPr>
                <w:rFonts w:ascii="Arial" w:cs="Arial" w:eastAsia="Arial" w:hAnsi="Arial"/>
                <w:sz w:val="23"/>
                <w:szCs w:val="23"/>
                <w:color w:val="auto"/>
              </w:rPr>
              <w:t>(b)</w:t>
            </w:r>
          </w:p>
        </w:tc>
        <w:tc>
          <w:tcPr>
            <w:tcW w:w="7840" w:type="dxa"/>
            <w:vAlign w:val="bottom"/>
          </w:tcPr>
          <w:p>
            <w:pPr>
              <w:ind w:left="120"/>
              <w:spacing w:after="0"/>
              <w:rPr>
                <w:sz w:val="20"/>
                <w:szCs w:val="20"/>
                <w:color w:val="auto"/>
              </w:rPr>
            </w:pPr>
            <w:r>
              <w:rPr>
                <w:rFonts w:ascii="Arial" w:cs="Arial" w:eastAsia="Arial" w:hAnsi="Arial"/>
                <w:sz w:val="23"/>
                <w:szCs w:val="23"/>
                <w:color w:val="auto"/>
              </w:rPr>
              <w:t>Percent of Class:</w:t>
            </w:r>
          </w:p>
        </w:tc>
        <w:tc>
          <w:tcPr>
            <w:tcW w:w="2260" w:type="dxa"/>
            <w:vAlign w:val="bottom"/>
          </w:tcPr>
          <w:p>
            <w:pPr>
              <w:jc w:val="right"/>
              <w:spacing w:after="0"/>
              <w:rPr>
                <w:sz w:val="20"/>
                <w:szCs w:val="20"/>
                <w:color w:val="auto"/>
              </w:rPr>
            </w:pPr>
            <w:r>
              <w:rPr>
                <w:rFonts w:ascii="Arial" w:cs="Arial" w:eastAsia="Arial" w:hAnsi="Arial"/>
                <w:sz w:val="23"/>
                <w:szCs w:val="23"/>
                <w:color w:val="auto"/>
              </w:rPr>
              <w:t>8.1%*</w:t>
            </w:r>
          </w:p>
        </w:tc>
      </w:tr>
      <w:tr>
        <w:trPr>
          <w:trHeight w:val="371"/>
        </w:trPr>
        <w:tc>
          <w:tcPr>
            <w:tcW w:w="8220" w:type="dxa"/>
            <w:vAlign w:val="bottom"/>
            <w:gridSpan w:val="2"/>
          </w:tcPr>
          <w:p>
            <w:pPr>
              <w:spacing w:after="0"/>
              <w:rPr>
                <w:sz w:val="20"/>
                <w:szCs w:val="20"/>
                <w:color w:val="auto"/>
              </w:rPr>
            </w:pPr>
            <w:r>
              <w:rPr>
                <w:rFonts w:ascii="Arial" w:cs="Arial" w:eastAsia="Arial" w:hAnsi="Arial"/>
                <w:sz w:val="23"/>
                <w:szCs w:val="23"/>
                <w:color w:val="auto"/>
              </w:rPr>
              <w:t>(c)   Number of Shares as to which such person has:</w:t>
            </w:r>
          </w:p>
        </w:tc>
        <w:tc>
          <w:tcPr>
            <w:tcW w:w="2260" w:type="dxa"/>
            <w:vAlign w:val="bottom"/>
          </w:tcPr>
          <w:p>
            <w:pPr>
              <w:spacing w:after="0"/>
              <w:rPr>
                <w:sz w:val="24"/>
                <w:szCs w:val="24"/>
                <w:color w:val="auto"/>
              </w:rPr>
            </w:pPr>
          </w:p>
        </w:tc>
      </w:tr>
      <w:tr>
        <w:trPr>
          <w:trHeight w:val="371"/>
        </w:trPr>
        <w:tc>
          <w:tcPr>
            <w:tcW w:w="380" w:type="dxa"/>
            <w:vAlign w:val="bottom"/>
          </w:tcPr>
          <w:p>
            <w:pPr>
              <w:spacing w:after="0"/>
              <w:rPr>
                <w:sz w:val="24"/>
                <w:szCs w:val="24"/>
                <w:color w:val="auto"/>
              </w:rPr>
            </w:pPr>
          </w:p>
        </w:tc>
        <w:tc>
          <w:tcPr>
            <w:tcW w:w="7840" w:type="dxa"/>
            <w:vAlign w:val="bottom"/>
          </w:tcPr>
          <w:p>
            <w:pPr>
              <w:ind w:left="840"/>
              <w:spacing w:after="0"/>
              <w:rPr>
                <w:sz w:val="20"/>
                <w:szCs w:val="20"/>
                <w:color w:val="auto"/>
              </w:rPr>
            </w:pPr>
            <w:r>
              <w:rPr>
                <w:rFonts w:ascii="Arial" w:cs="Arial" w:eastAsia="Arial" w:hAnsi="Arial"/>
                <w:sz w:val="23"/>
                <w:szCs w:val="23"/>
                <w:color w:val="auto"/>
              </w:rPr>
              <w:t>(i)   Sole power to vote or to direct the vote:</w:t>
            </w:r>
          </w:p>
        </w:tc>
        <w:tc>
          <w:tcPr>
            <w:tcW w:w="2260" w:type="dxa"/>
            <w:vAlign w:val="bottom"/>
          </w:tcPr>
          <w:p>
            <w:pPr>
              <w:jc w:val="right"/>
              <w:spacing w:after="0"/>
              <w:rPr>
                <w:sz w:val="20"/>
                <w:szCs w:val="20"/>
                <w:color w:val="auto"/>
              </w:rPr>
            </w:pPr>
            <w:r>
              <w:rPr>
                <w:rFonts w:ascii="Arial" w:cs="Arial" w:eastAsia="Arial" w:hAnsi="Arial"/>
                <w:sz w:val="23"/>
                <w:szCs w:val="23"/>
                <w:color w:val="auto"/>
              </w:rPr>
              <w:t>0</w:t>
            </w:r>
          </w:p>
        </w:tc>
      </w:tr>
      <w:tr>
        <w:trPr>
          <w:trHeight w:val="371"/>
        </w:trPr>
        <w:tc>
          <w:tcPr>
            <w:tcW w:w="380" w:type="dxa"/>
            <w:vAlign w:val="bottom"/>
          </w:tcPr>
          <w:p>
            <w:pPr>
              <w:spacing w:after="0"/>
              <w:rPr>
                <w:sz w:val="24"/>
                <w:szCs w:val="24"/>
                <w:color w:val="auto"/>
              </w:rPr>
            </w:pPr>
          </w:p>
        </w:tc>
        <w:tc>
          <w:tcPr>
            <w:tcW w:w="7840" w:type="dxa"/>
            <w:vAlign w:val="bottom"/>
          </w:tcPr>
          <w:p>
            <w:pPr>
              <w:ind w:left="840"/>
              <w:spacing w:after="0"/>
              <w:rPr>
                <w:sz w:val="20"/>
                <w:szCs w:val="20"/>
                <w:color w:val="auto"/>
              </w:rPr>
            </w:pPr>
            <w:r>
              <w:rPr>
                <w:rFonts w:ascii="Arial" w:cs="Arial" w:eastAsia="Arial" w:hAnsi="Arial"/>
                <w:sz w:val="23"/>
                <w:szCs w:val="23"/>
                <w:color w:val="auto"/>
              </w:rPr>
              <w:t>(ii)   Shared power to vote or to direct the vote:</w:t>
            </w:r>
          </w:p>
        </w:tc>
        <w:tc>
          <w:tcPr>
            <w:tcW w:w="2260" w:type="dxa"/>
            <w:vAlign w:val="bottom"/>
          </w:tcPr>
          <w:p>
            <w:pPr>
              <w:jc w:val="right"/>
              <w:spacing w:after="0"/>
              <w:rPr>
                <w:sz w:val="20"/>
                <w:szCs w:val="20"/>
                <w:color w:val="auto"/>
              </w:rPr>
            </w:pPr>
            <w:r>
              <w:rPr>
                <w:rFonts w:ascii="Arial" w:cs="Arial" w:eastAsia="Arial" w:hAnsi="Arial"/>
                <w:sz w:val="23"/>
                <w:szCs w:val="23"/>
                <w:color w:val="auto"/>
              </w:rPr>
              <w:t>967,448*</w:t>
            </w:r>
          </w:p>
        </w:tc>
      </w:tr>
      <w:tr>
        <w:trPr>
          <w:trHeight w:val="371"/>
        </w:trPr>
        <w:tc>
          <w:tcPr>
            <w:tcW w:w="380" w:type="dxa"/>
            <w:vAlign w:val="bottom"/>
          </w:tcPr>
          <w:p>
            <w:pPr>
              <w:spacing w:after="0"/>
              <w:rPr>
                <w:sz w:val="24"/>
                <w:szCs w:val="24"/>
                <w:color w:val="auto"/>
              </w:rPr>
            </w:pPr>
          </w:p>
        </w:tc>
        <w:tc>
          <w:tcPr>
            <w:tcW w:w="7840" w:type="dxa"/>
            <w:vAlign w:val="bottom"/>
          </w:tcPr>
          <w:p>
            <w:pPr>
              <w:ind w:left="840"/>
              <w:spacing w:after="0"/>
              <w:rPr>
                <w:sz w:val="20"/>
                <w:szCs w:val="20"/>
                <w:color w:val="auto"/>
              </w:rPr>
            </w:pPr>
            <w:r>
              <w:rPr>
                <w:rFonts w:ascii="Arial" w:cs="Arial" w:eastAsia="Arial" w:hAnsi="Arial"/>
                <w:sz w:val="23"/>
                <w:szCs w:val="23"/>
                <w:color w:val="auto"/>
              </w:rPr>
              <w:t>(iii)   Sole power to dispose or to direct the disposition of:</w:t>
            </w:r>
          </w:p>
        </w:tc>
        <w:tc>
          <w:tcPr>
            <w:tcW w:w="2260" w:type="dxa"/>
            <w:vAlign w:val="bottom"/>
          </w:tcPr>
          <w:p>
            <w:pPr>
              <w:jc w:val="right"/>
              <w:spacing w:after="0"/>
              <w:rPr>
                <w:sz w:val="20"/>
                <w:szCs w:val="20"/>
                <w:color w:val="auto"/>
              </w:rPr>
            </w:pPr>
            <w:r>
              <w:rPr>
                <w:rFonts w:ascii="Arial" w:cs="Arial" w:eastAsia="Arial" w:hAnsi="Arial"/>
                <w:sz w:val="23"/>
                <w:szCs w:val="23"/>
                <w:color w:val="auto"/>
              </w:rPr>
              <w:t>0</w:t>
            </w:r>
          </w:p>
        </w:tc>
      </w:tr>
      <w:tr>
        <w:trPr>
          <w:trHeight w:val="371"/>
        </w:trPr>
        <w:tc>
          <w:tcPr>
            <w:tcW w:w="380" w:type="dxa"/>
            <w:vAlign w:val="bottom"/>
          </w:tcPr>
          <w:p>
            <w:pPr>
              <w:spacing w:after="0"/>
              <w:rPr>
                <w:sz w:val="24"/>
                <w:szCs w:val="24"/>
                <w:color w:val="auto"/>
              </w:rPr>
            </w:pPr>
          </w:p>
        </w:tc>
        <w:tc>
          <w:tcPr>
            <w:tcW w:w="7840" w:type="dxa"/>
            <w:vAlign w:val="bottom"/>
          </w:tcPr>
          <w:p>
            <w:pPr>
              <w:ind w:left="840"/>
              <w:spacing w:after="0"/>
              <w:rPr>
                <w:sz w:val="20"/>
                <w:szCs w:val="20"/>
                <w:color w:val="auto"/>
              </w:rPr>
            </w:pPr>
            <w:r>
              <w:rPr>
                <w:rFonts w:ascii="Arial" w:cs="Arial" w:eastAsia="Arial" w:hAnsi="Arial"/>
                <w:sz w:val="23"/>
                <w:szCs w:val="23"/>
                <w:color w:val="auto"/>
              </w:rPr>
              <w:t>(iv)   Shared power to dispose or to direct the disposition of:</w:t>
            </w:r>
          </w:p>
        </w:tc>
        <w:tc>
          <w:tcPr>
            <w:tcW w:w="2260" w:type="dxa"/>
            <w:vAlign w:val="bottom"/>
          </w:tcPr>
          <w:p>
            <w:pPr>
              <w:jc w:val="right"/>
              <w:spacing w:after="0"/>
              <w:rPr>
                <w:sz w:val="20"/>
                <w:szCs w:val="20"/>
                <w:color w:val="auto"/>
              </w:rPr>
            </w:pPr>
            <w:r>
              <w:rPr>
                <w:rFonts w:ascii="Arial" w:cs="Arial" w:eastAsia="Arial" w:hAnsi="Arial"/>
                <w:sz w:val="23"/>
                <w:szCs w:val="23"/>
                <w:color w:val="auto"/>
              </w:rPr>
              <w:t>967,448*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46"/>
        <w:spacing w:after="0"/>
        <w:rPr>
          <w:sz w:val="20"/>
          <w:szCs w:val="20"/>
          <w:color w:val="auto"/>
        </w:rPr>
      </w:pPr>
      <w:r>
        <w:rPr>
          <w:rFonts w:ascii="Arial" w:cs="Arial" w:eastAsia="Arial" w:hAnsi="Arial"/>
          <w:sz w:val="23"/>
          <w:szCs w:val="23"/>
          <w:color w:val="auto"/>
        </w:rPr>
        <w:t>As reported in the cover pages to this report, the ownership information with respect to PWIMF is as follows:</w:t>
      </w:r>
    </w:p>
    <w:p>
      <w:pPr>
        <w:spacing w:after="0" w:line="200" w:lineRule="exact"/>
        <w:rPr>
          <w:sz w:val="20"/>
          <w:szCs w:val="20"/>
          <w:color w:val="auto"/>
        </w:rPr>
      </w:pPr>
    </w:p>
    <w:p>
      <w:pPr>
        <w:spacing w:after="0" w:line="277" w:lineRule="exact"/>
        <w:rPr>
          <w:sz w:val="20"/>
          <w:szCs w:val="20"/>
          <w:color w:val="auto"/>
        </w:rPr>
      </w:pPr>
    </w:p>
    <w:tbl>
      <w:tblPr>
        <w:tblLayout w:type="fixed"/>
        <w:tblInd w:w="946" w:type="dxa"/>
        <w:tblCellMar>
          <w:top w:w="0" w:type="dxa"/>
          <w:left w:w="0" w:type="dxa"/>
          <w:bottom w:w="0" w:type="dxa"/>
          <w:right w:w="0" w:type="dxa"/>
        </w:tblCellMar>
      </w:tblPr>
      <w:tr>
        <w:trPr>
          <w:trHeight w:val="291"/>
        </w:trPr>
        <w:tc>
          <w:tcPr>
            <w:tcW w:w="380" w:type="dxa"/>
            <w:vAlign w:val="bottom"/>
          </w:tcPr>
          <w:p>
            <w:pPr>
              <w:spacing w:after="0"/>
              <w:rPr>
                <w:sz w:val="20"/>
                <w:szCs w:val="20"/>
                <w:color w:val="auto"/>
              </w:rPr>
            </w:pPr>
            <w:r>
              <w:rPr>
                <w:rFonts w:ascii="Arial" w:cs="Arial" w:eastAsia="Arial" w:hAnsi="Arial"/>
                <w:sz w:val="23"/>
                <w:szCs w:val="23"/>
                <w:color w:val="auto"/>
              </w:rPr>
              <w:t>(a)</w:t>
            </w:r>
          </w:p>
        </w:tc>
        <w:tc>
          <w:tcPr>
            <w:tcW w:w="7860" w:type="dxa"/>
            <w:vAlign w:val="bottom"/>
          </w:tcPr>
          <w:p>
            <w:pPr>
              <w:ind w:left="140"/>
              <w:spacing w:after="0"/>
              <w:rPr>
                <w:sz w:val="20"/>
                <w:szCs w:val="20"/>
                <w:color w:val="auto"/>
              </w:rPr>
            </w:pPr>
            <w:r>
              <w:rPr>
                <w:rFonts w:ascii="Arial" w:cs="Arial" w:eastAsia="Arial" w:hAnsi="Arial"/>
                <w:sz w:val="23"/>
                <w:szCs w:val="23"/>
                <w:color w:val="auto"/>
              </w:rPr>
              <w:t>Amount Beneficially Owned:</w:t>
            </w:r>
          </w:p>
        </w:tc>
        <w:tc>
          <w:tcPr>
            <w:tcW w:w="2240" w:type="dxa"/>
            <w:vAlign w:val="bottom"/>
          </w:tcPr>
          <w:p>
            <w:pPr>
              <w:jc w:val="right"/>
              <w:spacing w:after="0"/>
              <w:rPr>
                <w:sz w:val="20"/>
                <w:szCs w:val="20"/>
                <w:color w:val="auto"/>
              </w:rPr>
            </w:pPr>
            <w:r>
              <w:rPr>
                <w:rFonts w:ascii="Arial" w:cs="Arial" w:eastAsia="Arial" w:hAnsi="Arial"/>
                <w:sz w:val="23"/>
                <w:szCs w:val="23"/>
                <w:color w:val="auto"/>
              </w:rPr>
              <w:t>871,411*</w:t>
            </w:r>
          </w:p>
        </w:tc>
      </w:tr>
      <w:tr>
        <w:trPr>
          <w:trHeight w:val="371"/>
        </w:trPr>
        <w:tc>
          <w:tcPr>
            <w:tcW w:w="380" w:type="dxa"/>
            <w:vAlign w:val="bottom"/>
          </w:tcPr>
          <w:p>
            <w:pPr>
              <w:spacing w:after="0"/>
              <w:rPr>
                <w:sz w:val="20"/>
                <w:szCs w:val="20"/>
                <w:color w:val="auto"/>
              </w:rPr>
            </w:pPr>
            <w:r>
              <w:rPr>
                <w:rFonts w:ascii="Arial" w:cs="Arial" w:eastAsia="Arial" w:hAnsi="Arial"/>
                <w:sz w:val="23"/>
                <w:szCs w:val="23"/>
                <w:color w:val="auto"/>
              </w:rPr>
              <w:t>(b)</w:t>
            </w:r>
          </w:p>
        </w:tc>
        <w:tc>
          <w:tcPr>
            <w:tcW w:w="7860" w:type="dxa"/>
            <w:vAlign w:val="bottom"/>
          </w:tcPr>
          <w:p>
            <w:pPr>
              <w:ind w:left="120"/>
              <w:spacing w:after="0"/>
              <w:rPr>
                <w:sz w:val="20"/>
                <w:szCs w:val="20"/>
                <w:color w:val="auto"/>
              </w:rPr>
            </w:pPr>
            <w:r>
              <w:rPr>
                <w:rFonts w:ascii="Arial" w:cs="Arial" w:eastAsia="Arial" w:hAnsi="Arial"/>
                <w:sz w:val="23"/>
                <w:szCs w:val="23"/>
                <w:color w:val="auto"/>
              </w:rPr>
              <w:t>Percent of Class:</w:t>
            </w:r>
          </w:p>
        </w:tc>
        <w:tc>
          <w:tcPr>
            <w:tcW w:w="2240" w:type="dxa"/>
            <w:vAlign w:val="bottom"/>
          </w:tcPr>
          <w:p>
            <w:pPr>
              <w:jc w:val="right"/>
              <w:spacing w:after="0"/>
              <w:rPr>
                <w:sz w:val="20"/>
                <w:szCs w:val="20"/>
                <w:color w:val="auto"/>
              </w:rPr>
            </w:pPr>
            <w:r>
              <w:rPr>
                <w:rFonts w:ascii="Arial" w:cs="Arial" w:eastAsia="Arial" w:hAnsi="Arial"/>
                <w:sz w:val="23"/>
                <w:szCs w:val="23"/>
                <w:color w:val="auto"/>
              </w:rPr>
              <w:t>7.3%*</w:t>
            </w:r>
          </w:p>
        </w:tc>
      </w:tr>
      <w:tr>
        <w:trPr>
          <w:trHeight w:val="371"/>
        </w:trPr>
        <w:tc>
          <w:tcPr>
            <w:tcW w:w="8240" w:type="dxa"/>
            <w:vAlign w:val="bottom"/>
            <w:gridSpan w:val="2"/>
          </w:tcPr>
          <w:p>
            <w:pPr>
              <w:spacing w:after="0"/>
              <w:rPr>
                <w:sz w:val="20"/>
                <w:szCs w:val="20"/>
                <w:color w:val="auto"/>
              </w:rPr>
            </w:pPr>
            <w:r>
              <w:rPr>
                <w:rFonts w:ascii="Arial" w:cs="Arial" w:eastAsia="Arial" w:hAnsi="Arial"/>
                <w:sz w:val="23"/>
                <w:szCs w:val="23"/>
                <w:color w:val="auto"/>
              </w:rPr>
              <w:t>(c)   Number of Shares as to which such person has:</w:t>
            </w:r>
          </w:p>
        </w:tc>
        <w:tc>
          <w:tcPr>
            <w:tcW w:w="2240" w:type="dxa"/>
            <w:vAlign w:val="bottom"/>
          </w:tcPr>
          <w:p>
            <w:pPr>
              <w:spacing w:after="0"/>
              <w:rPr>
                <w:sz w:val="24"/>
                <w:szCs w:val="24"/>
                <w:color w:val="auto"/>
              </w:rPr>
            </w:pPr>
          </w:p>
        </w:tc>
      </w:tr>
      <w:tr>
        <w:trPr>
          <w:trHeight w:val="371"/>
        </w:trPr>
        <w:tc>
          <w:tcPr>
            <w:tcW w:w="380" w:type="dxa"/>
            <w:vAlign w:val="bottom"/>
          </w:tcPr>
          <w:p>
            <w:pPr>
              <w:spacing w:after="0"/>
              <w:rPr>
                <w:sz w:val="24"/>
                <w:szCs w:val="24"/>
                <w:color w:val="auto"/>
              </w:rPr>
            </w:pPr>
          </w:p>
        </w:tc>
        <w:tc>
          <w:tcPr>
            <w:tcW w:w="7860" w:type="dxa"/>
            <w:vAlign w:val="bottom"/>
          </w:tcPr>
          <w:p>
            <w:pPr>
              <w:ind w:left="840"/>
              <w:spacing w:after="0"/>
              <w:rPr>
                <w:sz w:val="20"/>
                <w:szCs w:val="20"/>
                <w:color w:val="auto"/>
              </w:rPr>
            </w:pPr>
            <w:r>
              <w:rPr>
                <w:rFonts w:ascii="Arial" w:cs="Arial" w:eastAsia="Arial" w:hAnsi="Arial"/>
                <w:sz w:val="23"/>
                <w:szCs w:val="23"/>
                <w:color w:val="auto"/>
              </w:rPr>
              <w:t>(i)   Sole power to vote or to direct the vote:</w:t>
            </w:r>
          </w:p>
        </w:tc>
        <w:tc>
          <w:tcPr>
            <w:tcW w:w="2240" w:type="dxa"/>
            <w:vAlign w:val="bottom"/>
          </w:tcPr>
          <w:p>
            <w:pPr>
              <w:jc w:val="right"/>
              <w:spacing w:after="0"/>
              <w:rPr>
                <w:sz w:val="20"/>
                <w:szCs w:val="20"/>
                <w:color w:val="auto"/>
              </w:rPr>
            </w:pPr>
            <w:r>
              <w:rPr>
                <w:rFonts w:ascii="Arial" w:cs="Arial" w:eastAsia="Arial" w:hAnsi="Arial"/>
                <w:sz w:val="23"/>
                <w:szCs w:val="23"/>
                <w:color w:val="auto"/>
              </w:rPr>
              <w:t>0</w:t>
            </w:r>
          </w:p>
        </w:tc>
      </w:tr>
      <w:tr>
        <w:trPr>
          <w:trHeight w:val="371"/>
        </w:trPr>
        <w:tc>
          <w:tcPr>
            <w:tcW w:w="380" w:type="dxa"/>
            <w:vAlign w:val="bottom"/>
          </w:tcPr>
          <w:p>
            <w:pPr>
              <w:spacing w:after="0"/>
              <w:rPr>
                <w:sz w:val="24"/>
                <w:szCs w:val="24"/>
                <w:color w:val="auto"/>
              </w:rPr>
            </w:pPr>
          </w:p>
        </w:tc>
        <w:tc>
          <w:tcPr>
            <w:tcW w:w="7860" w:type="dxa"/>
            <w:vAlign w:val="bottom"/>
          </w:tcPr>
          <w:p>
            <w:pPr>
              <w:ind w:left="840"/>
              <w:spacing w:after="0"/>
              <w:rPr>
                <w:sz w:val="20"/>
                <w:szCs w:val="20"/>
                <w:color w:val="auto"/>
              </w:rPr>
            </w:pPr>
            <w:r>
              <w:rPr>
                <w:rFonts w:ascii="Arial" w:cs="Arial" w:eastAsia="Arial" w:hAnsi="Arial"/>
                <w:sz w:val="23"/>
                <w:szCs w:val="23"/>
                <w:color w:val="auto"/>
              </w:rPr>
              <w:t>(ii)   Shared power to vote or to direct the vote:</w:t>
            </w:r>
          </w:p>
        </w:tc>
        <w:tc>
          <w:tcPr>
            <w:tcW w:w="2240" w:type="dxa"/>
            <w:vAlign w:val="bottom"/>
          </w:tcPr>
          <w:p>
            <w:pPr>
              <w:jc w:val="right"/>
              <w:spacing w:after="0"/>
              <w:rPr>
                <w:sz w:val="20"/>
                <w:szCs w:val="20"/>
                <w:color w:val="auto"/>
              </w:rPr>
            </w:pPr>
            <w:r>
              <w:rPr>
                <w:rFonts w:ascii="Arial" w:cs="Arial" w:eastAsia="Arial" w:hAnsi="Arial"/>
                <w:sz w:val="23"/>
                <w:szCs w:val="23"/>
                <w:color w:val="auto"/>
              </w:rPr>
              <w:t>871,411*</w:t>
            </w:r>
          </w:p>
        </w:tc>
      </w:tr>
      <w:tr>
        <w:trPr>
          <w:trHeight w:val="371"/>
        </w:trPr>
        <w:tc>
          <w:tcPr>
            <w:tcW w:w="380" w:type="dxa"/>
            <w:vAlign w:val="bottom"/>
          </w:tcPr>
          <w:p>
            <w:pPr>
              <w:spacing w:after="0"/>
              <w:rPr>
                <w:sz w:val="24"/>
                <w:szCs w:val="24"/>
                <w:color w:val="auto"/>
              </w:rPr>
            </w:pPr>
          </w:p>
        </w:tc>
        <w:tc>
          <w:tcPr>
            <w:tcW w:w="7860" w:type="dxa"/>
            <w:vAlign w:val="bottom"/>
          </w:tcPr>
          <w:p>
            <w:pPr>
              <w:ind w:left="840"/>
              <w:spacing w:after="0"/>
              <w:rPr>
                <w:sz w:val="20"/>
                <w:szCs w:val="20"/>
                <w:color w:val="auto"/>
              </w:rPr>
            </w:pPr>
            <w:r>
              <w:rPr>
                <w:rFonts w:ascii="Arial" w:cs="Arial" w:eastAsia="Arial" w:hAnsi="Arial"/>
                <w:sz w:val="23"/>
                <w:szCs w:val="23"/>
                <w:color w:val="auto"/>
              </w:rPr>
              <w:t>(iii)   Sole power to dispose or to direct the disposition of:</w:t>
            </w:r>
          </w:p>
        </w:tc>
        <w:tc>
          <w:tcPr>
            <w:tcW w:w="2240" w:type="dxa"/>
            <w:vAlign w:val="bottom"/>
          </w:tcPr>
          <w:p>
            <w:pPr>
              <w:jc w:val="right"/>
              <w:spacing w:after="0"/>
              <w:rPr>
                <w:sz w:val="20"/>
                <w:szCs w:val="20"/>
                <w:color w:val="auto"/>
              </w:rPr>
            </w:pPr>
            <w:r>
              <w:rPr>
                <w:rFonts w:ascii="Arial" w:cs="Arial" w:eastAsia="Arial" w:hAnsi="Arial"/>
                <w:sz w:val="23"/>
                <w:szCs w:val="23"/>
                <w:color w:val="auto"/>
              </w:rPr>
              <w:t>0</w:t>
            </w:r>
          </w:p>
        </w:tc>
      </w:tr>
      <w:tr>
        <w:trPr>
          <w:trHeight w:val="371"/>
        </w:trPr>
        <w:tc>
          <w:tcPr>
            <w:tcW w:w="380" w:type="dxa"/>
            <w:vAlign w:val="bottom"/>
          </w:tcPr>
          <w:p>
            <w:pPr>
              <w:spacing w:after="0"/>
              <w:rPr>
                <w:sz w:val="24"/>
                <w:szCs w:val="24"/>
                <w:color w:val="auto"/>
              </w:rPr>
            </w:pPr>
          </w:p>
        </w:tc>
        <w:tc>
          <w:tcPr>
            <w:tcW w:w="7860" w:type="dxa"/>
            <w:vAlign w:val="bottom"/>
          </w:tcPr>
          <w:p>
            <w:pPr>
              <w:ind w:left="840"/>
              <w:spacing w:after="0"/>
              <w:rPr>
                <w:sz w:val="20"/>
                <w:szCs w:val="20"/>
                <w:color w:val="auto"/>
              </w:rPr>
            </w:pPr>
            <w:r>
              <w:rPr>
                <w:rFonts w:ascii="Arial" w:cs="Arial" w:eastAsia="Arial" w:hAnsi="Arial"/>
                <w:sz w:val="23"/>
                <w:szCs w:val="23"/>
                <w:color w:val="auto"/>
              </w:rPr>
              <w:t>(iv)   Shared power to dispose or to direct the disposition of:</w:t>
            </w:r>
          </w:p>
        </w:tc>
        <w:tc>
          <w:tcPr>
            <w:tcW w:w="2240" w:type="dxa"/>
            <w:vAlign w:val="bottom"/>
          </w:tcPr>
          <w:p>
            <w:pPr>
              <w:jc w:val="right"/>
              <w:spacing w:after="0"/>
              <w:rPr>
                <w:sz w:val="20"/>
                <w:szCs w:val="20"/>
                <w:color w:val="auto"/>
              </w:rPr>
            </w:pPr>
            <w:r>
              <w:rPr>
                <w:rFonts w:ascii="Arial" w:cs="Arial" w:eastAsia="Arial" w:hAnsi="Arial"/>
                <w:sz w:val="23"/>
                <w:szCs w:val="23"/>
                <w:color w:val="auto"/>
              </w:rPr>
              <w:t>871,411*</w:t>
            </w:r>
          </w:p>
        </w:tc>
      </w:tr>
    </w:tbl>
    <w:p>
      <w:pPr>
        <w:spacing w:after="0" w:line="346" w:lineRule="exact"/>
        <w:rPr>
          <w:sz w:val="20"/>
          <w:szCs w:val="20"/>
          <w:color w:val="auto"/>
        </w:rPr>
      </w:pPr>
    </w:p>
    <w:p>
      <w:pPr>
        <w:jc w:val="both"/>
        <w:ind w:left="6" w:hanging="6"/>
        <w:spacing w:after="0" w:line="263" w:lineRule="auto"/>
        <w:tabs>
          <w:tab w:leader="none" w:pos="151"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This Schedule 13G is being jointly filed by (i) PWAM, a Delaware limited liability company and the investment manager to (a) PWIMF, a Cayman Islands exempted company that is the holder of 871,411 shares of Common Stock and (b) PWPI, a Cayman Islands exempted company that is the holder of 96,037 shares of Common Stock; (ii) PWIMF; and (iii) Mr. Park, as the sole member and manager of PWAM.</w:t>
      </w:r>
    </w:p>
    <w:p>
      <w:pPr>
        <w:spacing w:after="0" w:line="194" w:lineRule="exact"/>
        <w:rPr>
          <w:sz w:val="20"/>
          <w:szCs w:val="20"/>
          <w:color w:val="auto"/>
        </w:rPr>
      </w:pPr>
    </w:p>
    <w:p>
      <w:pPr>
        <w:jc w:val="both"/>
        <w:ind w:left="6"/>
        <w:spacing w:after="0" w:line="241" w:lineRule="auto"/>
        <w:rPr>
          <w:sz w:val="20"/>
          <w:szCs w:val="20"/>
          <w:color w:val="auto"/>
        </w:rPr>
      </w:pPr>
      <w:r>
        <w:rPr>
          <w:rFonts w:ascii="Arial" w:cs="Arial" w:eastAsia="Arial" w:hAnsi="Arial"/>
          <w:sz w:val="19"/>
          <w:szCs w:val="19"/>
          <w:color w:val="auto"/>
        </w:rPr>
        <w:t>The 967,448 shares of Common Stock held in the aggregate by the PW Funds, which constitutes approximately 8.1% of the shares of Common Stock deemed issued and outstanding as of December 31, 2018, may be deemed to be beneficially owned (x) indirectly by PWAM, as the investment adviser to PWIMF and PWPI, and (y) indirectly by Mr. Park, as the sole member and manager of PWAM. The foregoing beneficial ownership percentage as of December 31, 2018, is based on information reported by the Company in its Quarterly Report on Form 10-Q, filed with the Securities and Exchange Commission on November 5, 2018.</w:t>
      </w:r>
    </w:p>
    <w:p>
      <w:pPr>
        <w:sectPr>
          <w:pgSz w:w="12240" w:h="15840" w:orient="portrait"/>
          <w:cols w:equalWidth="0" w:num="1">
            <w:col w:w="12006"/>
          </w:cols>
          <w:pgMar w:left="114" w:top="711" w:right="120" w:bottom="1440" w:gutter="0" w:footer="0" w:header="0"/>
        </w:sectPr>
      </w:pPr>
    </w:p>
    <w:bookmarkStart w:id="6" w:name="page7"/>
    <w:bookmarkEnd w:id="6"/>
    <w:p>
      <w:pPr>
        <w:spacing w:after="0"/>
        <w:rPr>
          <w:sz w:val="20"/>
          <w:szCs w:val="20"/>
          <w:color w:val="auto"/>
        </w:rPr>
      </w:pPr>
      <w:r>
        <w:rPr>
          <w:rFonts w:ascii="Arial" w:cs="Arial" w:eastAsia="Arial" w:hAnsi="Arial"/>
          <w:sz w:val="23"/>
          <w:szCs w:val="23"/>
          <w:b w:val="1"/>
          <w:bCs w:val="1"/>
          <w:color w:val="auto"/>
        </w:rPr>
        <w:t>Item 5. Ownership of Five Percent or Less of a Class</w:t>
      </w:r>
    </w:p>
    <w:p>
      <w:pPr>
        <w:spacing w:after="0" w:line="226" w:lineRule="exact"/>
        <w:rPr>
          <w:sz w:val="20"/>
          <w:szCs w:val="20"/>
          <w:color w:val="auto"/>
        </w:rPr>
      </w:pPr>
    </w:p>
    <w:p>
      <w:pPr>
        <w:jc w:val="both"/>
        <w:ind w:left="940" w:right="20" w:firstLine="667"/>
        <w:spacing w:after="0" w:line="279"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4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6. Ownership of More Than Five Percent on Behalf of Another Person</w:t>
      </w:r>
    </w:p>
    <w:p>
      <w:pPr>
        <w:spacing w:after="0" w:line="226" w:lineRule="exact"/>
        <w:rPr>
          <w:sz w:val="20"/>
          <w:szCs w:val="20"/>
          <w:color w:val="auto"/>
        </w:rPr>
      </w:pPr>
    </w:p>
    <w:p>
      <w:pPr>
        <w:ind w:left="900"/>
        <w:spacing w:after="0"/>
        <w:rPr>
          <w:sz w:val="20"/>
          <w:szCs w:val="20"/>
          <w:color w:val="auto"/>
        </w:rPr>
      </w:pPr>
      <w:r>
        <w:rPr>
          <w:rFonts w:ascii="Arial" w:cs="Arial" w:eastAsia="Arial" w:hAnsi="Arial"/>
          <w:sz w:val="23"/>
          <w:szCs w:val="23"/>
          <w:color w:val="auto"/>
        </w:rPr>
        <w:t>Not Applicable.</w:t>
      </w:r>
    </w:p>
    <w:p>
      <w:pPr>
        <w:spacing w:after="0" w:line="214" w:lineRule="exact"/>
        <w:rPr>
          <w:sz w:val="20"/>
          <w:szCs w:val="20"/>
          <w:color w:val="auto"/>
        </w:rPr>
      </w:pPr>
    </w:p>
    <w:p>
      <w:pPr>
        <w:ind w:left="760" w:right="120" w:hanging="769"/>
        <w:spacing w:after="0" w:line="262" w:lineRule="auto"/>
        <w:rPr>
          <w:sz w:val="20"/>
          <w:szCs w:val="20"/>
          <w:color w:val="auto"/>
        </w:rPr>
      </w:pPr>
      <w:r>
        <w:rPr>
          <w:rFonts w:ascii="Arial" w:cs="Arial" w:eastAsia="Arial" w:hAnsi="Arial"/>
          <w:sz w:val="23"/>
          <w:szCs w:val="23"/>
          <w:b w:val="1"/>
          <w:bCs w:val="1"/>
          <w:color w:val="auto"/>
        </w:rPr>
        <w:t>Item 7. Identification and Classification of the Subsidiary Which Acquired the Security Being Reported on by the Parent Holding Company or Control Person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23"/>
          <w:szCs w:val="23"/>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8. Identification and Classification of Members of the Group</w:t>
      </w:r>
    </w:p>
    <w:p>
      <w:pPr>
        <w:spacing w:after="0" w:line="226" w:lineRule="exact"/>
        <w:rPr>
          <w:sz w:val="20"/>
          <w:szCs w:val="20"/>
          <w:color w:val="auto"/>
        </w:rPr>
      </w:pPr>
    </w:p>
    <w:p>
      <w:pPr>
        <w:ind w:left="900"/>
        <w:spacing w:after="0"/>
        <w:rPr>
          <w:sz w:val="20"/>
          <w:szCs w:val="20"/>
          <w:color w:val="auto"/>
        </w:rPr>
      </w:pPr>
      <w:r>
        <w:rPr>
          <w:rFonts w:ascii="Arial" w:cs="Arial" w:eastAsia="Arial" w:hAnsi="Arial"/>
          <w:sz w:val="23"/>
          <w:szCs w:val="23"/>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 Notice of Dissolution of Group</w:t>
      </w:r>
    </w:p>
    <w:p>
      <w:pPr>
        <w:spacing w:after="0" w:line="226" w:lineRule="exact"/>
        <w:rPr>
          <w:sz w:val="20"/>
          <w:szCs w:val="20"/>
          <w:color w:val="auto"/>
        </w:rPr>
      </w:pPr>
    </w:p>
    <w:p>
      <w:pPr>
        <w:ind w:left="900"/>
        <w:spacing w:after="0"/>
        <w:rPr>
          <w:sz w:val="20"/>
          <w:szCs w:val="20"/>
          <w:color w:val="auto"/>
        </w:rPr>
      </w:pPr>
      <w:r>
        <w:rPr>
          <w:rFonts w:ascii="Arial" w:cs="Arial" w:eastAsia="Arial" w:hAnsi="Arial"/>
          <w:sz w:val="23"/>
          <w:szCs w:val="23"/>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Certification</w:t>
      </w:r>
    </w:p>
    <w:p>
      <w:pPr>
        <w:spacing w:after="0" w:line="226" w:lineRule="exact"/>
        <w:rPr>
          <w:sz w:val="20"/>
          <w:szCs w:val="20"/>
          <w:color w:val="auto"/>
        </w:rPr>
      </w:pPr>
    </w:p>
    <w:p>
      <w:pPr>
        <w:jc w:val="both"/>
        <w:ind w:left="940" w:firstLine="667"/>
        <w:spacing w:after="0" w:line="241" w:lineRule="auto"/>
        <w:rPr>
          <w:sz w:val="20"/>
          <w:szCs w:val="20"/>
          <w:color w:val="auto"/>
        </w:rPr>
      </w:pPr>
      <w:r>
        <w:rPr>
          <w:rFonts w:ascii="Arial" w:cs="Arial" w:eastAsia="Arial" w:hAnsi="Arial"/>
          <w:sz w:val="23"/>
          <w:szCs w:val="23"/>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2240" w:h="15840" w:orient="portrait"/>
          <w:cols w:equalWidth="0" w:num="1">
            <w:col w:w="11900"/>
          </w:cols>
          <w:pgMar w:left="120" w:top="897" w:right="220" w:bottom="1440" w:gutter="0" w:footer="0" w:header="0"/>
        </w:sectPr>
      </w:pPr>
    </w:p>
    <w:bookmarkStart w:id="7" w:name="page8"/>
    <w:bookmarkEnd w:id="7"/>
    <w:p>
      <w:pPr>
        <w:jc w:val="center"/>
        <w:spacing w:after="0"/>
        <w:rPr>
          <w:sz w:val="20"/>
          <w:szCs w:val="20"/>
          <w:color w:val="auto"/>
        </w:rPr>
      </w:pPr>
      <w:r>
        <w:rPr>
          <w:rFonts w:ascii="Arial" w:cs="Arial" w:eastAsia="Arial" w:hAnsi="Arial"/>
          <w:sz w:val="23"/>
          <w:szCs w:val="23"/>
          <w:b w:val="1"/>
          <w:bCs w:val="1"/>
          <w:color w:val="auto"/>
        </w:rPr>
        <w:t>SIGNATURE</w:t>
      </w:r>
    </w:p>
    <w:p>
      <w:pPr>
        <w:spacing w:after="0" w:line="226" w:lineRule="exact"/>
        <w:rPr>
          <w:sz w:val="20"/>
          <w:szCs w:val="20"/>
          <w:color w:val="auto"/>
        </w:rPr>
      </w:pPr>
    </w:p>
    <w:p>
      <w:pPr>
        <w:ind w:firstLine="604"/>
        <w:spacing w:after="0" w:line="257" w:lineRule="auto"/>
        <w:rPr>
          <w:sz w:val="20"/>
          <w:szCs w:val="20"/>
          <w:color w:val="auto"/>
        </w:rPr>
      </w:pPr>
      <w:r>
        <w:rPr>
          <w:rFonts w:ascii="Arial" w:cs="Arial" w:eastAsia="Arial" w:hAnsi="Arial"/>
          <w:sz w:val="23"/>
          <w:szCs w:val="23"/>
          <w:color w:val="auto"/>
        </w:rPr>
        <w:t>After reasonable inquiry and to the best of my knowledge and belief, I certify that the information set forth in this statement is true, complete and correct.</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23"/>
          <w:szCs w:val="23"/>
          <w:color w:val="auto"/>
        </w:rPr>
        <w:t>February 14, 2019</w:t>
      </w:r>
    </w:p>
    <w:p>
      <w:pPr>
        <w:spacing w:after="0" w:line="243" w:lineRule="exact"/>
        <w:rPr>
          <w:sz w:val="20"/>
          <w:szCs w:val="20"/>
          <w:color w:val="auto"/>
        </w:rPr>
      </w:pPr>
    </w:p>
    <w:p>
      <w:pPr>
        <w:ind w:left="5600"/>
        <w:spacing w:after="0"/>
        <w:rPr>
          <w:sz w:val="20"/>
          <w:szCs w:val="20"/>
          <w:color w:val="auto"/>
        </w:rPr>
      </w:pPr>
      <w:r>
        <w:rPr>
          <w:rFonts w:ascii="Arial" w:cs="Arial" w:eastAsia="Arial" w:hAnsi="Arial"/>
          <w:sz w:val="23"/>
          <w:szCs w:val="23"/>
          <w:b w:val="1"/>
          <w:bCs w:val="1"/>
          <w:color w:val="auto"/>
        </w:rPr>
        <w:t>PARK WEST ASSET MANAGEMENT LLC</w:t>
      </w:r>
    </w:p>
    <w:p>
      <w:pPr>
        <w:spacing w:after="0" w:line="200" w:lineRule="exact"/>
        <w:rPr>
          <w:sz w:val="20"/>
          <w:szCs w:val="20"/>
          <w:color w:val="auto"/>
        </w:rPr>
      </w:pPr>
    </w:p>
    <w:p>
      <w:pPr>
        <w:spacing w:after="0" w:line="312" w:lineRule="exact"/>
        <w:rPr>
          <w:sz w:val="20"/>
          <w:szCs w:val="20"/>
          <w:color w:val="auto"/>
        </w:rPr>
      </w:pPr>
    </w:p>
    <w:p>
      <w:pPr>
        <w:ind w:left="5600"/>
        <w:spacing w:after="0"/>
        <w:tabs>
          <w:tab w:leader="none" w:pos="6180" w:val="left"/>
        </w:tabs>
        <w:rPr>
          <w:sz w:val="20"/>
          <w:szCs w:val="20"/>
          <w:color w:val="auto"/>
        </w:rPr>
      </w:pPr>
      <w:r>
        <w:rPr>
          <w:rFonts w:ascii="Arial" w:cs="Arial" w:eastAsia="Arial" w:hAnsi="Arial"/>
          <w:sz w:val="23"/>
          <w:szCs w:val="23"/>
          <w:color w:val="auto"/>
        </w:rPr>
        <w:t>By:</w:t>
        <w:tab/>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10160</wp:posOffset>
            </wp:positionV>
            <wp:extent cx="3576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7695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3"/>
          <w:szCs w:val="23"/>
          <w:color w:val="auto"/>
        </w:rPr>
        <w:t>Name: Grace Jimenez</w:t>
      </w:r>
    </w:p>
    <w:p>
      <w:pPr>
        <w:ind w:left="6200"/>
        <w:spacing w:after="0"/>
        <w:rPr>
          <w:sz w:val="20"/>
          <w:szCs w:val="20"/>
          <w:color w:val="auto"/>
        </w:rPr>
      </w:pPr>
      <w:r>
        <w:rPr>
          <w:rFonts w:ascii="Arial" w:cs="Arial" w:eastAsia="Arial" w:hAnsi="Arial"/>
          <w:sz w:val="23"/>
          <w:szCs w:val="23"/>
          <w:color w:val="auto"/>
        </w:rPr>
        <w:t>Title: Chief Financial Officer</w:t>
      </w:r>
    </w:p>
    <w:p>
      <w:pPr>
        <w:spacing w:after="0" w:line="200" w:lineRule="exact"/>
        <w:rPr>
          <w:sz w:val="20"/>
          <w:szCs w:val="20"/>
          <w:color w:val="auto"/>
        </w:rPr>
      </w:pPr>
    </w:p>
    <w:p>
      <w:pPr>
        <w:spacing w:after="0" w:line="280" w:lineRule="exact"/>
        <w:rPr>
          <w:sz w:val="20"/>
          <w:szCs w:val="20"/>
          <w:color w:val="auto"/>
        </w:rPr>
      </w:pPr>
    </w:p>
    <w:p>
      <w:pPr>
        <w:ind w:left="5360"/>
        <w:spacing w:after="0"/>
        <w:rPr>
          <w:sz w:val="20"/>
          <w:szCs w:val="20"/>
          <w:color w:val="auto"/>
        </w:rPr>
      </w:pPr>
      <w:r>
        <w:rPr>
          <w:rFonts w:ascii="Arial" w:cs="Arial" w:eastAsia="Arial" w:hAnsi="Arial"/>
          <w:sz w:val="23"/>
          <w:szCs w:val="23"/>
          <w:b w:val="1"/>
          <w:bCs w:val="1"/>
          <w:color w:val="auto"/>
        </w:rPr>
        <w:t>PARK WEST INVESTORS MASTER FUND, LIMITED</w:t>
      </w:r>
    </w:p>
    <w:p>
      <w:pPr>
        <w:spacing w:after="0" w:line="200" w:lineRule="exact"/>
        <w:rPr>
          <w:sz w:val="20"/>
          <w:szCs w:val="20"/>
          <w:color w:val="auto"/>
        </w:rPr>
      </w:pPr>
    </w:p>
    <w:p>
      <w:pPr>
        <w:spacing w:after="0" w:line="312" w:lineRule="exact"/>
        <w:rPr>
          <w:sz w:val="20"/>
          <w:szCs w:val="20"/>
          <w:color w:val="auto"/>
        </w:rPr>
      </w:pPr>
    </w:p>
    <w:p>
      <w:pPr>
        <w:ind w:left="5360"/>
        <w:spacing w:after="0"/>
        <w:tabs>
          <w:tab w:leader="none" w:pos="6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Park West Asset Management LLC, its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17145</wp:posOffset>
            </wp:positionV>
            <wp:extent cx="3658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58235" cy="8890"/>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060" w:val="left"/>
        </w:tabs>
        <w:rPr>
          <w:sz w:val="20"/>
          <w:szCs w:val="20"/>
          <w:color w:val="auto"/>
        </w:rPr>
      </w:pPr>
      <w:r>
        <w:rPr>
          <w:rFonts w:ascii="Arial" w:cs="Arial" w:eastAsia="Arial" w:hAnsi="Arial"/>
          <w:sz w:val="23"/>
          <w:szCs w:val="23"/>
          <w:color w:val="auto"/>
        </w:rPr>
        <w:t>By:</w:t>
      </w:r>
      <w:r>
        <w:rPr>
          <w:sz w:val="20"/>
          <w:szCs w:val="20"/>
          <w:color w:val="auto"/>
        </w:rPr>
        <w:tab/>
      </w:r>
      <w:r>
        <w:rPr>
          <w:rFonts w:ascii="Arial" w:cs="Arial" w:eastAsia="Arial" w:hAnsi="Arial"/>
          <w:sz w:val="23"/>
          <w:szCs w:val="23"/>
          <w:color w:val="auto"/>
        </w:rPr>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10160</wp:posOffset>
            </wp:positionV>
            <wp:extent cx="36582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5823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23"/>
          <w:szCs w:val="23"/>
          <w:color w:val="auto"/>
        </w:rPr>
        <w:t>Name: Grace Jimenez</w:t>
      </w:r>
    </w:p>
    <w:p>
      <w:pPr>
        <w:ind w:left="6080"/>
        <w:spacing w:after="0"/>
        <w:rPr>
          <w:sz w:val="20"/>
          <w:szCs w:val="20"/>
          <w:color w:val="auto"/>
        </w:rPr>
      </w:pPr>
      <w:r>
        <w:rPr>
          <w:rFonts w:ascii="Arial" w:cs="Arial" w:eastAsia="Arial" w:hAnsi="Arial"/>
          <w:sz w:val="23"/>
          <w:szCs w:val="23"/>
          <w:color w:val="auto"/>
        </w:rPr>
        <w:t>Title: Chief Financial Officer</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23"/>
          <w:szCs w:val="23"/>
          <w:color w:val="auto"/>
        </w:rPr>
        <w:t>/s/ Peter S.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10160</wp:posOffset>
            </wp:positionV>
            <wp:extent cx="41656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65600" cy="8890"/>
                    </a:xfrm>
                    <a:prstGeom prst="rect">
                      <a:avLst/>
                    </a:prstGeom>
                    <a:noFill/>
                  </pic:spPr>
                </pic:pic>
              </a:graphicData>
            </a:graphic>
          </wp:anchor>
        </w:drawing>
      </w:r>
    </w:p>
    <w:p>
      <w:pPr>
        <w:spacing w:after="0" w:line="6" w:lineRule="exact"/>
        <w:rPr>
          <w:sz w:val="20"/>
          <w:szCs w:val="20"/>
          <w:color w:val="auto"/>
        </w:rPr>
      </w:pPr>
    </w:p>
    <w:p>
      <w:pPr>
        <w:ind w:left="5280"/>
        <w:spacing w:after="0"/>
        <w:rPr>
          <w:sz w:val="20"/>
          <w:szCs w:val="20"/>
          <w:color w:val="auto"/>
        </w:rPr>
      </w:pPr>
      <w:r>
        <w:rPr>
          <w:rFonts w:ascii="Arial" w:cs="Arial" w:eastAsia="Arial" w:hAnsi="Arial"/>
          <w:sz w:val="23"/>
          <w:szCs w:val="23"/>
          <w:color w:val="auto"/>
        </w:rPr>
        <w:t>Peter S. Park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Attention: Intentional misstatements or omissions of fact constitute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Federal criminal violations (See 18 U.S.C. 1001)</w:t>
      </w:r>
    </w:p>
    <w:p>
      <w:pPr>
        <w:sectPr>
          <w:pgSz w:w="12240" w:h="15840" w:orient="portrait"/>
          <w:cols w:equalWidth="0" w:num="1">
            <w:col w:w="12000"/>
          </w:cols>
          <w:pgMar w:left="120" w:top="797" w:right="120" w:bottom="1440" w:gutter="0" w:footer="0" w:header="0"/>
        </w:sectPr>
      </w:pPr>
    </w:p>
    <w:bookmarkStart w:id="8" w:name="page9"/>
    <w:bookmarkEnd w:id="8"/>
    <w:p>
      <w:pPr>
        <w:jc w:val="center"/>
        <w:ind w:right="-2"/>
        <w:spacing w:after="0"/>
        <w:rPr>
          <w:sz w:val="20"/>
          <w:szCs w:val="20"/>
          <w:color w:val="auto"/>
        </w:rPr>
      </w:pPr>
      <w:r>
        <w:rPr>
          <w:rFonts w:ascii="Arial" w:cs="Arial" w:eastAsia="Arial" w:hAnsi="Arial"/>
          <w:sz w:val="23"/>
          <w:szCs w:val="23"/>
          <w:b w:val="1"/>
          <w:bCs w:val="1"/>
          <w:color w:val="auto"/>
        </w:rPr>
        <w:t>Exhibit Index</w:t>
      </w:r>
    </w:p>
    <w:p>
      <w:pPr>
        <w:spacing w:after="0" w:line="249" w:lineRule="exact"/>
        <w:rPr>
          <w:sz w:val="20"/>
          <w:szCs w:val="20"/>
          <w:color w:val="auto"/>
        </w:rPr>
      </w:pPr>
    </w:p>
    <w:p>
      <w:pPr>
        <w:ind w:left="3"/>
        <w:spacing w:after="0"/>
        <w:rPr>
          <w:sz w:val="20"/>
          <w:szCs w:val="20"/>
          <w:color w:val="auto"/>
        </w:rPr>
      </w:pPr>
      <w:r>
        <w:rPr>
          <w:rFonts w:ascii="Arial" w:cs="Arial" w:eastAsia="Arial" w:hAnsi="Arial"/>
          <w:sz w:val="23"/>
          <w:szCs w:val="23"/>
          <w:b w:val="1"/>
          <w:bCs w:val="1"/>
          <w:u w:val="single" w:color="auto"/>
          <w:color w:val="auto"/>
        </w:rPr>
        <w:t>Exhibit</w:t>
      </w:r>
    </w:p>
    <w:p>
      <w:pPr>
        <w:spacing w:after="0" w:line="369" w:lineRule="exact"/>
        <w:rPr>
          <w:sz w:val="20"/>
          <w:szCs w:val="20"/>
          <w:color w:val="auto"/>
        </w:rPr>
      </w:pPr>
    </w:p>
    <w:p>
      <w:pPr>
        <w:jc w:val="both"/>
        <w:ind w:left="3" w:hanging="3"/>
        <w:spacing w:after="0" w:line="245" w:lineRule="auto"/>
        <w:tabs>
          <w:tab w:leader="none" w:pos="481" w:val="left"/>
        </w:tabs>
        <w:numPr>
          <w:ilvl w:val="0"/>
          <w:numId w:val="15"/>
        </w:numPr>
        <w:rPr>
          <w:rFonts w:ascii="Arial" w:cs="Arial" w:eastAsia="Arial" w:hAnsi="Arial"/>
          <w:sz w:val="23"/>
          <w:szCs w:val="23"/>
          <w:color w:val="auto"/>
        </w:rPr>
      </w:pPr>
      <w:r>
        <w:rPr>
          <w:rFonts w:ascii="Arial" w:cs="Arial" w:eastAsia="Arial" w:hAnsi="Arial"/>
          <w:sz w:val="23"/>
          <w:szCs w:val="23"/>
          <w:color w:val="auto"/>
        </w:rPr>
        <w:t>Joint Filing Agreement dated as of May 14, 2018, by and among Park West Asset Management, LLC, Park West Investors Master Fund, Limited, and Peter S. Park (incorporated by reference to Exhibit A to the Schedule 13G filed with the Securities and Exchange Commission on May 14, 2018).</w:t>
      </w:r>
    </w:p>
    <w:sectPr>
      <w:pgSz w:w="12240" w:h="15840" w:orient="portrait"/>
      <w:cols w:equalWidth="0" w:num="1">
        <w:col w:w="11803"/>
      </w:cols>
      <w:pgMar w:left="217" w:top="854" w:right="2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3"/>
    </w:lvl>
  </w:abstractNum>
  <w:abstractNum w:abstractNumId="2">
    <w:nsid w:val="5BD062C2"/>
    <w:multiLevelType w:val="hybridMultilevel"/>
    <w:lvl w:ilvl="0">
      <w:lvlJc w:val="left"/>
      <w:lvlText w:val="(%1)"/>
      <w:numFmt w:val="decimal"/>
      <w:start w:val="9"/>
    </w:lvl>
  </w:abstractNum>
  <w:abstractNum w:abstractNumId="3">
    <w:nsid w:val="12200854"/>
    <w:multiLevelType w:val="hybridMultilevel"/>
    <w:lvl w:ilvl="0">
      <w:lvlJc w:val="left"/>
      <w:lvlText w:val="(%1)"/>
      <w:numFmt w:val="decimal"/>
      <w:start w:val="1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2019-11-24T16:08:38Z</dcterms:created>
  <dcterms:modified xsi:type="dcterms:W3CDTF">2019-11-24T16:08:38Z</dcterms:modified>
</cp:coreProperties>
</file>