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191205-8ka1_optimizerx.htm"/>
      <w:bookmarkStart w:id="1" w:name="ksea1912058ka1_optimizerx"/>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31020__20"/>
      <w:bookmarkEnd w:id="2"/>
      <w:r>
        <w:rPr>
          <w:rFonts w:ascii="Times New Roman;Times;Serif" w:hAnsi="Times New Roman;Times;Serif"/>
          <w:b/>
          <w:i w:val="false"/>
          <w:caps w:val="false"/>
          <w:smallCaps w:val="false"/>
          <w:sz w:val="20"/>
        </w:rPr>
        <w:t>8-K/A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October 20, 2023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D_edei--EntityRegistrantName_c2023"/>
      <w:bookmarkEnd w:id="4"/>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8_edei--EntityIncorporationStateCo"/>
            <w:bookmarkEnd w:id="5"/>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31020"/>
            <w:bookmarkEnd w:id="6"/>
            <w:r>
              <w:rPr>
                <w:rFonts w:ascii="Times New Roman;Times;Serif" w:hAnsi="Times New Roman;Times;Serif"/>
                <w:b/>
                <w:sz w:val="20"/>
              </w:rPr>
              <w:t>001-38543</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F_edei--EntityTaxIdentificationNum"/>
            <w:bookmarkEnd w:id="7"/>
            <w:r>
              <w:rPr>
                <w:rFonts w:ascii="Times New Roman;Times;Serif" w:hAnsi="Times New Roman;Times;Serif"/>
                <w:b/>
                <w:sz w:val="20"/>
              </w:rPr>
              <w:t>26-1265381</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jc w:val="center"/>
        <w:rPr>
          <w:caps w:val="false"/>
          <w:smallCaps w:val="false"/>
        </w:rPr>
      </w:pPr>
      <w:r>
        <w:rPr>
          <w:caps w:val="false"/>
          <w:smallCaps w:val="false"/>
        </w:rPr>
        <w:t> </w:t>
      </w:r>
    </w:p>
    <w:tbl>
      <w:tblPr>
        <w:tblW w:w="4735" w:type="dxa"/>
        <w:jc w:val="left"/>
        <w:tblInd w:w="0" w:type="dxa"/>
        <w:tblLayout w:type="fixed"/>
        <w:tblCellMar>
          <w:top w:w="0" w:type="dxa"/>
          <w:left w:w="0" w:type="dxa"/>
          <w:bottom w:w="28" w:type="dxa"/>
          <w:right w:w="0" w:type="dxa"/>
        </w:tblCellMar>
      </w:tblPr>
      <w:tblGrid>
        <w:gridCol w:w="3755"/>
        <w:gridCol w:w="60"/>
        <w:gridCol w:w="920"/>
      </w:tblGrid>
      <w:tr>
        <w:trPr/>
        <w:tc>
          <w:tcPr>
            <w:tcW w:w="375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bookmarkStart w:id="8" w:name="xdx_904_edei--EntityAddressAddressLine1_"/>
            <w:bookmarkEnd w:id="8"/>
            <w:r>
              <w:rPr>
                <w:rFonts w:ascii="Times New Roman;Times;Serif" w:hAnsi="Times New Roman;Times;Serif"/>
                <w:b/>
                <w:sz w:val="20"/>
              </w:rPr>
              <w:t>260 Charles Street</w:t>
            </w:r>
            <w:r>
              <w:rPr>
                <w:rFonts w:ascii="Times New Roman;Times;Serif" w:hAnsi="Times New Roman;Times;Serif"/>
                <w:sz w:val="20"/>
              </w:rPr>
              <w:t xml:space="preserve">, </w:t>
            </w:r>
            <w:bookmarkStart w:id="9" w:name="xdx_90C_edei--EntityAddressAddressLine2_"/>
            <w:bookmarkEnd w:id="9"/>
            <w:r>
              <w:rPr>
                <w:rFonts w:ascii="Times New Roman;Times;Serif" w:hAnsi="Times New Roman;Times;Serif"/>
                <w:b/>
                <w:sz w:val="20"/>
              </w:rPr>
              <w:t xml:space="preserve">Suite 302, </w:t>
            </w:r>
            <w:bookmarkStart w:id="10" w:name="xdx_900_edei--EntityAddressCityOrTown_c2"/>
            <w:bookmarkEnd w:id="10"/>
            <w:r>
              <w:rPr>
                <w:rFonts w:ascii="Times New Roman;Times;Serif" w:hAnsi="Times New Roman;Times;Serif"/>
                <w:b/>
                <w:sz w:val="20"/>
              </w:rPr>
              <w:t xml:space="preserve">Waltham, </w:t>
            </w:r>
            <w:bookmarkStart w:id="11" w:name="xdx_906_edei--EntityAddressStateOrProvin"/>
            <w:bookmarkEnd w:id="11"/>
            <w:r>
              <w:rPr>
                <w:rFonts w:ascii="Times New Roman;Times;Serif" w:hAnsi="Times New Roman;Times;Serif"/>
                <w:b/>
                <w:sz w:val="20"/>
              </w:rPr>
              <w:t>MA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2" w:name="xdx_90E_edei--EntityAddressPostalZipCode"/>
            <w:bookmarkEnd w:id="12"/>
            <w:r>
              <w:rPr>
                <w:rFonts w:ascii="Times New Roman;Times;Serif" w:hAnsi="Times New Roman;Times;Serif"/>
                <w:b/>
                <w:sz w:val="20"/>
              </w:rPr>
              <w:t>02453</w:t>
            </w:r>
          </w:p>
        </w:tc>
      </w:tr>
      <w:tr>
        <w:trPr/>
        <w:tc>
          <w:tcPr>
            <w:tcW w:w="37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8_edei--CityAreaCode_c20231020__20"/>
      <w:bookmarkEnd w:id="13"/>
      <w:r>
        <w:rPr>
          <w:rFonts w:ascii="Times New Roman;Times;Serif" w:hAnsi="Times New Roman;Times;Serif"/>
          <w:b/>
          <w:i w:val="false"/>
          <w:caps w:val="false"/>
          <w:smallCaps w:val="false"/>
          <w:sz w:val="20"/>
        </w:rPr>
        <w:t>248.</w:t>
      </w:r>
      <w:bookmarkStart w:id="14" w:name="xdx_909_edei--LocalPhoneNumber_c20231020"/>
      <w:bookmarkEnd w:id="14"/>
      <w:r>
        <w:rPr>
          <w:rFonts w:ascii="Times New Roman;Times;Serif" w:hAnsi="Times New Roman;Times;Serif"/>
          <w:b/>
          <w:i w:val="false"/>
          <w:caps w:val="false"/>
          <w:smallCaps w:val="false"/>
          <w:sz w:val="20"/>
        </w:rPr>
        <w:t>651.6568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pPr>
            <w:bookmarkStart w:id="15" w:name="xdx_901_edei--WrittenCommunications_c202"/>
            <w:bookmarkEnd w:id="15"/>
            <w:r>
              <w:rPr/>
              <w:t>☐</w:t>
            </w:r>
          </w:p>
        </w:tc>
        <w:tc>
          <w:tcPr>
            <w:tcW w:w="906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16" w:name="xdx_90F_edei--SolicitingMaterial_c202310"/>
            <w:bookmarkEnd w:id="16"/>
            <w:r>
              <w:rPr/>
              <w:t>☐</w:t>
            </w:r>
          </w:p>
        </w:tc>
        <w:tc>
          <w:tcPr>
            <w:tcW w:w="906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17" w:name="xdx_909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bookmarkStart w:id="18" w:name="xdx_90D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20" w:type="dxa"/>
        <w:jc w:val="left"/>
        <w:tblInd w:w="0" w:type="dxa"/>
        <w:tblLayout w:type="fixed"/>
        <w:tblCellMar>
          <w:top w:w="0" w:type="dxa"/>
          <w:left w:w="0" w:type="dxa"/>
          <w:bottom w:w="28" w:type="dxa"/>
          <w:right w:w="0" w:type="dxa"/>
        </w:tblCellMar>
      </w:tblPr>
      <w:tblGrid>
        <w:gridCol w:w="2780"/>
        <w:gridCol w:w="60"/>
        <w:gridCol w:w="1610"/>
        <w:gridCol w:w="60"/>
        <w:gridCol w:w="3710"/>
      </w:tblGrid>
      <w:tr>
        <w:trPr/>
        <w:tc>
          <w:tcPr>
            <w:tcW w:w="278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780" w:type="dxa"/>
            <w:tcBorders/>
            <w:shd w:fill="CCEEFF" w:val="clear"/>
            <w:tcMar>
              <w:bottom w:w="0" w:type="dxa"/>
            </w:tcMar>
            <w:vAlign w:val="center"/>
          </w:tcPr>
          <w:p>
            <w:pPr>
              <w:pStyle w:val="TableContents"/>
              <w:bidi w:val="0"/>
              <w:spacing w:before="0" w:after="283"/>
              <w:jc w:val="center"/>
              <w:rPr>
                <w:sz w:val="20"/>
              </w:rPr>
            </w:pPr>
            <w:bookmarkStart w:id="19" w:name="xdx_900_edei--Security12bTitle_c20231020"/>
            <w:bookmarkEnd w:id="19"/>
            <w:r>
              <w:rPr>
                <w:sz w:val="20"/>
              </w:rPr>
              <w:t>Common Stock, $0.001 Par Value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20" w:name="xdx_907_edei--TradingSymbol_c20231020__2"/>
            <w:bookmarkEnd w:id="20"/>
            <w:r>
              <w:rPr>
                <w:sz w:val="20"/>
              </w:rPr>
              <w:t>OPRX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1" w:name="xdx_90A_edei--SecurityExchangeName_c2023"/>
            <w:bookmarkEnd w:id="21"/>
            <w:r>
              <w:rPr>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October 11, 2023, OptimizeRx Corporation (the “Company” or “OptimizeRx”) entered into a definitive Agreement and Plan of Merger (the “Merger Agreement”) with Healthy Offers, Inc. (d/b/a Medicx Health), a Nevada corporation (“Medicx”), the securityholders of Medicx named therein (the “Securityholders”), and Michael Weintraub, not in his individual capacity, but solely in his capacity as representative, agent and attorney-in-fact of the Securityholders. On October 24, 2023, pursuant to the Merger Agreement, a newly formed wholly-owned subsidiary of the Company consummated the merger with and into Medicx, with Medicx continuing as the surviving company and a wholly-owned subsidiary of the Company (the “Merger”).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23" w:name="xdx_90A_edei--AmendmentDescription_c2023"/>
      <w:bookmarkEnd w:id="23"/>
      <w:r>
        <w:rPr>
          <w:rFonts w:ascii="Times New Roman;Times;Serif" w:hAnsi="Times New Roman;Times;Serif"/>
          <w:b w:val="false"/>
          <w:i w:val="false"/>
          <w:caps w:val="false"/>
          <w:smallCaps w:val="false"/>
          <w:sz w:val="20"/>
        </w:rPr>
        <w:t>On October 25, 2023, OptimizeRx filed with the Securities and Exchange Commission a Current Report on Form 8-K (the “Original Form 8-K”) to report the consummation of the Merger. Among other things, this Amendment No. 1 to the Original Form 8-K amends and supplements Item 9.01 of the Original Form 8-K to provide the financial statements and pro forma financial information required under Items 9.01(a) and (b) of Form 8-K, which were excluded from the Original Form 8-K in reliance on the instructions to such items.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shd w:fill="FFFFFF" w:val="clear"/>
        </w:rPr>
        <w:t>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Financial Statements of Businesses Acquired</w:t>
      </w:r>
    </w:p>
    <w:p>
      <w:pPr>
        <w:pStyle w:val="TextBody"/>
        <w:shd w:fill="FFFFFF" w:val="clear"/>
        <w:bidi w:val="0"/>
        <w:spacing w:before="0" w:after="0"/>
        <w:ind w:left="0" w:right="0" w:firstLine="255"/>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audited balance sheets of Medicx as of December 31, 2022 and 2021, and the related statements of income, changes in stockholders’ equity and cash flows for the fiscal years ended December 31, 2022 and 2021 are included as Exhibit 99.2 to this report and incorporated by reference herein.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unaudited balance sheets of Medicx as of June 30, 2023 and December 31, 2022 and the related statements of income, changed in stockholders’ equity and cash flows for the three and six months ended June 30, 2023 and 2022 are included as Exhibit 99.3 to this report and incorporated by reference herein.</w:t>
      </w:r>
    </w:p>
    <w:p>
      <w:pPr>
        <w:pStyle w:val="TextBody"/>
        <w:shd w:fill="FFFFFF" w:val="clear"/>
        <w:bidi w:val="0"/>
        <w:spacing w:before="0" w:after="0"/>
        <w:ind w:left="0" w:right="0" w:firstLine="255"/>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 Pro Forma Financial Information</w:t>
      </w:r>
    </w:p>
    <w:p>
      <w:pPr>
        <w:pStyle w:val="TextBody"/>
        <w:shd w:fill="FFFFFF" w:val="clear"/>
        <w:bidi w:val="0"/>
        <w:spacing w:before="0" w:after="0"/>
        <w:ind w:left="0" w:right="0" w:firstLine="255"/>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OptimizeRx’s </w:t>
      </w:r>
      <w:r>
        <w:rPr>
          <w:rFonts w:ascii="Times New Roman;Times;Serif" w:hAnsi="Times New Roman;Times;Serif"/>
          <w:b w:val="false"/>
          <w:i w:val="false"/>
          <w:caps w:val="false"/>
          <w:smallCaps w:val="false"/>
          <w:sz w:val="20"/>
          <w:shd w:fill="FFFFFF" w:val="clear"/>
        </w:rPr>
        <w:t xml:space="preserve">unaudited pro forma combined balance sheet as of June 30, 2023 and pro forma condensed combined statement of operations for the six months ended June 30, 2023 and the year ended December 31, 2022 are included as Exhibit 99.4 to this report and incorporated by reference herein. </w:t>
      </w:r>
    </w:p>
    <w:p>
      <w:pPr>
        <w:pStyle w:val="TextBody"/>
        <w:shd w:fill="FFFFFF" w:val="clear"/>
        <w:bidi w:val="0"/>
        <w:spacing w:before="0" w:after="0"/>
        <w:ind w:left="0" w:right="0" w:firstLine="255"/>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 Exhibits</w:t>
      </w:r>
    </w:p>
    <w:p>
      <w:pPr>
        <w:pStyle w:val="TextBody"/>
        <w:shd w:fill="FFFFFF" w:val="clear"/>
        <w:bidi w:val="0"/>
        <w:spacing w:before="0" w:after="0"/>
        <w:ind w:left="0" w:right="0" w:firstLine="360"/>
        <w:jc w:val="both"/>
        <w:rPr>
          <w:caps w:val="false"/>
          <w:smallCaps w:val="false"/>
          <w:shd w:fill="FFFFFF" w:val="clear"/>
        </w:rPr>
      </w:pPr>
      <w:r>
        <w:rPr>
          <w:caps w:val="false"/>
          <w:smallCaps w:val="false"/>
          <w:shd w:fill="FFFFFF" w:val="clear"/>
        </w:rPr>
        <w:t> </w:t>
      </w:r>
    </w:p>
    <w:tbl>
      <w:tblPr>
        <w:tblW w:w="10205" w:type="dxa"/>
        <w:jc w:val="left"/>
        <w:tblInd w:w="0" w:type="dxa"/>
        <w:tblLayout w:type="fixed"/>
        <w:tblCellMar>
          <w:top w:w="0" w:type="dxa"/>
          <w:left w:w="0" w:type="dxa"/>
          <w:bottom w:w="28" w:type="dxa"/>
          <w:right w:w="0" w:type="dxa"/>
        </w:tblCellMar>
      </w:tblPr>
      <w:tblGrid>
        <w:gridCol w:w="1408"/>
        <w:gridCol w:w="60"/>
        <w:gridCol w:w="8737"/>
      </w:tblGrid>
      <w:tr>
        <w:trPr/>
        <w:tc>
          <w:tcPr>
            <w:tcW w:w="1408" w:type="dxa"/>
            <w:tcBorders>
              <w:bottom w:val="single" w:sz="12" w:space="0" w:color="000000"/>
            </w:tcBorders>
            <w:vAlign w:val="center"/>
          </w:tcPr>
          <w:p>
            <w:pPr>
              <w:pStyle w:val="TableContents"/>
              <w:bidi w:val="0"/>
              <w:spacing w:before="0" w:after="283"/>
              <w:jc w:val="left"/>
              <w:rPr>
                <w:b/>
              </w:rPr>
            </w:pPr>
            <w:r>
              <w:rPr>
                <w:b/>
              </w:rPr>
              <w:t>Exhibit Number</w:t>
            </w:r>
          </w:p>
        </w:tc>
        <w:tc>
          <w:tcPr>
            <w:tcW w:w="60" w:type="dxa"/>
            <w:tcBorders/>
            <w:tcMar>
              <w:bottom w:w="0" w:type="dxa"/>
            </w:tcMar>
            <w:vAlign w:val="center"/>
          </w:tcPr>
          <w:p>
            <w:pPr>
              <w:pStyle w:val="TableContents"/>
              <w:bidi w:val="0"/>
              <w:spacing w:before="0" w:after="283"/>
              <w:jc w:val="left"/>
              <w:rPr/>
            </w:pPr>
            <w:r>
              <w:rPr/>
              <w:t> </w:t>
            </w:r>
          </w:p>
        </w:tc>
        <w:tc>
          <w:tcPr>
            <w:tcW w:w="8737"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140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37" w:type="dxa"/>
            <w:tcBorders/>
            <w:tcMar>
              <w:bottom w:w="0" w:type="dxa"/>
            </w:tcMar>
            <w:vAlign w:val="center"/>
          </w:tcPr>
          <w:p>
            <w:pPr>
              <w:pStyle w:val="TableContents"/>
              <w:bidi w:val="0"/>
              <w:spacing w:before="0" w:after="283"/>
              <w:jc w:val="left"/>
              <w:rPr/>
            </w:pPr>
            <w:r>
              <w:rPr/>
              <w:t> </w:t>
            </w:r>
          </w:p>
        </w:tc>
      </w:tr>
      <w:tr>
        <w:trPr/>
        <w:tc>
          <w:tcPr>
            <w:tcW w:w="1408" w:type="dxa"/>
            <w:tcBorders/>
            <w:shd w:fill="CCEEFF" w:val="clear"/>
            <w:tcMar>
              <w:bottom w:w="0" w:type="dxa"/>
            </w:tcMar>
            <w:vAlign w:val="center"/>
          </w:tcPr>
          <w:p>
            <w:pPr>
              <w:pStyle w:val="TableContents"/>
              <w:bidi w:val="0"/>
              <w:spacing w:before="0" w:after="283"/>
              <w:jc w:val="left"/>
              <w:rPr/>
            </w:pPr>
            <w:r>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37" w:type="dxa"/>
            <w:tcBorders/>
            <w:shd w:fill="CCEEFF" w:val="clear"/>
            <w:tcMar>
              <w:bottom w:w="0" w:type="dxa"/>
            </w:tcMar>
            <w:vAlign w:val="center"/>
          </w:tcPr>
          <w:p>
            <w:pPr>
              <w:pStyle w:val="TableContents"/>
              <w:bidi w:val="0"/>
              <w:spacing w:before="0" w:after="283"/>
              <w:jc w:val="both"/>
              <w:rPr/>
            </w:pPr>
            <w:r>
              <w:rPr/>
              <w:t>Common Stock Purchase Agreement dated October 24, 2023, by and among the Company and the Management Investors</w:t>
            </w:r>
          </w:p>
        </w:tc>
      </w:tr>
      <w:tr>
        <w:trPr/>
        <w:tc>
          <w:tcPr>
            <w:tcW w:w="1408"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8737" w:type="dxa"/>
            <w:tcBorders/>
            <w:shd w:fill="FFFFFF" w:val="clear"/>
            <w:tcMar>
              <w:bottom w:w="0" w:type="dxa"/>
            </w:tcMar>
            <w:vAlign w:val="center"/>
          </w:tcPr>
          <w:p>
            <w:pPr>
              <w:pStyle w:val="TableContents"/>
              <w:bidi w:val="0"/>
              <w:spacing w:before="0" w:after="283"/>
              <w:jc w:val="both"/>
              <w:rPr/>
            </w:pPr>
            <w:r>
              <w:rPr/>
              <w:t> </w:t>
            </w:r>
          </w:p>
        </w:tc>
      </w:tr>
      <w:tr>
        <w:trPr/>
        <w:tc>
          <w:tcPr>
            <w:tcW w:w="1408" w:type="dxa"/>
            <w:tcBorders/>
            <w:shd w:fill="CCEEFF" w:val="clear"/>
            <w:tcMar>
              <w:bottom w:w="0" w:type="dxa"/>
            </w:tcMar>
            <w:vAlign w:val="center"/>
          </w:tcPr>
          <w:p>
            <w:pPr>
              <w:pStyle w:val="TableContents"/>
              <w:bidi w:val="0"/>
              <w:spacing w:before="0" w:after="283"/>
              <w:jc w:val="both"/>
              <w:rPr/>
            </w:pPr>
            <w:r>
              <w:rPr/>
              <w:t>23.1</w:t>
            </w:r>
          </w:p>
        </w:tc>
        <w:tc>
          <w:tcPr>
            <w:tcW w:w="60" w:type="dxa"/>
            <w:tcBorders/>
            <w:shd w:fill="CCEEFF" w:val="clear"/>
            <w:tcMar>
              <w:bottom w:w="0" w:type="dxa"/>
            </w:tcMar>
            <w:vAlign w:val="center"/>
          </w:tcPr>
          <w:p>
            <w:pPr>
              <w:pStyle w:val="TableContents"/>
              <w:bidi w:val="0"/>
              <w:spacing w:before="0" w:after="283"/>
              <w:jc w:val="both"/>
              <w:rPr/>
            </w:pPr>
            <w:r>
              <w:rPr/>
              <w:t> </w:t>
            </w:r>
          </w:p>
        </w:tc>
        <w:tc>
          <w:tcPr>
            <w:tcW w:w="8737" w:type="dxa"/>
            <w:tcBorders/>
            <w:shd w:fill="CCEEFF" w:val="clear"/>
            <w:tcMar>
              <w:bottom w:w="0" w:type="dxa"/>
            </w:tcMar>
            <w:vAlign w:val="center"/>
          </w:tcPr>
          <w:p>
            <w:pPr>
              <w:pStyle w:val="TableContents"/>
              <w:bidi w:val="0"/>
              <w:spacing w:before="0" w:after="283"/>
              <w:jc w:val="both"/>
              <w:rPr/>
            </w:pPr>
            <w:hyperlink w:anchor="ea191205ex23-1_optimizerx.htm">
              <w:r>
                <w:rPr>
                  <w:rStyle w:val="InternetLink"/>
                </w:rPr>
                <w:t>Consent of UHY LLP</w:t>
              </w:r>
            </w:hyperlink>
          </w:p>
        </w:tc>
      </w:tr>
      <w:tr>
        <w:trPr/>
        <w:tc>
          <w:tcPr>
            <w:tcW w:w="1408"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8737" w:type="dxa"/>
            <w:tcBorders/>
            <w:shd w:fill="FFFFFF" w:val="clear"/>
            <w:tcMar>
              <w:bottom w:w="0" w:type="dxa"/>
            </w:tcMar>
            <w:vAlign w:val="center"/>
          </w:tcPr>
          <w:p>
            <w:pPr>
              <w:pStyle w:val="TableContents"/>
              <w:bidi w:val="0"/>
              <w:spacing w:before="0" w:after="283"/>
              <w:jc w:val="both"/>
              <w:rPr/>
            </w:pPr>
            <w:r>
              <w:rPr/>
              <w:t> </w:t>
            </w:r>
          </w:p>
        </w:tc>
      </w:tr>
      <w:tr>
        <w:trPr/>
        <w:tc>
          <w:tcPr>
            <w:tcW w:w="1408" w:type="dxa"/>
            <w:tcBorders/>
            <w:shd w:fill="CCEEFF" w:val="clear"/>
            <w:tcMar>
              <w:bottom w:w="0" w:type="dxa"/>
            </w:tcMar>
            <w:vAlign w:val="center"/>
          </w:tcPr>
          <w:p>
            <w:pPr>
              <w:pStyle w:val="TableContents"/>
              <w:bidi w:val="0"/>
              <w:spacing w:before="0" w:after="283"/>
              <w:jc w:val="both"/>
              <w:rPr/>
            </w:pPr>
            <w:r>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8737" w:type="dxa"/>
            <w:tcBorders/>
            <w:shd w:fill="CCEEFF" w:val="clear"/>
            <w:tcMar>
              <w:bottom w:w="0" w:type="dxa"/>
            </w:tcMar>
            <w:vAlign w:val="center"/>
          </w:tcPr>
          <w:p>
            <w:pPr>
              <w:pStyle w:val="TableContents"/>
              <w:bidi w:val="0"/>
              <w:spacing w:before="0" w:after="283"/>
              <w:jc w:val="both"/>
              <w:rPr/>
            </w:pPr>
            <w:hyperlink r:id="rId2">
              <w:r>
                <w:rPr>
                  <w:rStyle w:val="InternetLink"/>
                </w:rPr>
                <w:t>Press Release of OptimizeRx dated October 25, 2023</w:t>
              </w:r>
            </w:hyperlink>
          </w:p>
        </w:tc>
      </w:tr>
      <w:tr>
        <w:trPr/>
        <w:tc>
          <w:tcPr>
            <w:tcW w:w="1408"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8737" w:type="dxa"/>
            <w:tcBorders/>
            <w:shd w:fill="FFFFFF" w:val="clear"/>
            <w:tcMar>
              <w:bottom w:w="0" w:type="dxa"/>
            </w:tcMar>
            <w:vAlign w:val="center"/>
          </w:tcPr>
          <w:p>
            <w:pPr>
              <w:pStyle w:val="TableContents"/>
              <w:bidi w:val="0"/>
              <w:spacing w:before="0" w:after="283"/>
              <w:jc w:val="both"/>
              <w:rPr/>
            </w:pPr>
            <w:r>
              <w:rPr/>
              <w:t> </w:t>
            </w:r>
          </w:p>
        </w:tc>
      </w:tr>
      <w:tr>
        <w:trPr/>
        <w:tc>
          <w:tcPr>
            <w:tcW w:w="1408" w:type="dxa"/>
            <w:tcBorders/>
            <w:shd w:fill="CCEEFF" w:val="clear"/>
            <w:tcMar>
              <w:bottom w:w="0" w:type="dxa"/>
            </w:tcMar>
            <w:vAlign w:val="center"/>
          </w:tcPr>
          <w:p>
            <w:pPr>
              <w:pStyle w:val="TableContents"/>
              <w:bidi w:val="0"/>
              <w:spacing w:before="0" w:after="283"/>
              <w:jc w:val="both"/>
              <w:rPr/>
            </w:pPr>
            <w:r>
              <w:rPr/>
              <w:t>99.2</w:t>
            </w:r>
          </w:p>
        </w:tc>
        <w:tc>
          <w:tcPr>
            <w:tcW w:w="60" w:type="dxa"/>
            <w:tcBorders/>
            <w:shd w:fill="CCEEFF" w:val="clear"/>
            <w:tcMar>
              <w:bottom w:w="0" w:type="dxa"/>
            </w:tcMar>
            <w:vAlign w:val="center"/>
          </w:tcPr>
          <w:p>
            <w:pPr>
              <w:pStyle w:val="TableContents"/>
              <w:bidi w:val="0"/>
              <w:spacing w:before="0" w:after="283"/>
              <w:jc w:val="both"/>
              <w:rPr/>
            </w:pPr>
            <w:r>
              <w:rPr/>
              <w:t> </w:t>
            </w:r>
          </w:p>
        </w:tc>
        <w:tc>
          <w:tcPr>
            <w:tcW w:w="8737" w:type="dxa"/>
            <w:tcBorders/>
            <w:shd w:fill="CCEEFF" w:val="clear"/>
            <w:tcMar>
              <w:bottom w:w="0" w:type="dxa"/>
            </w:tcMar>
            <w:vAlign w:val="center"/>
          </w:tcPr>
          <w:p>
            <w:pPr>
              <w:pStyle w:val="TableContents"/>
              <w:bidi w:val="0"/>
              <w:spacing w:before="0" w:after="283"/>
              <w:jc w:val="both"/>
              <w:rPr/>
            </w:pPr>
            <w:hyperlink w:anchor="ea191205ex99-2_optimizerx.htm">
              <w:r>
                <w:rPr>
                  <w:rStyle w:val="InternetLink"/>
                </w:rPr>
                <w:t>Audited Financial Statements of Medicx as of December 31, 2022 and 2021 and for the fiscal years ended December 31, 2022 and 2021</w:t>
              </w:r>
            </w:hyperlink>
          </w:p>
        </w:tc>
      </w:tr>
      <w:tr>
        <w:trPr/>
        <w:tc>
          <w:tcPr>
            <w:tcW w:w="1408"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8737" w:type="dxa"/>
            <w:tcBorders/>
            <w:shd w:fill="FFFFFF" w:val="clear"/>
            <w:tcMar>
              <w:bottom w:w="0" w:type="dxa"/>
            </w:tcMar>
            <w:vAlign w:val="center"/>
          </w:tcPr>
          <w:p>
            <w:pPr>
              <w:pStyle w:val="TableContents"/>
              <w:bidi w:val="0"/>
              <w:spacing w:before="0" w:after="283"/>
              <w:jc w:val="both"/>
              <w:rPr/>
            </w:pPr>
            <w:r>
              <w:rPr/>
              <w:t> </w:t>
            </w:r>
          </w:p>
        </w:tc>
      </w:tr>
      <w:tr>
        <w:trPr/>
        <w:tc>
          <w:tcPr>
            <w:tcW w:w="1408" w:type="dxa"/>
            <w:tcBorders/>
            <w:shd w:fill="CCEEFF" w:val="clear"/>
            <w:tcMar>
              <w:bottom w:w="0" w:type="dxa"/>
            </w:tcMar>
            <w:vAlign w:val="center"/>
          </w:tcPr>
          <w:p>
            <w:pPr>
              <w:pStyle w:val="TableContents"/>
              <w:bidi w:val="0"/>
              <w:spacing w:before="0" w:after="283"/>
              <w:jc w:val="both"/>
              <w:rPr/>
            </w:pPr>
            <w:r>
              <w:rPr/>
              <w:t>99.3</w:t>
            </w:r>
          </w:p>
        </w:tc>
        <w:tc>
          <w:tcPr>
            <w:tcW w:w="60" w:type="dxa"/>
            <w:tcBorders/>
            <w:shd w:fill="CCEEFF" w:val="clear"/>
            <w:tcMar>
              <w:bottom w:w="0" w:type="dxa"/>
            </w:tcMar>
            <w:vAlign w:val="center"/>
          </w:tcPr>
          <w:p>
            <w:pPr>
              <w:pStyle w:val="TableContents"/>
              <w:bidi w:val="0"/>
              <w:spacing w:before="0" w:after="283"/>
              <w:jc w:val="both"/>
              <w:rPr/>
            </w:pPr>
            <w:r>
              <w:rPr/>
              <w:t> </w:t>
            </w:r>
          </w:p>
        </w:tc>
        <w:tc>
          <w:tcPr>
            <w:tcW w:w="8737" w:type="dxa"/>
            <w:tcBorders/>
            <w:shd w:fill="CCEEFF" w:val="clear"/>
            <w:tcMar>
              <w:bottom w:w="0" w:type="dxa"/>
            </w:tcMar>
            <w:vAlign w:val="center"/>
          </w:tcPr>
          <w:p>
            <w:pPr>
              <w:pStyle w:val="TableContents"/>
              <w:bidi w:val="0"/>
              <w:spacing w:before="0" w:after="283"/>
              <w:jc w:val="both"/>
              <w:rPr/>
            </w:pPr>
            <w:hyperlink w:anchor="ea191205ex99-3_optimizerx.htm">
              <w:r>
                <w:rPr>
                  <w:rStyle w:val="InternetLink"/>
                </w:rPr>
                <w:t>Unaudited Financial Statements of Medicx as of June 30, 2023 and for the three and six months ended June 30, 2023 and 2022</w:t>
              </w:r>
            </w:hyperlink>
          </w:p>
        </w:tc>
      </w:tr>
      <w:tr>
        <w:trPr/>
        <w:tc>
          <w:tcPr>
            <w:tcW w:w="1408"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8737" w:type="dxa"/>
            <w:tcBorders/>
            <w:shd w:fill="FFFFFF" w:val="clear"/>
            <w:tcMar>
              <w:bottom w:w="0" w:type="dxa"/>
            </w:tcMar>
            <w:vAlign w:val="center"/>
          </w:tcPr>
          <w:p>
            <w:pPr>
              <w:pStyle w:val="TableContents"/>
              <w:bidi w:val="0"/>
              <w:spacing w:before="0" w:after="283"/>
              <w:jc w:val="both"/>
              <w:rPr/>
            </w:pPr>
            <w:r>
              <w:rPr/>
              <w:t> </w:t>
            </w:r>
          </w:p>
        </w:tc>
      </w:tr>
      <w:tr>
        <w:trPr/>
        <w:tc>
          <w:tcPr>
            <w:tcW w:w="1408" w:type="dxa"/>
            <w:tcBorders/>
            <w:shd w:fill="CCEEFF" w:val="clear"/>
            <w:tcMar>
              <w:bottom w:w="0" w:type="dxa"/>
            </w:tcMar>
            <w:vAlign w:val="center"/>
          </w:tcPr>
          <w:p>
            <w:pPr>
              <w:pStyle w:val="TableContents"/>
              <w:bidi w:val="0"/>
              <w:spacing w:before="0" w:after="283"/>
              <w:jc w:val="both"/>
              <w:rPr/>
            </w:pPr>
            <w:r>
              <w:rPr/>
              <w:t>99.4</w:t>
            </w:r>
          </w:p>
        </w:tc>
        <w:tc>
          <w:tcPr>
            <w:tcW w:w="60" w:type="dxa"/>
            <w:tcBorders/>
            <w:shd w:fill="CCEEFF" w:val="clear"/>
            <w:tcMar>
              <w:bottom w:w="0" w:type="dxa"/>
            </w:tcMar>
            <w:vAlign w:val="center"/>
          </w:tcPr>
          <w:p>
            <w:pPr>
              <w:pStyle w:val="TableContents"/>
              <w:bidi w:val="0"/>
              <w:spacing w:before="0" w:after="283"/>
              <w:jc w:val="both"/>
              <w:rPr/>
            </w:pPr>
            <w:r>
              <w:rPr/>
              <w:t> </w:t>
            </w:r>
          </w:p>
        </w:tc>
        <w:tc>
          <w:tcPr>
            <w:tcW w:w="8737" w:type="dxa"/>
            <w:tcBorders/>
            <w:shd w:fill="CCEEFF" w:val="clear"/>
            <w:tcMar>
              <w:bottom w:w="0" w:type="dxa"/>
            </w:tcMar>
            <w:vAlign w:val="center"/>
          </w:tcPr>
          <w:p>
            <w:pPr>
              <w:pStyle w:val="TableContents"/>
              <w:bidi w:val="0"/>
              <w:spacing w:before="0" w:after="283"/>
              <w:jc w:val="both"/>
              <w:rPr/>
            </w:pPr>
            <w:hyperlink w:anchor="ea191205ex99-4_optimizerx.htm">
              <w:r>
                <w:rPr>
                  <w:rStyle w:val="InternetLink"/>
                </w:rPr>
                <w:t>Unaudited Pro Forma Combined Financial Information of OptimizeRx Corporation</w:t>
              </w:r>
            </w:hyperlink>
          </w:p>
        </w:tc>
      </w:tr>
      <w:tr>
        <w:trPr/>
        <w:tc>
          <w:tcPr>
            <w:tcW w:w="1408"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8737" w:type="dxa"/>
            <w:tcBorders/>
            <w:shd w:fill="FFFFFF" w:val="clear"/>
            <w:tcMar>
              <w:bottom w:w="0" w:type="dxa"/>
            </w:tcMar>
            <w:vAlign w:val="center"/>
          </w:tcPr>
          <w:p>
            <w:pPr>
              <w:pStyle w:val="TableContents"/>
              <w:bidi w:val="0"/>
              <w:spacing w:before="0" w:after="283"/>
              <w:jc w:val="both"/>
              <w:rPr/>
            </w:pPr>
            <w:r>
              <w:rPr/>
              <w:t> </w:t>
            </w:r>
          </w:p>
        </w:tc>
      </w:tr>
      <w:tr>
        <w:trPr/>
        <w:tc>
          <w:tcPr>
            <w:tcW w:w="1408" w:type="dxa"/>
            <w:tcBorders/>
            <w:shd w:fill="CCEEFF" w:val="clear"/>
            <w:tcMar>
              <w:bottom w:w="0" w:type="dxa"/>
            </w:tcMar>
            <w:vAlign w:val="center"/>
          </w:tcPr>
          <w:p>
            <w:pPr>
              <w:pStyle w:val="TableContents"/>
              <w:bidi w:val="0"/>
              <w:spacing w:before="0" w:after="283"/>
              <w:jc w:val="both"/>
              <w:rPr/>
            </w:pPr>
            <w:r>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8737" w:type="dxa"/>
            <w:tcBorders/>
            <w:shd w:fill="CCEEFF" w:val="clear"/>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40"/>
        <w:gridCol w:w="10065"/>
      </w:tblGrid>
      <w:tr>
        <w:trPr/>
        <w:tc>
          <w:tcPr>
            <w:tcW w:w="140" w:type="dxa"/>
            <w:tcBorders/>
            <w:shd w:fill="FFFFFF" w:val="clear"/>
            <w:vAlign w:val="center"/>
          </w:tcPr>
          <w:p>
            <w:pPr>
              <w:pStyle w:val="TableContents"/>
              <w:bidi w:val="0"/>
              <w:spacing w:before="0" w:after="283"/>
              <w:jc w:val="left"/>
              <w:rPr>
                <w:b/>
                <w:sz w:val="20"/>
              </w:rPr>
            </w:pPr>
            <w:r>
              <w:rPr>
                <w:b/>
                <w:sz w:val="20"/>
              </w:rPr>
              <w:t>*</w:t>
            </w:r>
          </w:p>
        </w:tc>
        <w:tc>
          <w:tcPr>
            <w:tcW w:w="10065" w:type="dxa"/>
            <w:tcBorders/>
            <w:shd w:fill="FFFFFF" w:val="clear"/>
            <w:vAlign w:val="center"/>
          </w:tcPr>
          <w:p>
            <w:pPr>
              <w:pStyle w:val="TableContents"/>
              <w:bidi w:val="0"/>
              <w:spacing w:before="0" w:after="283"/>
              <w:jc w:val="both"/>
              <w:rPr>
                <w:sz w:val="20"/>
              </w:rPr>
            </w:pPr>
            <w:r>
              <w:rPr>
                <w:sz w:val="20"/>
              </w:rPr>
              <w:t>Exhibits have been omitted pursuant to Item 601(a)(5) of Regulation S-K. The Company agrees to furnish supplementally a copy of any omitted exhibit to the SEC upon request.</w:t>
            </w:r>
          </w:p>
        </w:tc>
      </w:tr>
    </w:tbl>
    <w:tbl>
      <w:tblPr>
        <w:tblW w:w="1750" w:type="dxa"/>
        <w:jc w:val="left"/>
        <w:tblInd w:w="0" w:type="dxa"/>
        <w:tblLayout w:type="fixed"/>
        <w:tblCellMar>
          <w:top w:w="0" w:type="dxa"/>
          <w:left w:w="0" w:type="dxa"/>
          <w:bottom w:w="0" w:type="dxa"/>
          <w:right w:w="0" w:type="dxa"/>
        </w:tblCellMar>
      </w:tblPr>
      <w:tblGrid>
        <w:gridCol w:w="170"/>
        <w:gridCol w:w="1580"/>
      </w:tblGrid>
      <w:tr>
        <w:trPr/>
        <w:tc>
          <w:tcPr>
            <w:tcW w:w="170"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283"/>
              <w:jc w:val="both"/>
              <w:rPr/>
            </w:pPr>
            <w:r>
              <w:rPr/>
              <w:t>Previously filed.</w:t>
            </w:r>
          </w:p>
        </w:tc>
      </w:tr>
    </w:tbl>
    <w:tbl>
      <w:tblPr>
        <w:tblW w:w="2350" w:type="dxa"/>
        <w:jc w:val="left"/>
        <w:tblInd w:w="0" w:type="dxa"/>
        <w:tblLayout w:type="fixed"/>
        <w:tblCellMar>
          <w:top w:w="0" w:type="dxa"/>
          <w:left w:w="0" w:type="dxa"/>
          <w:bottom w:w="0" w:type="dxa"/>
          <w:right w:w="0" w:type="dxa"/>
        </w:tblCellMar>
      </w:tblPr>
      <w:tblGrid>
        <w:gridCol w:w="305"/>
        <w:gridCol w:w="2045"/>
      </w:tblGrid>
      <w:tr>
        <w:trPr/>
        <w:tc>
          <w:tcPr>
            <w:tcW w:w="305"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283"/>
              <w:jc w:val="both"/>
              <w:rPr/>
            </w:pPr>
            <w:r>
              <w:rPr/>
              <w:t>Previously furnished.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850" w:type="dxa"/>
        <w:jc w:val="left"/>
        <w:tblInd w:w="0" w:type="dxa"/>
        <w:tblLayout w:type="fixed"/>
        <w:tblCellMar>
          <w:top w:w="0" w:type="dxa"/>
          <w:left w:w="0" w:type="dxa"/>
          <w:bottom w:w="0" w:type="dxa"/>
          <w:right w:w="0" w:type="dxa"/>
        </w:tblCellMar>
      </w:tblPr>
      <w:tblGrid>
        <w:gridCol w:w="2030"/>
        <w:gridCol w:w="320"/>
        <w:gridCol w:w="605"/>
        <w:gridCol w:w="1895"/>
      </w:tblGrid>
      <w:tr>
        <w:trPr/>
        <w:tc>
          <w:tcPr>
            <w:tcW w:w="2030" w:type="dxa"/>
            <w:tcBorders/>
            <w:vAlign w:val="center"/>
          </w:tcPr>
          <w:p>
            <w:pPr>
              <w:pStyle w:val="TableContents"/>
              <w:bidi w:val="0"/>
              <w:spacing w:before="0" w:after="283"/>
              <w:jc w:val="left"/>
              <w:rPr/>
            </w:pPr>
            <w:r>
              <w:rPr/>
              <w:t> </w:t>
            </w:r>
          </w:p>
        </w:tc>
        <w:tc>
          <w:tcPr>
            <w:tcW w:w="2820" w:type="dxa"/>
            <w:gridSpan w:val="3"/>
            <w:tcBorders/>
            <w:vAlign w:val="center"/>
          </w:tcPr>
          <w:p>
            <w:pPr>
              <w:pStyle w:val="TableContents"/>
              <w:bidi w:val="0"/>
              <w:spacing w:before="0" w:after="283"/>
              <w:jc w:val="left"/>
              <w:rPr>
                <w:b/>
                <w:sz w:val="20"/>
              </w:rPr>
            </w:pPr>
            <w:r>
              <w:rPr>
                <w:b/>
                <w:sz w:val="20"/>
              </w:rPr>
              <w:t>OPTIMIZERX CORPORATION</w:t>
            </w:r>
          </w:p>
        </w:tc>
      </w:tr>
      <w:tr>
        <w:trPr/>
        <w:tc>
          <w:tcPr>
            <w:tcW w:w="2030" w:type="dxa"/>
            <w:tcBorders/>
            <w:vAlign w:val="center"/>
          </w:tcPr>
          <w:p>
            <w:pPr>
              <w:pStyle w:val="TableContents"/>
              <w:bidi w:val="0"/>
              <w:spacing w:before="0" w:after="283"/>
              <w:jc w:val="left"/>
              <w:rPr/>
            </w:pPr>
            <w:r>
              <w:rPr/>
              <w:t> </w:t>
            </w:r>
          </w:p>
        </w:tc>
        <w:tc>
          <w:tcPr>
            <w:tcW w:w="2820" w:type="dxa"/>
            <w:gridSpan w:val="3"/>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sz w:val="20"/>
              </w:rPr>
              <w:t xml:space="preserve">Date: </w:t>
            </w:r>
            <w:r>
              <w:rPr/>
              <w:t>January 5, 2024</w:t>
            </w:r>
          </w:p>
        </w:tc>
        <w:tc>
          <w:tcPr>
            <w:tcW w:w="320" w:type="dxa"/>
            <w:tcBorders/>
            <w:vAlign w:val="center"/>
          </w:tcPr>
          <w:p>
            <w:pPr>
              <w:pStyle w:val="TableContents"/>
              <w:bidi w:val="0"/>
              <w:spacing w:before="0" w:after="283"/>
              <w:jc w:val="left"/>
              <w:rPr>
                <w:sz w:val="20"/>
              </w:rPr>
            </w:pPr>
            <w:r>
              <w:rPr>
                <w:sz w:val="20"/>
              </w:rPr>
              <w:t>By:</w:t>
            </w:r>
          </w:p>
        </w:tc>
        <w:tc>
          <w:tcPr>
            <w:tcW w:w="250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Edward Stelmakh</w:t>
            </w:r>
          </w:p>
        </w:tc>
      </w:tr>
      <w:tr>
        <w:trPr/>
        <w:tc>
          <w:tcPr>
            <w:tcW w:w="203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605" w:type="dxa"/>
            <w:tcBorders/>
            <w:vAlign w:val="center"/>
          </w:tcPr>
          <w:p>
            <w:pPr>
              <w:pStyle w:val="TableContents"/>
              <w:bidi w:val="0"/>
              <w:spacing w:before="0" w:after="283"/>
              <w:jc w:val="both"/>
              <w:rPr/>
            </w:pPr>
            <w:r>
              <w:rPr>
                <w:sz w:val="20"/>
              </w:rPr>
              <w:t>Name:</w:t>
            </w:r>
            <w:r>
              <w:rPr/>
              <w:t> </w:t>
            </w:r>
          </w:p>
        </w:tc>
        <w:tc>
          <w:tcPr>
            <w:tcW w:w="1895" w:type="dxa"/>
            <w:tcBorders/>
            <w:vAlign w:val="center"/>
          </w:tcPr>
          <w:p>
            <w:pPr>
              <w:pStyle w:val="TableContents"/>
              <w:bidi w:val="0"/>
              <w:spacing w:before="0" w:after="283"/>
              <w:jc w:val="both"/>
              <w:rPr>
                <w:sz w:val="20"/>
              </w:rPr>
            </w:pPr>
            <w:r>
              <w:rPr>
                <w:sz w:val="20"/>
              </w:rPr>
              <w:t>Edward Stelmakh</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20"/>
              </w:rPr>
            </w:pPr>
            <w:r>
              <w:rPr>
                <w:sz w:val="20"/>
              </w:rPr>
              <w:t>Title:</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24" w:name="ea191205ex23-1_optimizerx.htm"/>
      <w:bookmarkStart w:id="25" w:name="ksea191205ex231_optimizerx"/>
      <w:bookmarkEnd w:id="24"/>
      <w:bookmarkEnd w:id="25"/>
      <w:r>
        <w:rPr>
          <w:b/>
        </w:rPr>
        <w:t>Exhibit 23.1</w:t>
      </w:r>
      <w:r>
        <w:br w:type="page"/>
      </w:r>
    </w:p>
    <w:p>
      <w:pPr>
        <w:pStyle w:val="TextBody"/>
        <w:bidi w:val="0"/>
        <w:spacing w:before="0" w:after="283"/>
        <w:jc w:val="left"/>
        <w:rPr/>
      </w:pPr>
      <w:r>
        <w:rPr/>
        <w:t> </w:t>
      </w:r>
    </w:p>
    <w:p>
      <w:pPr>
        <w:pStyle w:val="TextBody"/>
        <w:bidi w:val="0"/>
        <w:jc w:val="center"/>
        <w:rPr/>
      </w:pPr>
      <w:r>
        <w:rPr/>
        <w:drawing>
          <wp:inline distT="0" distB="0" distL="0" distR="0">
            <wp:extent cx="6981825"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6981825" cy="752475"/>
                    </a:xfrm>
                    <a:prstGeom prst="rect">
                      <a:avLst/>
                    </a:prstGeom>
                  </pic:spPr>
                </pic:pic>
              </a:graphicData>
            </a:graphic>
          </wp:inline>
        </w:drawing>
      </w: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consent to the incorporation by reference in the following registration statements on </w:t>
      </w:r>
      <w:r>
        <w:rPr>
          <w:rFonts w:ascii="Times New Roman;Times;Serif" w:hAnsi="Times New Roman;Times;Serif"/>
          <w:b/>
          <w:i w:val="false"/>
          <w:caps w:val="false"/>
          <w:smallCaps w:val="false"/>
          <w:sz w:val="20"/>
        </w:rPr>
        <w:t xml:space="preserve">Form S-3 (File No. 333-252844) and Forms S-8 (File Nos. 333-259218; 333-237630; 333-230212, 333-210653 and 333-189439) </w:t>
      </w:r>
      <w:r>
        <w:rPr>
          <w:rFonts w:ascii="Times New Roman;Times;Serif" w:hAnsi="Times New Roman;Times;Serif"/>
          <w:b w:val="false"/>
          <w:i w:val="false"/>
          <w:caps w:val="false"/>
          <w:smallCaps w:val="false"/>
          <w:sz w:val="20"/>
        </w:rPr>
        <w:t>of OptimizeRx Corporation and Subsidiaries (the "Company") of our report dated December 29, 2023, with respect to the financial statements of Healthy Offers, Inc. as of December 31, 2022 and 2021 and for the years then ended, which is included in this Form 8-K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UHY LLP</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Sterling Heights, Michigan</w:t>
      </w:r>
    </w:p>
    <w:p>
      <w:pPr>
        <w:pStyle w:val="TextBody"/>
        <w:bidi w:val="0"/>
        <w:spacing w:before="0" w:after="0"/>
        <w:ind w:left="0" w:right="0" w:hanging="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5, 2024</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ea191205ex99-2_optimizerx.htm"/>
      <w:bookmarkStart w:id="27" w:name="ksea191205ex992_optimizerx"/>
      <w:bookmarkEnd w:id="26"/>
      <w:bookmarkEnd w:id="27"/>
      <w:r>
        <w:rPr>
          <w:rFonts w:ascii="Times New Roman;Times;Serif" w:hAnsi="Times New Roman;Times;Serif"/>
          <w:b/>
          <w:i w:val="false"/>
          <w:caps w:val="false"/>
          <w:smallCaps w:val="false"/>
          <w:sz w:val="20"/>
        </w:rPr>
        <w:t>Exhibit 99.2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ENDED DECEMBER 31, 2022 AND 2021</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140"/>
        <w:gridCol w:w="7925"/>
      </w:tblGrid>
      <w:tr>
        <w:trPr/>
        <w:tc>
          <w:tcPr>
            <w:tcW w:w="1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792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Independent Auditor’s Report</w:t>
              </w:r>
            </w:hyperlink>
          </w:p>
        </w:tc>
      </w:tr>
      <w:tr>
        <w:trPr/>
        <w:tc>
          <w:tcPr>
            <w:tcW w:w="14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792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Balance Sheets as of December 31, 2022 and 2021;</w:t>
              </w:r>
            </w:hyperlink>
          </w:p>
        </w:tc>
      </w:tr>
      <w:tr>
        <w:trPr/>
        <w:tc>
          <w:tcPr>
            <w:tcW w:w="1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792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Statements of Income for the years ended December 31, 2022 and 2021;</w:t>
              </w:r>
            </w:hyperlink>
          </w:p>
        </w:tc>
      </w:tr>
      <w:tr>
        <w:trPr/>
        <w:tc>
          <w:tcPr>
            <w:tcW w:w="14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792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Statements of Changes in Stockholders’ Equity for the years ended December 31, 2022 and 2021;</w:t>
              </w:r>
            </w:hyperlink>
          </w:p>
        </w:tc>
      </w:tr>
      <w:tr>
        <w:trPr/>
        <w:tc>
          <w:tcPr>
            <w:tcW w:w="1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792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Statements of Cash Flows for the years ended December 31, 2022 and 2021;</w:t>
              </w:r>
            </w:hyperlink>
          </w:p>
        </w:tc>
      </w:tr>
      <w:tr>
        <w:trPr/>
        <w:tc>
          <w:tcPr>
            <w:tcW w:w="14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792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Notes to Financial Statements.</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6372225"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6372225" cy="695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28" w:name="a_001"/>
      <w:bookmarkEnd w:id="28"/>
      <w:r>
        <w:rPr>
          <w:rFonts w:ascii="Times New Roman;Times;Serif" w:hAnsi="Times New Roman;Times;Serif"/>
          <w:b/>
          <w:i w:val="false"/>
          <w:caps w:val="false"/>
          <w:smallCaps w:val="false"/>
          <w:sz w:val="20"/>
          <w:shd w:fill="FFFFFF" w:val="clear"/>
        </w:rPr>
        <w:t>INDEPENDENT AUDITOR’S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To the Board of Directors of</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Healthy Offers,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We have audited the accompanying financial statements of Healthy Offers, Inc. (the Company), which comprise the balance sheets as of December 31, 2022 and 2021, and the related statements of income, stockholders’ equity, and cash flows for the years then ended, and the related notes to the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our opinion, the financial statements referred to above present fairly, in all material respects, the financial position of the Company as of December 31, 2022 and 2021, and the results of its operations and its cash flows for the years then ended in accordance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Responsibilities of Management for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To the Board of Directors of</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Healthy Offers, Inc.</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Page Two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Auditor’s Responsibilities for the Audit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performing an audit in accordance with GAAS, we: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8"/>
        <w:gridCol w:w="9927"/>
      </w:tblGrid>
      <w:tr>
        <w:trPr/>
        <w:tc>
          <w:tcPr>
            <w:tcW w:w="5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Exercise professional judgment and maintain professional skepticism throughout the audit.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Evaluate the appropriateness of accounting policies used and the reasonableness of significant accounting estimates made by management, as well as evaluate the overall presentation of the financial statements.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shd w:fill="FFFFFF" w:val="clear"/>
              </w:rPr>
            </w:pPr>
            <w:r>
              <w:rPr>
                <w:rFonts w:ascii="Times New Roman;Times;Serif" w:hAnsi="Times New Roman;Times;Serif"/>
                <w:sz w:val="20"/>
                <w:shd w:fill="FFFFFF" w:val="clear"/>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are required to communicate with those charged with governance regarding, among other matters, the planned scope and timing of the audit, significant audit findings, and certain internal control related matters that we identified during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238250"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1238250" cy="4667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Sterling Heights, Michigan</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December 29,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02"/>
      <w:bookmarkEnd w:id="29"/>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70"/>
        <w:gridCol w:w="60"/>
        <w:gridCol w:w="136"/>
        <w:gridCol w:w="1039"/>
        <w:gridCol w:w="80"/>
        <w:gridCol w:w="60"/>
        <w:gridCol w:w="136"/>
        <w:gridCol w:w="1039"/>
        <w:gridCol w:w="85"/>
      </w:tblGrid>
      <w:tr>
        <w:trPr/>
        <w:tc>
          <w:tcPr>
            <w:tcW w:w="7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b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br/>
              <w:t>2021</w:t>
            </w:r>
          </w:p>
        </w:tc>
        <w:tc>
          <w:tcPr>
            <w:tcW w:w="85" w:type="dxa"/>
            <w:tcBorders/>
            <w:vAlign w:val="center"/>
          </w:tcPr>
          <w:p>
            <w:pPr>
              <w:pStyle w:val="TableContents"/>
              <w:bidi w:val="0"/>
              <w:spacing w:before="0" w:after="283"/>
              <w:jc w:val="left"/>
              <w:rPr/>
            </w:pPr>
            <w:r>
              <w:rPr/>
              <w:t> </w:t>
            </w:r>
          </w:p>
        </w:tc>
      </w:tr>
      <w:tr>
        <w:trPr/>
        <w:tc>
          <w:tcPr>
            <w:tcW w:w="75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ASSETS</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r>
      <w:tr>
        <w:trPr/>
        <w:tc>
          <w:tcPr>
            <w:tcW w:w="7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assets</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r>
      <w:tr>
        <w:trPr/>
        <w:tc>
          <w:tcPr>
            <w:tcW w:w="7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4,701,355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5,125,511</w:t>
            </w:r>
          </w:p>
        </w:tc>
        <w:tc>
          <w:tcPr>
            <w:tcW w:w="85" w:type="dxa"/>
            <w:tcBorders/>
            <w:shd w:fill="CCEEFF" w:val="clear"/>
            <w:vAlign w:val="center"/>
          </w:tcPr>
          <w:p>
            <w:pPr>
              <w:pStyle w:val="TableContents"/>
              <w:bidi w:val="0"/>
              <w:spacing w:before="0" w:after="283"/>
              <w:jc w:val="left"/>
              <w:rPr/>
            </w:pPr>
            <w:r>
              <w:rPr/>
              <w:t> </w:t>
            </w:r>
          </w:p>
        </w:tc>
      </w:tr>
      <w:tr>
        <w:trPr/>
        <w:tc>
          <w:tcPr>
            <w:tcW w:w="7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Short-term investments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7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6,840,793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5,247,376</w:t>
            </w:r>
          </w:p>
        </w:tc>
        <w:tc>
          <w:tcPr>
            <w:tcW w:w="85" w:type="dxa"/>
            <w:tcBorders/>
            <w:shd w:fill="CCEEFF" w:val="clear"/>
            <w:vAlign w:val="center"/>
          </w:tcPr>
          <w:p>
            <w:pPr>
              <w:pStyle w:val="TableContents"/>
              <w:bidi w:val="0"/>
              <w:spacing w:before="0" w:after="283"/>
              <w:jc w:val="left"/>
              <w:rPr/>
            </w:pPr>
            <w:r>
              <w:rPr/>
              <w:t> </w:t>
            </w:r>
          </w:p>
        </w:tc>
      </w:tr>
      <w:tr>
        <w:trPr/>
        <w:tc>
          <w:tcPr>
            <w:tcW w:w="7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179,952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115,382</w:t>
            </w:r>
          </w:p>
        </w:tc>
        <w:tc>
          <w:tcPr>
            <w:tcW w:w="85" w:type="dxa"/>
            <w:tcBorders/>
            <w:shd w:fill="FFFFFF" w:val="clear"/>
            <w:vAlign w:val="center"/>
          </w:tcPr>
          <w:p>
            <w:pPr>
              <w:pStyle w:val="TableContents"/>
              <w:bidi w:val="0"/>
              <w:spacing w:before="0" w:after="283"/>
              <w:jc w:val="left"/>
              <w:rPr/>
            </w:pPr>
            <w:r>
              <w:rPr/>
              <w:t> </w:t>
            </w:r>
          </w:p>
        </w:tc>
      </w:tr>
      <w:tr>
        <w:trPr/>
        <w:tc>
          <w:tcPr>
            <w:tcW w:w="7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retention credit receivables</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712,779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7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14,029,879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10,488,269</w:t>
            </w:r>
          </w:p>
        </w:tc>
        <w:tc>
          <w:tcPr>
            <w:tcW w:w="85" w:type="dxa"/>
            <w:tcBorders/>
            <w:shd w:fill="FFFFFF" w:val="clear"/>
            <w:vAlign w:val="center"/>
          </w:tcPr>
          <w:p>
            <w:pPr>
              <w:pStyle w:val="TableContents"/>
              <w:bidi w:val="0"/>
              <w:spacing w:before="0" w:after="283"/>
              <w:jc w:val="left"/>
              <w:rPr/>
            </w:pPr>
            <w:r>
              <w:rPr/>
              <w:t> </w:t>
            </w:r>
          </w:p>
        </w:tc>
      </w:tr>
      <w:tr>
        <w:trPr/>
        <w:tc>
          <w:tcPr>
            <w:tcW w:w="7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49,092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51,588</w:t>
            </w:r>
          </w:p>
        </w:tc>
        <w:tc>
          <w:tcPr>
            <w:tcW w:w="85" w:type="dxa"/>
            <w:tcBorders/>
            <w:shd w:fill="CCEEFF" w:val="clear"/>
            <w:vAlign w:val="center"/>
          </w:tcPr>
          <w:p>
            <w:pPr>
              <w:pStyle w:val="TableContents"/>
              <w:bidi w:val="0"/>
              <w:spacing w:before="0" w:after="283"/>
              <w:jc w:val="left"/>
              <w:rPr/>
            </w:pPr>
            <w:r>
              <w:rPr/>
              <w:t> </w:t>
            </w:r>
          </w:p>
        </w:tc>
      </w:tr>
      <w:tr>
        <w:trPr/>
        <w:tc>
          <w:tcPr>
            <w:tcW w:w="7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assets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7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deferred tax asset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567,652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311,696</w:t>
            </w:r>
          </w:p>
        </w:tc>
        <w:tc>
          <w:tcPr>
            <w:tcW w:w="85" w:type="dxa"/>
            <w:tcBorders/>
            <w:shd w:fill="CCEEFF" w:val="clear"/>
            <w:vAlign w:val="center"/>
          </w:tcPr>
          <w:p>
            <w:pPr>
              <w:pStyle w:val="TableContents"/>
              <w:bidi w:val="0"/>
              <w:spacing w:before="0" w:after="283"/>
              <w:jc w:val="left"/>
              <w:rPr/>
            </w:pPr>
            <w:r>
              <w:rPr/>
              <w:t> </w:t>
            </w:r>
          </w:p>
        </w:tc>
      </w:tr>
      <w:tr>
        <w:trPr/>
        <w:tc>
          <w:tcPr>
            <w:tcW w:w="7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2,486,103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7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1,241,786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1,229,942</w:t>
            </w:r>
          </w:p>
        </w:tc>
        <w:tc>
          <w:tcPr>
            <w:tcW w:w="85" w:type="dxa"/>
            <w:tcBorders/>
            <w:shd w:fill="CCEEFF" w:val="clear"/>
            <w:vAlign w:val="center"/>
          </w:tcPr>
          <w:p>
            <w:pPr>
              <w:pStyle w:val="TableContents"/>
              <w:bidi w:val="0"/>
              <w:spacing w:before="0" w:after="283"/>
              <w:jc w:val="left"/>
              <w:rPr/>
            </w:pPr>
            <w:r>
              <w:rPr/>
              <w:t> </w:t>
            </w:r>
          </w:p>
        </w:tc>
      </w:tr>
      <w:tr>
        <w:trPr/>
        <w:tc>
          <w:tcPr>
            <w:tcW w:w="7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right-of-use assets, net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234,943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339,302</w:t>
            </w:r>
          </w:p>
        </w:tc>
        <w:tc>
          <w:tcPr>
            <w:tcW w:w="85" w:type="dxa"/>
            <w:tcBorders/>
            <w:shd w:fill="FFFFFF" w:val="clear"/>
            <w:vAlign w:val="center"/>
          </w:tcPr>
          <w:p>
            <w:pPr>
              <w:pStyle w:val="TableContents"/>
              <w:bidi w:val="0"/>
              <w:spacing w:before="0" w:after="283"/>
              <w:jc w:val="left"/>
              <w:rPr/>
            </w:pPr>
            <w:r>
              <w:rPr/>
              <w:t> </w:t>
            </w:r>
          </w:p>
        </w:tc>
      </w:tr>
      <w:tr>
        <w:trPr/>
        <w:tc>
          <w:tcPr>
            <w:tcW w:w="7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Deposits</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10,392</w:t>
            </w:r>
          </w:p>
        </w:tc>
        <w:tc>
          <w:tcPr>
            <w:tcW w:w="85" w:type="dxa"/>
            <w:tcBorders/>
            <w:shd w:fill="CCEEFF" w:val="clear"/>
            <w:vAlign w:val="center"/>
          </w:tcPr>
          <w:p>
            <w:pPr>
              <w:pStyle w:val="TableContents"/>
              <w:bidi w:val="0"/>
              <w:spacing w:before="0" w:after="283"/>
              <w:jc w:val="left"/>
              <w:rPr/>
            </w:pPr>
            <w:r>
              <w:rPr/>
              <w:t> </w:t>
            </w:r>
          </w:p>
        </w:tc>
      </w:tr>
      <w:tr>
        <w:trPr/>
        <w:tc>
          <w:tcPr>
            <w:tcW w:w="7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assets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4,541,570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1,891,332</w:t>
            </w:r>
          </w:p>
        </w:tc>
        <w:tc>
          <w:tcPr>
            <w:tcW w:w="85" w:type="dxa"/>
            <w:tcBorders/>
            <w:shd w:fill="FFFFFF" w:val="clear"/>
            <w:vAlign w:val="center"/>
          </w:tcPr>
          <w:p>
            <w:pPr>
              <w:pStyle w:val="TableContents"/>
              <w:bidi w:val="0"/>
              <w:spacing w:before="0" w:after="283"/>
              <w:jc w:val="left"/>
              <w:rPr/>
            </w:pPr>
            <w:r>
              <w:rPr/>
              <w:t> </w:t>
            </w:r>
          </w:p>
        </w:tc>
      </w:tr>
      <w:tr>
        <w:trPr/>
        <w:tc>
          <w:tcPr>
            <w:tcW w:w="7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18,620,541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12,431,189</w:t>
            </w:r>
          </w:p>
        </w:tc>
        <w:tc>
          <w:tcPr>
            <w:tcW w:w="85" w:type="dxa"/>
            <w:tcBorders/>
            <w:shd w:fill="CCEEFF" w:val="clear"/>
            <w:vAlign w:val="center"/>
          </w:tcPr>
          <w:p>
            <w:pPr>
              <w:pStyle w:val="TableContents"/>
              <w:bidi w:val="0"/>
              <w:spacing w:before="0" w:after="283"/>
              <w:jc w:val="left"/>
              <w:rPr/>
            </w:pPr>
            <w:r>
              <w:rPr/>
              <w:t> </w:t>
            </w:r>
          </w:p>
        </w:tc>
      </w:tr>
      <w:tr>
        <w:trPr/>
        <w:tc>
          <w:tcPr>
            <w:tcW w:w="7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7570"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7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Factoring line of credit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567,742</w:t>
            </w:r>
          </w:p>
        </w:tc>
        <w:tc>
          <w:tcPr>
            <w:tcW w:w="85" w:type="dxa"/>
            <w:tcBorders/>
            <w:shd w:fill="CCEEFF" w:val="clear"/>
            <w:vAlign w:val="center"/>
          </w:tcPr>
          <w:p>
            <w:pPr>
              <w:pStyle w:val="TableContents"/>
              <w:bidi w:val="0"/>
              <w:spacing w:before="0" w:after="283"/>
              <w:jc w:val="left"/>
              <w:rPr/>
            </w:pPr>
            <w:r>
              <w:rPr/>
              <w:t> </w:t>
            </w:r>
          </w:p>
        </w:tc>
      </w:tr>
      <w:tr>
        <w:trPr/>
        <w:tc>
          <w:tcPr>
            <w:tcW w:w="7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 trade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2,460,803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777,347</w:t>
            </w:r>
          </w:p>
        </w:tc>
        <w:tc>
          <w:tcPr>
            <w:tcW w:w="85" w:type="dxa"/>
            <w:tcBorders/>
            <w:shd w:fill="FFFFFF" w:val="clear"/>
            <w:vAlign w:val="center"/>
          </w:tcPr>
          <w:p>
            <w:pPr>
              <w:pStyle w:val="TableContents"/>
              <w:bidi w:val="0"/>
              <w:spacing w:before="0" w:after="283"/>
              <w:jc w:val="left"/>
              <w:rPr/>
            </w:pPr>
            <w:r>
              <w:rPr/>
              <w:t> </w:t>
            </w:r>
          </w:p>
        </w:tc>
      </w:tr>
      <w:tr>
        <w:trPr/>
        <w:tc>
          <w:tcPr>
            <w:tcW w:w="7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2,813,961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1,597,887</w:t>
            </w:r>
          </w:p>
        </w:tc>
        <w:tc>
          <w:tcPr>
            <w:tcW w:w="85" w:type="dxa"/>
            <w:tcBorders/>
            <w:shd w:fill="CCEEFF" w:val="clear"/>
            <w:vAlign w:val="center"/>
          </w:tcPr>
          <w:p>
            <w:pPr>
              <w:pStyle w:val="TableContents"/>
              <w:bidi w:val="0"/>
              <w:spacing w:before="0" w:after="283"/>
              <w:jc w:val="left"/>
              <w:rPr/>
            </w:pPr>
            <w:r>
              <w:rPr/>
              <w:t> </w:t>
            </w:r>
          </w:p>
        </w:tc>
      </w:tr>
      <w:tr>
        <w:trPr/>
        <w:tc>
          <w:tcPr>
            <w:tcW w:w="7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payable</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437,725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235,674</w:t>
            </w:r>
          </w:p>
        </w:tc>
        <w:tc>
          <w:tcPr>
            <w:tcW w:w="85" w:type="dxa"/>
            <w:tcBorders/>
            <w:shd w:fill="FFFFFF" w:val="clear"/>
            <w:vAlign w:val="center"/>
          </w:tcPr>
          <w:p>
            <w:pPr>
              <w:pStyle w:val="TableContents"/>
              <w:bidi w:val="0"/>
              <w:spacing w:before="0" w:after="283"/>
              <w:jc w:val="left"/>
              <w:rPr/>
            </w:pPr>
            <w:r>
              <w:rPr/>
              <w:t> </w:t>
            </w:r>
          </w:p>
        </w:tc>
      </w:tr>
      <w:tr>
        <w:trPr/>
        <w:tc>
          <w:tcPr>
            <w:tcW w:w="7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revenue</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101,771</w:t>
            </w:r>
          </w:p>
        </w:tc>
        <w:tc>
          <w:tcPr>
            <w:tcW w:w="85" w:type="dxa"/>
            <w:tcBorders/>
            <w:shd w:fill="CCEEFF" w:val="clear"/>
            <w:vAlign w:val="center"/>
          </w:tcPr>
          <w:p>
            <w:pPr>
              <w:pStyle w:val="TableContents"/>
              <w:bidi w:val="0"/>
              <w:spacing w:before="0" w:after="283"/>
              <w:jc w:val="left"/>
              <w:rPr/>
            </w:pPr>
            <w:r>
              <w:rPr/>
              <w:t> </w:t>
            </w:r>
          </w:p>
        </w:tc>
      </w:tr>
      <w:tr>
        <w:trPr/>
        <w:tc>
          <w:tcPr>
            <w:tcW w:w="7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portion of lease liabilities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113,484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88,958</w:t>
            </w:r>
          </w:p>
        </w:tc>
        <w:tc>
          <w:tcPr>
            <w:tcW w:w="85" w:type="dxa"/>
            <w:tcBorders/>
            <w:shd w:fill="FFFFFF" w:val="clear"/>
            <w:vAlign w:val="center"/>
          </w:tcPr>
          <w:p>
            <w:pPr>
              <w:pStyle w:val="TableContents"/>
              <w:bidi w:val="0"/>
              <w:spacing w:before="0" w:after="283"/>
              <w:jc w:val="left"/>
              <w:rPr/>
            </w:pPr>
            <w:r>
              <w:rPr/>
              <w:t> </w:t>
            </w:r>
          </w:p>
        </w:tc>
      </w:tr>
      <w:tr>
        <w:trPr/>
        <w:tc>
          <w:tcPr>
            <w:tcW w:w="7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portion of notes payable</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4,386</w:t>
            </w:r>
          </w:p>
        </w:tc>
        <w:tc>
          <w:tcPr>
            <w:tcW w:w="85" w:type="dxa"/>
            <w:tcBorders/>
            <w:shd w:fill="CCEEFF" w:val="clear"/>
            <w:vAlign w:val="center"/>
          </w:tcPr>
          <w:p>
            <w:pPr>
              <w:pStyle w:val="TableContents"/>
              <w:bidi w:val="0"/>
              <w:spacing w:before="0" w:after="283"/>
              <w:jc w:val="left"/>
              <w:rPr/>
            </w:pPr>
            <w:r>
              <w:rPr/>
              <w:t> </w:t>
            </w:r>
          </w:p>
        </w:tc>
      </w:tr>
      <w:tr>
        <w:trPr/>
        <w:tc>
          <w:tcPr>
            <w:tcW w:w="7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6,095,973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3,373,765</w:t>
            </w:r>
          </w:p>
        </w:tc>
        <w:tc>
          <w:tcPr>
            <w:tcW w:w="85" w:type="dxa"/>
            <w:tcBorders/>
            <w:shd w:fill="FFFFFF" w:val="clear"/>
            <w:vAlign w:val="center"/>
          </w:tcPr>
          <w:p>
            <w:pPr>
              <w:pStyle w:val="TableContents"/>
              <w:bidi w:val="0"/>
              <w:spacing w:before="0" w:after="283"/>
              <w:jc w:val="left"/>
              <w:rPr/>
            </w:pPr>
            <w:r>
              <w:rPr/>
              <w:t> </w:t>
            </w:r>
          </w:p>
        </w:tc>
      </w:tr>
      <w:tr>
        <w:trPr/>
        <w:tc>
          <w:tcPr>
            <w:tcW w:w="7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151,256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261,246</w:t>
            </w:r>
          </w:p>
        </w:tc>
        <w:tc>
          <w:tcPr>
            <w:tcW w:w="85" w:type="dxa"/>
            <w:tcBorders/>
            <w:shd w:fill="FFFFFF" w:val="clear"/>
            <w:vAlign w:val="center"/>
          </w:tcPr>
          <w:p>
            <w:pPr>
              <w:pStyle w:val="TableContents"/>
              <w:bidi w:val="0"/>
              <w:spacing w:before="0" w:after="283"/>
              <w:jc w:val="left"/>
              <w:rPr/>
            </w:pPr>
            <w:r>
              <w:rPr/>
              <w:t> </w:t>
            </w:r>
          </w:p>
        </w:tc>
      </w:tr>
      <w:tr>
        <w:trPr/>
        <w:tc>
          <w:tcPr>
            <w:tcW w:w="7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payable, net of current portion</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145,614</w:t>
            </w:r>
          </w:p>
        </w:tc>
        <w:tc>
          <w:tcPr>
            <w:tcW w:w="85" w:type="dxa"/>
            <w:tcBorders/>
            <w:shd w:fill="CCEEFF" w:val="clear"/>
            <w:vAlign w:val="center"/>
          </w:tcPr>
          <w:p>
            <w:pPr>
              <w:pStyle w:val="TableContents"/>
              <w:bidi w:val="0"/>
              <w:spacing w:before="0" w:after="283"/>
              <w:jc w:val="left"/>
              <w:rPr/>
            </w:pPr>
            <w:r>
              <w:rPr/>
              <w:t> </w:t>
            </w:r>
          </w:p>
        </w:tc>
      </w:tr>
      <w:tr>
        <w:trPr/>
        <w:tc>
          <w:tcPr>
            <w:tcW w:w="7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151,256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406,860</w:t>
            </w:r>
          </w:p>
        </w:tc>
        <w:tc>
          <w:tcPr>
            <w:tcW w:w="85" w:type="dxa"/>
            <w:tcBorders/>
            <w:shd w:fill="FFFFFF" w:val="clear"/>
            <w:vAlign w:val="center"/>
          </w:tcPr>
          <w:p>
            <w:pPr>
              <w:pStyle w:val="TableContents"/>
              <w:bidi w:val="0"/>
              <w:spacing w:before="0" w:after="283"/>
              <w:jc w:val="left"/>
              <w:rPr/>
            </w:pPr>
            <w:r>
              <w:rPr/>
              <w:t> </w:t>
            </w:r>
          </w:p>
        </w:tc>
      </w:tr>
      <w:tr>
        <w:trPr/>
        <w:tc>
          <w:tcPr>
            <w:tcW w:w="7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6,247,229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3,780,625</w:t>
            </w:r>
          </w:p>
        </w:tc>
        <w:tc>
          <w:tcPr>
            <w:tcW w:w="85" w:type="dxa"/>
            <w:tcBorders/>
            <w:shd w:fill="CCEEFF" w:val="clear"/>
            <w:vAlign w:val="center"/>
          </w:tcPr>
          <w:p>
            <w:pPr>
              <w:pStyle w:val="TableContents"/>
              <w:bidi w:val="0"/>
              <w:spacing w:before="0" w:after="283"/>
              <w:jc w:val="left"/>
              <w:rPr/>
            </w:pPr>
            <w:r>
              <w:rPr/>
              <w:t> </w:t>
            </w:r>
          </w:p>
        </w:tc>
      </w:tr>
      <w:tr>
        <w:trPr/>
        <w:tc>
          <w:tcPr>
            <w:tcW w:w="7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Preferred stock, Series A convertible, $0.001 par value, 10,000,000 shares authorized, 166,667 issued and outstanding at December 31, 2022 and December 31, 2021</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7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$0.001 par value, 20,000,000 shares authorized, 9,951,000 and 9,950,000 shares issued and outstanding at December 31, 2022 and December 31, 2021, respectively</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9,950</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7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Stock, $0.001 par value, 25,000 shares held on December 31, 2022 and December 31, 2021</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7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paid-in-capital</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2,895,929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2,674,293</w:t>
            </w:r>
          </w:p>
        </w:tc>
        <w:tc>
          <w:tcPr>
            <w:tcW w:w="85" w:type="dxa"/>
            <w:tcBorders/>
            <w:shd w:fill="FFFFFF" w:val="clear"/>
            <w:vAlign w:val="center"/>
          </w:tcPr>
          <w:p>
            <w:pPr>
              <w:pStyle w:val="TableContents"/>
              <w:bidi w:val="0"/>
              <w:spacing w:before="0" w:after="283"/>
              <w:jc w:val="left"/>
              <w:rPr/>
            </w:pPr>
            <w:r>
              <w:rPr/>
              <w:t> </w:t>
            </w:r>
          </w:p>
        </w:tc>
      </w:tr>
      <w:tr>
        <w:trPr/>
        <w:tc>
          <w:tcPr>
            <w:tcW w:w="7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9,467,207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5,966,096</w:t>
            </w:r>
          </w:p>
        </w:tc>
        <w:tc>
          <w:tcPr>
            <w:tcW w:w="85" w:type="dxa"/>
            <w:tcBorders/>
            <w:shd w:fill="CCEEFF" w:val="clear"/>
            <w:vAlign w:val="center"/>
          </w:tcPr>
          <w:p>
            <w:pPr>
              <w:pStyle w:val="TableContents"/>
              <w:bidi w:val="0"/>
              <w:spacing w:before="0" w:after="283"/>
              <w:jc w:val="left"/>
              <w:rPr/>
            </w:pPr>
            <w:r>
              <w:rPr/>
              <w:t> </w:t>
            </w:r>
          </w:p>
        </w:tc>
      </w:tr>
      <w:tr>
        <w:trPr/>
        <w:tc>
          <w:tcPr>
            <w:tcW w:w="7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12,373,312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8,650,564</w:t>
            </w:r>
          </w:p>
        </w:tc>
        <w:tc>
          <w:tcPr>
            <w:tcW w:w="85" w:type="dxa"/>
            <w:tcBorders/>
            <w:shd w:fill="FFFFFF" w:val="clear"/>
            <w:vAlign w:val="center"/>
          </w:tcPr>
          <w:p>
            <w:pPr>
              <w:pStyle w:val="TableContents"/>
              <w:bidi w:val="0"/>
              <w:spacing w:before="0" w:after="283"/>
              <w:jc w:val="left"/>
              <w:rPr/>
            </w:pPr>
            <w:r>
              <w:rPr/>
              <w:t> </w:t>
            </w:r>
          </w:p>
        </w:tc>
      </w:tr>
      <w:tr>
        <w:trPr/>
        <w:tc>
          <w:tcPr>
            <w:tcW w:w="7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18,620,541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12,431,189</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03"/>
      <w:bookmarkEnd w:id="30"/>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INCOME</w:t>
      </w:r>
    </w:p>
    <w:p>
      <w:pPr>
        <w:pStyle w:val="TextBody"/>
        <w:bidi w:val="0"/>
        <w:spacing w:before="0" w:after="0"/>
        <w:ind w:left="0" w:right="0" w:hanging="0"/>
        <w:jc w:val="center"/>
        <w:rPr>
          <w:caps w:val="false"/>
          <w:smallCaps w:val="false"/>
        </w:rPr>
      </w:pPr>
      <w:r>
        <w:rPr>
          <w:caps w:val="false"/>
          <w:smallCaps w:val="false"/>
        </w:rPr>
        <w:t> </w:t>
      </w:r>
    </w:p>
    <w:tbl>
      <w:tblPr>
        <w:tblW w:w="9923" w:type="dxa"/>
        <w:jc w:val="left"/>
        <w:tblInd w:w="0" w:type="dxa"/>
        <w:tblLayout w:type="fixed"/>
        <w:tblCellMar>
          <w:top w:w="0" w:type="dxa"/>
          <w:left w:w="0" w:type="dxa"/>
          <w:bottom w:w="0" w:type="dxa"/>
          <w:right w:w="0" w:type="dxa"/>
        </w:tblCellMar>
      </w:tblPr>
      <w:tblGrid>
        <w:gridCol w:w="7190"/>
        <w:gridCol w:w="60"/>
        <w:gridCol w:w="141"/>
        <w:gridCol w:w="1078"/>
        <w:gridCol w:w="80"/>
        <w:gridCol w:w="60"/>
        <w:gridCol w:w="141"/>
        <w:gridCol w:w="1078"/>
        <w:gridCol w:w="95"/>
      </w:tblGrid>
      <w:tr>
        <w:trPr/>
        <w:tc>
          <w:tcPr>
            <w:tcW w:w="7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w:t>
              <w:br/>
              <w:t>year ended</w:t>
              <w:br/>
              <w:t xml:space="preserve">December 31, </w:t>
              <w:b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w:t>
              <w:br/>
              <w:t>year ended</w:t>
              <w:br/>
              <w:t xml:space="preserve">December 31, </w:t>
              <w:br/>
              <w:t>2021</w:t>
            </w:r>
          </w:p>
        </w:tc>
        <w:tc>
          <w:tcPr>
            <w:tcW w:w="95" w:type="dxa"/>
            <w:tcBorders/>
            <w:vAlign w:val="center"/>
          </w:tcPr>
          <w:p>
            <w:pPr>
              <w:pStyle w:val="TableContents"/>
              <w:bidi w:val="0"/>
              <w:spacing w:before="0" w:after="283"/>
              <w:jc w:val="left"/>
              <w:rPr/>
            </w:pPr>
            <w:r>
              <w:rPr/>
              <w:t> </w:t>
            </w:r>
          </w:p>
        </w:tc>
      </w:tr>
      <w:tr>
        <w:trPr/>
        <w:tc>
          <w:tcPr>
            <w:tcW w:w="7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revenue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28,071,080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18,549,873</w:t>
            </w:r>
          </w:p>
        </w:tc>
        <w:tc>
          <w:tcPr>
            <w:tcW w:w="95" w:type="dxa"/>
            <w:tcBorders/>
            <w:shd w:fill="CCEEFF" w:val="clear"/>
            <w:vAlign w:val="center"/>
          </w:tcPr>
          <w:p>
            <w:pPr>
              <w:pStyle w:val="TableContents"/>
              <w:bidi w:val="0"/>
              <w:spacing w:before="0" w:after="283"/>
              <w:jc w:val="left"/>
              <w:rPr/>
            </w:pPr>
            <w:r>
              <w:rPr/>
              <w:t> </w:t>
            </w:r>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 exclusive of depreciation and amortization presented separately below</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12,172,546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9,467,667</w:t>
            </w:r>
          </w:p>
        </w:tc>
        <w:tc>
          <w:tcPr>
            <w:tcW w:w="95" w:type="dxa"/>
            <w:tcBorders/>
            <w:shd w:fill="FFFFFF" w:val="clear"/>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15,898,534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9,082,206</w:t>
            </w:r>
          </w:p>
        </w:tc>
        <w:tc>
          <w:tcPr>
            <w:tcW w:w="95" w:type="dxa"/>
            <w:tcBorders/>
            <w:shd w:fill="CCEEFF" w:val="clear"/>
            <w:vAlign w:val="center"/>
          </w:tcPr>
          <w:p>
            <w:pPr>
              <w:pStyle w:val="TableContents"/>
              <w:bidi w:val="0"/>
              <w:spacing w:before="0" w:after="283"/>
              <w:jc w:val="left"/>
              <w:rPr/>
            </w:pPr>
            <w:r>
              <w:rPr/>
              <w:t> </w:t>
            </w:r>
          </w:p>
        </w:tc>
      </w:tr>
      <w:tr>
        <w:trPr/>
        <w:tc>
          <w:tcPr>
            <w:tcW w:w="7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10,520,437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7,673,669</w:t>
            </w:r>
          </w:p>
        </w:tc>
        <w:tc>
          <w:tcPr>
            <w:tcW w:w="95" w:type="dxa"/>
            <w:tcBorders/>
            <w:shd w:fill="FFFFFF" w:val="clear"/>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amortization, and noncash lease expense</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298,735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282,430</w:t>
            </w:r>
          </w:p>
        </w:tc>
        <w:tc>
          <w:tcPr>
            <w:tcW w:w="95" w:type="dxa"/>
            <w:tcBorders/>
            <w:shd w:fill="CCEEFF" w:val="clear"/>
            <w:vAlign w:val="center"/>
          </w:tcPr>
          <w:p>
            <w:pPr>
              <w:pStyle w:val="TableContents"/>
              <w:bidi w:val="0"/>
              <w:spacing w:before="0" w:after="283"/>
              <w:jc w:val="left"/>
              <w:rPr/>
            </w:pPr>
            <w:r>
              <w:rPr/>
              <w:t> </w:t>
            </w:r>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10,819,172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7,956,099</w:t>
            </w:r>
          </w:p>
        </w:tc>
        <w:tc>
          <w:tcPr>
            <w:tcW w:w="95" w:type="dxa"/>
            <w:tcBorders/>
            <w:shd w:fill="FFFFFF" w:val="clear"/>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5,079,362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1,126,107</w:t>
            </w:r>
          </w:p>
        </w:tc>
        <w:tc>
          <w:tcPr>
            <w:tcW w:w="95" w:type="dxa"/>
            <w:tcBorders/>
            <w:shd w:fill="CCEEFF" w:val="clear"/>
            <w:vAlign w:val="center"/>
          </w:tcPr>
          <w:p>
            <w:pPr>
              <w:pStyle w:val="TableContents"/>
              <w:bidi w:val="0"/>
              <w:spacing w:before="0" w:after="283"/>
              <w:jc w:val="left"/>
              <w:rPr/>
            </w:pPr>
            <w:r>
              <w:rPr/>
              <w:t> </w:t>
            </w:r>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726,000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719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33,789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9,710</w:t>
            </w:r>
          </w:p>
        </w:tc>
        <w:tc>
          <w:tcPr>
            <w:tcW w:w="95" w:type="dxa"/>
            <w:tcBorders/>
            <w:shd w:fill="FFFFFF" w:val="clear"/>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(41,596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income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733,328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(31,886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5,812,690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1,094,221</w:t>
            </w:r>
          </w:p>
        </w:tc>
        <w:tc>
          <w:tcPr>
            <w:tcW w:w="95" w:type="dxa"/>
            <w:tcBorders/>
            <w:shd w:fill="CCEEFF" w:val="clear"/>
            <w:vAlign w:val="center"/>
          </w:tcPr>
          <w:p>
            <w:pPr>
              <w:pStyle w:val="TableContents"/>
              <w:bidi w:val="0"/>
              <w:spacing w:before="0" w:after="283"/>
              <w:jc w:val="left"/>
              <w:rPr/>
            </w:pPr>
            <w:r>
              <w:rPr/>
              <w:t> </w:t>
            </w:r>
          </w:p>
        </w:tc>
      </w:tr>
      <w:tr>
        <w:trPr/>
        <w:tc>
          <w:tcPr>
            <w:tcW w:w="7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1,350,329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325,689</w:t>
            </w:r>
          </w:p>
        </w:tc>
        <w:tc>
          <w:tcPr>
            <w:tcW w:w="95" w:type="dxa"/>
            <w:tcBorders/>
            <w:shd w:fill="FFFFFF" w:val="clear"/>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4,462,361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768,532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04"/>
      <w:bookmarkEnd w:id="31"/>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CHANGES IN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2022 AND 2021</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1"/>
        <w:gridCol w:w="60"/>
        <w:gridCol w:w="67"/>
        <w:gridCol w:w="786"/>
        <w:gridCol w:w="67"/>
        <w:gridCol w:w="67"/>
        <w:gridCol w:w="294"/>
        <w:gridCol w:w="438"/>
        <w:gridCol w:w="60"/>
        <w:gridCol w:w="60"/>
        <w:gridCol w:w="60"/>
        <w:gridCol w:w="845"/>
        <w:gridCol w:w="60"/>
        <w:gridCol w:w="60"/>
        <w:gridCol w:w="142"/>
        <w:gridCol w:w="553"/>
        <w:gridCol w:w="60"/>
        <w:gridCol w:w="60"/>
        <w:gridCol w:w="60"/>
        <w:gridCol w:w="652"/>
        <w:gridCol w:w="80"/>
        <w:gridCol w:w="60"/>
        <w:gridCol w:w="209"/>
        <w:gridCol w:w="486"/>
        <w:gridCol w:w="80"/>
        <w:gridCol w:w="60"/>
        <w:gridCol w:w="125"/>
        <w:gridCol w:w="845"/>
        <w:gridCol w:w="80"/>
        <w:gridCol w:w="60"/>
        <w:gridCol w:w="125"/>
        <w:gridCol w:w="845"/>
        <w:gridCol w:w="80"/>
        <w:gridCol w:w="60"/>
        <w:gridCol w:w="125"/>
        <w:gridCol w:w="950"/>
        <w:gridCol w:w="83"/>
      </w:tblGrid>
      <w:tr>
        <w:trPr/>
        <w:tc>
          <w:tcPr>
            <w:tcW w:w="1401"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171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 A Convertible Preferred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2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4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Treasury Stock</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0" w:type="dxa"/>
            <w:gridSpan w:val="2"/>
            <w:tcBorders/>
            <w:vAlign w:val="center"/>
          </w:tcPr>
          <w:p>
            <w:pPr>
              <w:pStyle w:val="TableContents"/>
              <w:bidi w:val="0"/>
              <w:jc w:val="center"/>
              <w:rPr>
                <w:rFonts w:ascii="Times New Roman;Times;Serif" w:hAnsi="Times New Roman;Times;Serif"/>
                <w:b/>
                <w:sz w:val="20"/>
              </w:rPr>
            </w:pPr>
            <w:r>
              <w:rPr>
                <w:rFonts w:ascii="Times New Roman;Times;Serif" w:hAnsi="Times New Roman;Times;Serif"/>
                <w:b/>
                <w:sz w:val="20"/>
              </w:rPr>
              <w:t>Additional</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Paid in</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Retained</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5" w:type="dxa"/>
            <w:gridSpan w:val="2"/>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ind w:left="0" w:right="0" w:hanging="180"/>
              <w:jc w:val="center"/>
              <w:rPr/>
            </w:pPr>
            <w:r>
              <w:rPr/>
              <w:t> </w:t>
            </w:r>
          </w:p>
        </w:tc>
      </w:tr>
      <w:tr>
        <w:trPr/>
        <w:tc>
          <w:tcPr>
            <w:tcW w:w="14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5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7" w:type="dxa"/>
            <w:tcBorders/>
            <w:vAlign w:val="center"/>
          </w:tcPr>
          <w:p>
            <w:pPr>
              <w:pStyle w:val="TableContents"/>
              <w:bidi w:val="0"/>
              <w:spacing w:before="0" w:after="283"/>
              <w:jc w:val="center"/>
              <w:rPr/>
            </w:pPr>
            <w:r>
              <w:rPr/>
              <w:t> </w:t>
            </w:r>
          </w:p>
        </w:tc>
        <w:tc>
          <w:tcPr>
            <w:tcW w:w="67" w:type="dxa"/>
            <w:tcBorders/>
            <w:vAlign w:val="center"/>
          </w:tcPr>
          <w:p>
            <w:pPr>
              <w:pStyle w:val="TableContents"/>
              <w:bidi w:val="0"/>
              <w:spacing w:before="0" w:after="283"/>
              <w:jc w:val="center"/>
              <w:rPr/>
            </w:pPr>
            <w:r>
              <w:rPr/>
              <w:t> </w:t>
            </w:r>
          </w:p>
        </w:tc>
        <w:tc>
          <w:tcPr>
            <w:tcW w:w="73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Earnings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83" w:type="dxa"/>
            <w:tcBorders/>
            <w:vAlign w:val="center"/>
          </w:tcPr>
          <w:p>
            <w:pPr>
              <w:pStyle w:val="TableContents"/>
              <w:bidi w:val="0"/>
              <w:spacing w:before="0" w:after="283"/>
              <w:ind w:left="0" w:right="0" w:hanging="180"/>
              <w:jc w:val="center"/>
              <w:rPr/>
            </w:pPr>
            <w:r>
              <w:rPr/>
              <w:t> </w:t>
            </w:r>
          </w:p>
        </w:tc>
      </w:tr>
      <w:tr>
        <w:trPr/>
        <w:tc>
          <w:tcPr>
            <w:tcW w:w="14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December 31, 2020</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166,667</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2,412,445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5,212,564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7,635,184</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14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based compensation expense</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246,848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246,848</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14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Accretion of preferred stock dividends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14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768,532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768,532</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14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December 31, 2021</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166,667</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2,674,293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5,966,096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8,650,564</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14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14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incentive common shares exercised</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2,430</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14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based compensation expense</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257,957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257,957</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14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Preferred stock dividend</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(53,750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(946,250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83"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4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Accretion of preferred stock dividends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14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4,462,361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4,462,361</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14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December 31, 2022</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166,667</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9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3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9,951,000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5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2,895,929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9,467,207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12,373,312</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005"/>
      <w:bookmarkEnd w:id="32"/>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ind w:left="0" w:right="0" w:hanging="0"/>
        <w:jc w:val="center"/>
        <w:rPr>
          <w:caps w:val="false"/>
          <w:smallCaps w:val="false"/>
        </w:rPr>
      </w:pPr>
      <w:r>
        <w:rPr>
          <w:caps w:val="false"/>
          <w:smallCaps w:val="false"/>
        </w:rPr>
        <w:t> </w:t>
      </w:r>
    </w:p>
    <w:tbl>
      <w:tblPr>
        <w:tblW w:w="8888" w:type="dxa"/>
        <w:jc w:val="left"/>
        <w:tblInd w:w="0" w:type="dxa"/>
        <w:tblLayout w:type="fixed"/>
        <w:tblCellMar>
          <w:top w:w="0" w:type="dxa"/>
          <w:left w:w="0" w:type="dxa"/>
          <w:bottom w:w="0" w:type="dxa"/>
          <w:right w:w="0" w:type="dxa"/>
        </w:tblCellMar>
      </w:tblPr>
      <w:tblGrid>
        <w:gridCol w:w="6155"/>
        <w:gridCol w:w="60"/>
        <w:gridCol w:w="147"/>
        <w:gridCol w:w="1072"/>
        <w:gridCol w:w="80"/>
        <w:gridCol w:w="60"/>
        <w:gridCol w:w="147"/>
        <w:gridCol w:w="1072"/>
        <w:gridCol w:w="95"/>
      </w:tblGrid>
      <w:tr>
        <w:trPr/>
        <w:tc>
          <w:tcPr>
            <w:tcW w:w="6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For the </w:t>
              <w:br/>
              <w:t xml:space="preserve">year ended </w:t>
              <w:br/>
              <w:t xml:space="preserve">December 31, </w:t>
              <w:br/>
              <w:t>2022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For the </w:t>
              <w:br/>
              <w:t xml:space="preserve">year ended </w:t>
              <w:br/>
              <w:t xml:space="preserve">December 31, </w:t>
              <w:br/>
              <w:t>2021</w:t>
            </w:r>
          </w:p>
        </w:tc>
        <w:tc>
          <w:tcPr>
            <w:tcW w:w="95"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4,462,361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768,532</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reconcile net income to cash</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298,735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282,430</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257,957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246,848</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Noncash lease expense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(255,956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41,485</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Effects of 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(1,593,417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2,050,340</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(65,264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36,253</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retention credit receivables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(712,779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1,683,456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(744,325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1,216,074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(1,096,950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taxes payable / receivable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202,051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635,143</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revenue</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168,229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(124,521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5,680,341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2,095,541</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USED IN INVESTING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(20,959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Capitalized software development costs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(285,577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(457,845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of held-to-maturity securities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(4,746,103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the sale of held-to-maturity securities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(4,389,185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(478,804</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(USED IN ) / PROVIDED BY FINANCING ACTIVITIES: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advances (payments) on factoring line of credit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(567,742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189,862</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notes payable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 paid</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(USED IN) / PROVIDED BY FINANCING ACTIVITIES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(1,715,312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189,862</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(DECREASE) /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(424,156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1,806,599</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AND CASH EQUIVALENTS – BEGINNING OF PERIOD</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5,125,511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3,318,912</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AND CASH EQUIVALENTS – END OF PERIOD</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4,701,355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5,125,511</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interest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35,999</w:t>
            </w:r>
          </w:p>
        </w:tc>
        <w:tc>
          <w:tcPr>
            <w:tcW w:w="95"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taxes paid</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1,405,118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79,166</w:t>
            </w:r>
          </w:p>
        </w:tc>
        <w:tc>
          <w:tcPr>
            <w:tcW w:w="95"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Noncash accretion of preferred stock dividend</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_006"/>
      <w:bookmarkEnd w:id="33"/>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 ORGANIZATION AND 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Healthy Offers, Inc. (the Company) is a specialized data-driven company designed to offer advertisers solutions for addressable media in the pharmaceutical and health industries for any cross-channel media campaign. As data and technology are driving enormous change in the structure and economics of media across all channels, the Company was created to assist advertisers in navigating the new landscape. The Company offers the strategic thinking of a boutique agency with addressable audience scale, leverage, and reach. The Company is headquartered in Scottsdale, Arizona.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Company have been prepared in accordance with generally accepted accounting principles in the United States of America and are presented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carrying value of assets, depreciable and amortizable lives of tangible and intangible assets, the carrying value of liabilities, the timing of revenue recognition and related revenue share expenses, and inputs used in the calculation of stock based compensation. Actual results could differ from these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of three months or less to be cash and cash equivalents. Cash and cash equivalents consist of cash on deposit with a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is held in depository accounts at financial institutions. The combined account balances at the financial institutions often exceed the Federal Deposit Insurance Corporation (FDIC) insurance coverage of $250,000 and, as a result, there is a concentration of credit risk related to amounts on deposit in excess of FDIC insurance coverage. Management believes, based on the quality of the financial institutions, that the risk is not 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marketable securities in accordance with ASC 320, “Investments - Debt Securities”, which require that certain debt securities be classified into one of three categories: held-to-maturity, available-for-sale, or trading securities, and depending upon the classification, value the security at amortized cost or fair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are based upon unadjusted quoted prices for identical instruments traded in active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are valued using level 3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carrying amounts of financial instruments including cash and cash equivalents, investments, accounts receivable, accounts payable, and other current liabilities approximate their fair values due to their short maturities.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Accounts Receivable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well-capitalized companies, historically there has been very little bad debt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recognizes an allowance for uncollectible accounts that reflects their best estimate of amounts that will not be collected based on management’s assessment of the collectibility of specific customer accounts and the aging of the accounts receivable. If there is a deterioration of a major customer’s credit worthiness or actual defaults are higher than the historical experience, management’s estimates of the recoverability of amounts due the Company could be adversely affected. Management has determined an allowance for doubtful accounts is not required as of December 31, 2022 and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historical cost. Depreciation is provided using straight-line methods over the estimated useful lives of the assets ranging from 3 to 7 years. Amortization of leasehold improvements is provided over the shorter of the lease term or the estimated useful lives of the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shd w:fill="FFFFFF" w:val="clear"/>
        </w:rPr>
      </w:pPr>
      <w:r>
        <w:rPr>
          <w:rFonts w:ascii="Times New Roman;Times;Serif" w:hAnsi="Times New Roman;Times;Serif"/>
          <w:b w:val="false"/>
          <w:i w:val="false"/>
          <w:caps w:val="false"/>
          <w:smallCaps w:val="false"/>
          <w:sz w:val="20"/>
          <w:u w:val="single"/>
          <w:shd w:fill="FFFFFF" w:val="clear"/>
        </w:rPr>
        <w:t>Software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Expenditures for software development costs during preliminary project and post-implementation phases are expensed as incurred. Capitalization of internally developed software occurs during the application development stage. Once a project has reached application development, internal and external costs, if direct and incremental, are capitalized until the software is substantially complete and ready to be placed in service. The Company capitalized approximately $285,577 and $457,845 of software development costs during the years ended December 31, 2022 and 2021, respectively. Amortization of software development costs is provided using straight-line methods over the estimated useful life, generally three to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Costs incurred related to implementation in a cloud computing arrangement are capitalized and recognized over the expected term of the hosting arrangement, generally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shd w:fill="FFFFFF" w:val="clear"/>
        </w:rPr>
      </w:pPr>
      <w:r>
        <w:rPr>
          <w:rFonts w:ascii="Times New Roman;Times;Serif" w:hAnsi="Times New Roman;Times;Serif"/>
          <w:b w:val="false"/>
          <w:i w:val="false"/>
          <w:caps w:val="false"/>
          <w:smallCaps w:val="false"/>
          <w:sz w:val="20"/>
          <w:u w:val="single"/>
          <w:shd w:fill="FFFFFF" w:val="clear"/>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reviews long-lived assets for impairment whenever events or changes in circumstances indicate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carrying amount or fair value less costs to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stock-based compensation expense in the statement of income for share-based awards granted to employees based on their fair values at the time of grant over the vesting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requires evidence of a contract, probable collection of proceeds, and completion of substantially all performance obligations. We use a 5-step model to recognize revenue. These steps are: identify the contract with a customer, identify the performance obligations in the contract, determine the transaction price, allocate the transaction price to the performance obligations in the contract, and recognize revenue when or as the performance obligations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are primarily generated from contracts with advertisers for its performance based advertising services, which include the use of data analytics technology and other advertising products and services. Customers typically receive the benefit of the Company’s services as they are performed and substantially all of the Company’s revenue is recognized over time as the services are performed. Solutions include the creation of and access to custom audience data; campaign management, including custom audience targeting; and custom analytics.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Topic 606, revenue from contracts with customers is measured based on the consideration specified in the contract with the customer, and excludes any sales incentives and amounts collected on behalf of third parties. A performance obligation is a promise in a contract to transfer a distinct good or service to a customer and is the unit of account under Topic 606. We recognize revenue when we satisfy a performance obligation by transferring control over a product or service to a customer. The amount of revenue recognized reflects the consideration we expect to be entitled to in exchange for such products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in fulfillment of customer contracts principally consist of the cost of media placements. General and administrative costs are charged to expense as incurred. Deferred revenue consists of billings or cash receipts from customers in advance of providing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the accounts receivable and deferred revenue when it has the contractual right to invoice the customer. Deferred revenue is recognized as revenue when obligations on customers contracts are completed. In some instances, the Company collaborates with third parties to perform campaign management. In these instances, the Company provides customer audience data to be used in the execution of media campaigns. Revenue is recorded net of all revenue share agreements and fees. Substantially all revenue is recorded over time as the audience data is accessed and messages are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accounts receivable and deferred revenue (contract liabilities) on the balance sheets. Amounts are billed as work progresses in accordance with agreed-upon contractual terms, generally on a monthly basis. However, advance deposits are sometimes received before revenue is recognized, resulting in contract liabilities. These deposits are recorded as deferred revenue on the balance sheets and are recognized as revenue when the services are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Company’s accounts receivable and contract liabilities:</w:t>
      </w:r>
    </w:p>
    <w:p>
      <w:pPr>
        <w:pStyle w:val="TextBody"/>
        <w:bidi w:val="0"/>
        <w:spacing w:before="0" w:after="0"/>
        <w:ind w:left="0" w:right="0" w:hanging="0"/>
        <w:jc w:val="both"/>
        <w:rPr>
          <w:caps w:val="false"/>
          <w:smallCaps w:val="false"/>
        </w:rPr>
      </w:pPr>
      <w:r>
        <w:rPr>
          <w:caps w:val="false"/>
          <w:smallCaps w:val="false"/>
        </w:rPr>
        <w:t> </w:t>
      </w:r>
    </w:p>
    <w:tbl>
      <w:tblPr>
        <w:tblW w:w="6683" w:type="dxa"/>
        <w:jc w:val="left"/>
        <w:tblInd w:w="0" w:type="dxa"/>
        <w:tblLayout w:type="fixed"/>
        <w:tblCellMar>
          <w:top w:w="0" w:type="dxa"/>
          <w:left w:w="0" w:type="dxa"/>
          <w:bottom w:w="0" w:type="dxa"/>
          <w:right w:w="0" w:type="dxa"/>
        </w:tblCellMar>
      </w:tblPr>
      <w:tblGrid>
        <w:gridCol w:w="2360"/>
        <w:gridCol w:w="60"/>
        <w:gridCol w:w="176"/>
        <w:gridCol w:w="1238"/>
        <w:gridCol w:w="60"/>
        <w:gridCol w:w="60"/>
        <w:gridCol w:w="176"/>
        <w:gridCol w:w="1238"/>
        <w:gridCol w:w="60"/>
        <w:gridCol w:w="60"/>
        <w:gridCol w:w="140"/>
        <w:gridCol w:w="980"/>
        <w:gridCol w:w="75"/>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January 1,</w:t>
              <w:br/>
              <w:t>2021</w:t>
            </w:r>
          </w:p>
        </w:tc>
        <w:tc>
          <w:tcPr>
            <w:tcW w:w="75"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6,840,793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5,247,376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7,297,716</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270,000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101,771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226,292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recorded in deferred revenue are generally recognized within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Advertising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marketing expenses primarily consist of marketing event participation and business promotions. In fulfillment of customer contracts, the Company incurs advertising and marketing expenses. Advertising and marketing costs incurred on behalf of a customer are recorded as cost of sales on a gross basis as the Company is ultimately responsible for paying the expense to the vendor. Advertising and marketing costs presented in the financial statements of $91,868 and $102,715 for the years ended December 31, 2022 and 2021, respectively, are expenses incurred for the benefit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are provided for temporary differences between financial statements and income tax reporting. Temporary differences are differences between the amounts of the assets and liabilities reported for financial statement purposes and their tax bases.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recognized for temporary differences that will be deductible in future years’ tax returns and for operating loss and tax credit carryforwards. Deferred tax assets are recognized only if it is more likely than not that a tax position will be realized or sustained upon examination by the relevant taxing authority. A tax position that meets the more likely than not recognition threshold is initially and subsequently measured as the largest amount of tax benefit that ha a greater than 50% likelihood of being realized upon settlement with a taxing authority that has full knowledge of all relevant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reduced by a valuation allowance if it is deemed more likely than not that some or all of the deferred tax assets will not be realized. Deferred tax liabilities are recognized for temporary differences that will be taxable in the future years’ tax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there are no material uncertain tax positions for which a liability (unrecognized tax benefit) should be recognized. The federal and state income tax returns of the Company from 2019 to 2022 are subject to examination by the Internal Revenue Service and state taxing authorities, generally for three years after they were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Issued Accounting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2019, the FASB issued ASU No. 2019-12, </w:t>
      </w:r>
      <w:r>
        <w:rPr>
          <w:rFonts w:ascii="Times New Roman;Times;Serif" w:hAnsi="Times New Roman;Times;Serif"/>
          <w:b w:val="false"/>
          <w:i/>
          <w:caps w:val="false"/>
          <w:smallCaps w:val="false"/>
          <w:sz w:val="20"/>
        </w:rPr>
        <w:t>Income Taxes (Topic 740): Simplifying the Accounting for Income Taxes</w:t>
      </w:r>
      <w:r>
        <w:rPr>
          <w:rFonts w:ascii="Times New Roman;Times;Serif" w:hAnsi="Times New Roman;Times;Serif"/>
          <w:b w:val="false"/>
          <w:i w:val="false"/>
          <w:caps w:val="false"/>
          <w:smallCaps w:val="false"/>
          <w:sz w:val="20"/>
        </w:rPr>
        <w:t>. ASU 2019-12 is intended to improve consistent application and simplify the accounting for income taxes. ASU 2019-12 removes certain exceptions to the general principles in Topic 740 and clarifies and amends existing guidance. ASU 2019-12 was effective for us as of January 1, 2021. The adoption of this standard did not have a material effect on our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2016, the Financial Accounting Standards Board (the “FASB”) issued ASU 2016-13, Financial Instruments-Credit Losses (Topic 326): Measurement of Credit Losses on Financial Instruments. ASU 2016-13 provides for a new impairment model that requires measurement and recognition of expected credit losses for most financial assets and certain other instruments, including but not limited to accounts receivable and available for sale debt securities. ASU 2016-13 was effective for us on January 1, 2020. The adoption of this standard did not have a material effect on our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ASU Topic 2021-08 </w:t>
      </w:r>
      <w:r>
        <w:rPr>
          <w:rFonts w:ascii="Times New Roman;Times;Serif" w:hAnsi="Times New Roman;Times;Serif"/>
          <w:b w:val="false"/>
          <w:i/>
          <w:caps w:val="false"/>
          <w:smallCaps w:val="false"/>
          <w:sz w:val="20"/>
        </w:rPr>
        <w:t>Business Combinations (Topic 805), Accounting for Contract Assets and Contract Liabilities from Contracts with Customers</w:t>
      </w:r>
      <w:r>
        <w:rPr>
          <w:rFonts w:ascii="Times New Roman;Times;Serif" w:hAnsi="Times New Roman;Times;Serif"/>
          <w:b w:val="false"/>
          <w:i w:val="false"/>
          <w:caps w:val="false"/>
          <w:smallCaps w:val="false"/>
          <w:sz w:val="20"/>
        </w:rPr>
        <w:t>, which requires contract assets and contract liabilities acquired in a business combination to be recognized and measured by the acquirer on the acquisition date in accordance with ASC 606, Revenue from Contracts with Customers, as if it had originated the contracts. The standard is effective for the Company’s fiscal year beginning January 1, 2023, with early adoption permitted. The adoption of this standard is not expected to have a material effect on our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marketable securities in accordance with ASC 320, “Investments - Debt Securities”, which require that certain debt securities be classified into one of three categories: held-to-maturity, available-for-sale, or trading securities, and depending upon the classification, value the security at amortized cost or fair market value. At December 31, 2022 and December 31, 2021, we have recorded $4.1 million and $0.0 million, respectively, of held-to-maturity government bonds, U.S. Treasury notes, and certificates of deposit at amortized cost basis. Our held-to-maturity investments have maturity dates between March 2024 and July 2025.</w:t>
      </w:r>
    </w:p>
    <w:p>
      <w:pPr>
        <w:pStyle w:val="TextBody"/>
        <w:bidi w:val="0"/>
        <w:spacing w:before="0" w:after="0"/>
        <w:ind w:left="0" w:right="0" w:hanging="0"/>
        <w:jc w:val="both"/>
        <w:rPr>
          <w:caps w:val="false"/>
          <w:smallCaps w:val="false"/>
        </w:rPr>
      </w:pPr>
      <w:r>
        <w:rPr>
          <w:caps w:val="false"/>
          <w:smallCaps w:val="false"/>
        </w:rPr>
        <w:t> </w:t>
      </w:r>
    </w:p>
    <w:tbl>
      <w:tblPr>
        <w:tblW w:w="7085" w:type="dxa"/>
        <w:jc w:val="left"/>
        <w:tblInd w:w="0" w:type="dxa"/>
        <w:tblLayout w:type="fixed"/>
        <w:tblCellMar>
          <w:top w:w="0" w:type="dxa"/>
          <w:left w:w="0" w:type="dxa"/>
          <w:bottom w:w="0" w:type="dxa"/>
          <w:right w:w="0" w:type="dxa"/>
        </w:tblCellMar>
      </w:tblPr>
      <w:tblGrid>
        <w:gridCol w:w="2090"/>
        <w:gridCol w:w="60"/>
        <w:gridCol w:w="140"/>
        <w:gridCol w:w="980"/>
        <w:gridCol w:w="60"/>
        <w:gridCol w:w="60"/>
        <w:gridCol w:w="208"/>
        <w:gridCol w:w="922"/>
        <w:gridCol w:w="60"/>
        <w:gridCol w:w="60"/>
        <w:gridCol w:w="192"/>
        <w:gridCol w:w="938"/>
        <w:gridCol w:w="60"/>
        <w:gridCol w:w="60"/>
        <w:gridCol w:w="140"/>
        <w:gridCol w:w="980"/>
        <w:gridCol w:w="75"/>
      </w:tblGrid>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w:t>
              <w:b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br/>
              <w:t>Unrealized</w:t>
              <w:b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w:t>
              <w:br/>
              <w:t>Unrealized</w:t>
              <w:br/>
              <w:t>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pPr>
            <w:r>
              <w:rPr/>
              <w:t>Bonds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3,386,767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35,149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3,351,618</w:t>
            </w:r>
          </w:p>
        </w:tc>
        <w:tc>
          <w:tcPr>
            <w:tcW w:w="75"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Treasury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550,336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2,264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548,072</w:t>
            </w:r>
          </w:p>
        </w:tc>
        <w:tc>
          <w:tcPr>
            <w:tcW w:w="75"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pPr>
            <w:r>
              <w:rPr/>
              <w:t>Certificates of deposit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144,000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rPr/>
            </w:pPr>
            <w:r>
              <w:rPr/>
              <w:t>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143,457</w:t>
            </w:r>
          </w:p>
        </w:tc>
        <w:tc>
          <w:tcPr>
            <w:tcW w:w="75"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4,081,103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22"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38" w:type="dxa"/>
            <w:tcBorders>
              <w:bottom w:val="double" w:sz="10" w:space="0" w:color="000000"/>
            </w:tcBorders>
            <w:shd w:fill="FFFFFF" w:val="clear"/>
            <w:tcMar>
              <w:bottom w:w="28" w:type="dxa"/>
            </w:tcMar>
            <w:vAlign w:val="center"/>
          </w:tcPr>
          <w:p>
            <w:pPr>
              <w:pStyle w:val="TableContents"/>
              <w:bidi w:val="0"/>
              <w:spacing w:before="0" w:after="283"/>
              <w:jc w:val="right"/>
              <w:rPr/>
            </w:pPr>
            <w:r>
              <w:rPr/>
              <w:t>37,956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4,043,147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at December 31:</w:t>
      </w:r>
    </w:p>
    <w:p>
      <w:pPr>
        <w:pStyle w:val="TextBody"/>
        <w:bidi w:val="0"/>
        <w:spacing w:before="0" w:after="0"/>
        <w:ind w:left="0" w:right="0" w:hanging="0"/>
        <w:jc w:val="left"/>
        <w:rPr>
          <w:caps w:val="false"/>
          <w:smallCaps w:val="false"/>
        </w:rPr>
      </w:pPr>
      <w:r>
        <w:rPr>
          <w:caps w:val="false"/>
          <w:smallCaps w:val="false"/>
        </w:rPr>
        <w:t> </w:t>
      </w:r>
    </w:p>
    <w:tbl>
      <w:tblPr>
        <w:tblW w:w="5315" w:type="dxa"/>
        <w:jc w:val="left"/>
        <w:tblInd w:w="0" w:type="dxa"/>
        <w:tblLayout w:type="fixed"/>
        <w:tblCellMar>
          <w:top w:w="0" w:type="dxa"/>
          <w:left w:w="0" w:type="dxa"/>
          <w:bottom w:w="0" w:type="dxa"/>
          <w:right w:w="0" w:type="dxa"/>
        </w:tblCellMar>
      </w:tblPr>
      <w:tblGrid>
        <w:gridCol w:w="2960"/>
        <w:gridCol w:w="60"/>
        <w:gridCol w:w="140"/>
        <w:gridCol w:w="875"/>
        <w:gridCol w:w="95"/>
        <w:gridCol w:w="60"/>
        <w:gridCol w:w="140"/>
        <w:gridCol w:w="875"/>
        <w:gridCol w:w="110"/>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Office furniture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82,948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82,948</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118,809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118,809</w:t>
            </w:r>
          </w:p>
        </w:tc>
        <w:tc>
          <w:tcPr>
            <w:tcW w:w="11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180,463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157,957</w:t>
            </w:r>
          </w:p>
        </w:tc>
        <w:tc>
          <w:tcPr>
            <w:tcW w:w="11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382,220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359,714</w:t>
            </w:r>
          </w:p>
        </w:tc>
        <w:tc>
          <w:tcPr>
            <w:tcW w:w="11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(333,128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(308,126</w:t>
            </w:r>
          </w:p>
        </w:tc>
        <w:tc>
          <w:tcPr>
            <w:tcW w:w="110" w:type="dxa"/>
            <w:tcBorders/>
            <w:shd w:fill="CCEEFF" w:val="clear"/>
            <w:vAlign w:val="center"/>
          </w:tcPr>
          <w:p>
            <w:pPr>
              <w:pStyle w:val="TableContents"/>
              <w:bidi w:val="0"/>
              <w:spacing w:before="0" w:after="283"/>
              <w:jc w:val="left"/>
              <w:rPr/>
            </w:pPr>
            <w:r>
              <w:rPr/>
              <w:t>)</w:t>
            </w:r>
          </w:p>
        </w:tc>
      </w:tr>
      <w:tr>
        <w:trPr/>
        <w:tc>
          <w:tcPr>
            <w:tcW w:w="296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49,092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51,588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$25,002 and $38,362 for the years ended December 31, 2022 and 2021,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5 –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consisted of the following at December 31:</w:t>
      </w:r>
    </w:p>
    <w:p>
      <w:pPr>
        <w:pStyle w:val="TextBody"/>
        <w:bidi w:val="0"/>
        <w:spacing w:before="0" w:after="0"/>
        <w:ind w:left="0" w:right="0" w:hanging="0"/>
        <w:jc w:val="left"/>
        <w:rPr>
          <w:caps w:val="false"/>
          <w:smallCaps w:val="false"/>
        </w:rPr>
      </w:pPr>
      <w:r>
        <w:rPr>
          <w:caps w:val="false"/>
          <w:smallCaps w:val="false"/>
        </w:rPr>
        <w:t> </w:t>
      </w:r>
    </w:p>
    <w:tbl>
      <w:tblPr>
        <w:tblW w:w="5735" w:type="dxa"/>
        <w:jc w:val="left"/>
        <w:tblInd w:w="0" w:type="dxa"/>
        <w:tblLayout w:type="fixed"/>
        <w:tblCellMar>
          <w:top w:w="0" w:type="dxa"/>
          <w:left w:w="0" w:type="dxa"/>
          <w:bottom w:w="0" w:type="dxa"/>
          <w:right w:w="0" w:type="dxa"/>
        </w:tblCellMar>
      </w:tblPr>
      <w:tblGrid>
        <w:gridCol w:w="3170"/>
        <w:gridCol w:w="60"/>
        <w:gridCol w:w="140"/>
        <w:gridCol w:w="980"/>
        <w:gridCol w:w="95"/>
        <w:gridCol w:w="60"/>
        <w:gridCol w:w="140"/>
        <w:gridCol w:w="980"/>
        <w:gridCol w:w="11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Internally developed software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1,833,892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1,195,302</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Software development in process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182,892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535,905</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2,016,784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1,731,207</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(774,998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(501,265</w:t>
            </w:r>
          </w:p>
        </w:tc>
        <w:tc>
          <w:tcPr>
            <w:tcW w:w="110" w:type="dxa"/>
            <w:tcBorders/>
            <w:shd w:fill="FFFFFF" w:val="clear"/>
            <w:vAlign w:val="center"/>
          </w:tcPr>
          <w:p>
            <w:pPr>
              <w:pStyle w:val="TableContents"/>
              <w:bidi w:val="0"/>
              <w:spacing w:before="0" w:after="283"/>
              <w:jc w:val="left"/>
              <w:rPr/>
            </w:pPr>
            <w:r>
              <w:rPr/>
              <w:t>)</w:t>
            </w:r>
          </w:p>
        </w:tc>
      </w:tr>
      <w:tr>
        <w:trPr/>
        <w:tc>
          <w:tcPr>
            <w:tcW w:w="317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1,241,786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1,229,942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$273,733 and $244,069 for the years ended December 31, 2022 and 2021,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amortization expense for each of the next five years is as follows:</w:t>
      </w:r>
    </w:p>
    <w:p>
      <w:pPr>
        <w:pStyle w:val="TextBody"/>
        <w:bidi w:val="0"/>
        <w:spacing w:before="0" w:after="0"/>
        <w:ind w:left="0" w:right="0" w:hanging="0"/>
        <w:jc w:val="left"/>
        <w:rPr>
          <w:caps w:val="false"/>
          <w:smallCaps w:val="false"/>
        </w:rPr>
      </w:pPr>
      <w:r>
        <w:rPr>
          <w:caps w:val="false"/>
          <w:smallCaps w:val="false"/>
        </w:rPr>
        <w:t> </w:t>
      </w:r>
    </w:p>
    <w:tbl>
      <w:tblPr>
        <w:tblW w:w="4425" w:type="dxa"/>
        <w:jc w:val="left"/>
        <w:tblInd w:w="0" w:type="dxa"/>
        <w:tblLayout w:type="fixed"/>
        <w:tblCellMar>
          <w:top w:w="0" w:type="dxa"/>
          <w:left w:w="0" w:type="dxa"/>
          <w:bottom w:w="28" w:type="dxa"/>
          <w:right w:w="0" w:type="dxa"/>
        </w:tblCellMar>
      </w:tblPr>
      <w:tblGrid>
        <w:gridCol w:w="3170"/>
        <w:gridCol w:w="60"/>
        <w:gridCol w:w="140"/>
        <w:gridCol w:w="980"/>
        <w:gridCol w:w="75"/>
      </w:tblGrid>
      <w:tr>
        <w:trPr/>
        <w:tc>
          <w:tcPr>
            <w:tcW w:w="3170" w:type="dxa"/>
            <w:tcBorders>
              <w:bottom w:val="single" w:sz="12" w:space="0" w:color="000000"/>
            </w:tcBorders>
            <w:vAlign w:val="center"/>
          </w:tcPr>
          <w:p>
            <w:pPr>
              <w:pStyle w:val="TableContents"/>
              <w:bidi w:val="0"/>
              <w:spacing w:before="0" w:after="283"/>
              <w:jc w:val="left"/>
              <w:rPr>
                <w:b/>
              </w:rPr>
            </w:pPr>
            <w:r>
              <w:rPr>
                <w:b/>
              </w:rPr>
              <w:t>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p>
        </w:tc>
      </w:tr>
      <w:tr>
        <w:trPr/>
        <w:tc>
          <w:tcPr>
            <w:tcW w:w="3170" w:type="dxa"/>
            <w:tcBorders/>
            <w:shd w:fill="CCEEFF" w:val="clear"/>
            <w:tcMar>
              <w:bottom w:w="0" w:type="dxa"/>
            </w:tcMar>
            <w:vAlign w:val="center"/>
          </w:tcPr>
          <w:p>
            <w:pPr>
              <w:pStyle w:val="TableContents"/>
              <w:bidi w:val="0"/>
              <w:spacing w:before="0" w:after="283"/>
              <w:jc w:val="lef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319,113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170" w:type="dxa"/>
            <w:tcBorders/>
            <w:shd w:fill="FFFFFF" w:val="clear"/>
            <w:tcMar>
              <w:bottom w:w="0" w:type="dxa"/>
            </w:tcMar>
            <w:vAlign w:val="center"/>
          </w:tcPr>
          <w:p>
            <w:pPr>
              <w:pStyle w:val="TableContents"/>
              <w:bidi w:val="0"/>
              <w:spacing w:before="0" w:after="283"/>
              <w:jc w:val="lef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278,111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170"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233,919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170"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127,719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170"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100,032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1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1,058,894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170" w:type="dxa"/>
            <w:tcBorders/>
            <w:shd w:fill="CCEEFF" w:val="clear"/>
            <w:tcMar>
              <w:bottom w:w="0" w:type="dxa"/>
            </w:tcMar>
            <w:vAlign w:val="center"/>
          </w:tcPr>
          <w:p>
            <w:pPr>
              <w:pStyle w:val="TableContents"/>
              <w:bidi w:val="0"/>
              <w:spacing w:before="0" w:after="283"/>
              <w:jc w:val="left"/>
              <w:rPr/>
            </w:pPr>
            <w:r>
              <w:rPr/>
              <w:t>Software development in process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980" w:type="dxa"/>
            <w:tcBorders>
              <w:bottom w:val="single" w:sz="12" w:space="0" w:color="000000"/>
            </w:tcBorders>
            <w:shd w:fill="CCEEFF" w:val="clear"/>
            <w:vAlign w:val="center"/>
          </w:tcPr>
          <w:p>
            <w:pPr>
              <w:pStyle w:val="TableContents"/>
              <w:bidi w:val="0"/>
              <w:spacing w:before="0" w:after="283"/>
              <w:jc w:val="right"/>
              <w:rPr/>
            </w:pPr>
            <w:r>
              <w:rPr/>
              <w:t>182,892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170"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980" w:type="dxa"/>
            <w:tcBorders>
              <w:bottom w:val="double" w:sz="10" w:space="0" w:color="000000"/>
            </w:tcBorders>
            <w:shd w:fill="FFFFFF" w:val="clear"/>
            <w:vAlign w:val="center"/>
          </w:tcPr>
          <w:p>
            <w:pPr>
              <w:pStyle w:val="TableContents"/>
              <w:bidi w:val="0"/>
              <w:spacing w:before="0" w:after="283"/>
              <w:jc w:val="right"/>
              <w:rPr/>
            </w:pPr>
            <w:r>
              <w:rPr/>
              <w:t>1,241,786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6 – FACTORING 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a $4,000,000 factoring credit facility. The Company, from time to time, submitted selected accounts receivable invoices for the ability to draw up to 90% of the outstanding invoice balance (remaining 10% placed in reserve until the corresponding invoice was paid). Under the factoring arrangement, in addition to having the facility secured by the Company’s accounts receivable, the Company had full liability on any uncollected balances advanced under the facility. Additionally, the Company paid an interest rate at the prime rate plus 3.75%, but not less than 7%, plus a fixed discount of between 0.25%-0.75% depending on the age of the receivable factored and a monthly service charge for the use of the line of credit. As of December 31, 2022 and 2021, the balance due under the factoring credit facility was $0 and $567,742, respectively. The total balance of receivables factored under the agreement as of December 31, 2022 and 2021 was $0 and $1,187,061, respectively. In October 2022, all the outstanding principal and interest was paid in full and the account was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7 –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14, 2020, the Company received an Economic Injury Disaster Loan (EIDL) from the SBA in the amount of $150,000 under the Small Business Act. The loan bore interest at a fixed rate of 3.75% per annum, had a term of 30 years, and was secured by the assets of the Company. Payment of principal and interest was deferred until 24 months from the date of the note, at which time the balance was scheduled to be repaid in monthly payments of principal and interest totaling $731. During the year ended December 31, 2022, the note balance was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2020, the Company received a Paycheck Protection Program Loan (“PPP”) from a bank in the amount of $908,400 to fund payroll, rent, utilities, and interest on existing debt. The Company recognized $916,222 of other income related to this agreement during the year ended December 31, 2020, which represents the full principal and interest that would have been payable under the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8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2022 and 2021, we had operating leases for office space in one multi tenant facilities in Scottsdale, Arizona. We also had a vehicle lease which expires January 2024. The Company also had a storage space lease in New York,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Lease-related assets, or right-of-use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Amortization of the right of use assets is recognized as non-cash lease expense on a straight-line basis over the lease term, while variable lease payments are expensed as incurred. Short term lease costs include month to month leases and occasional rent for transient meeting and office spaces in shared office space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8 – LEASES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twelve months ended December 31, 2022 and 2021, the Company’s operating lease cost was $118,180 and $126,308, respectively. Operating lease costs are included in operating expenses within the Company’s statements of income:</w:t>
      </w:r>
    </w:p>
    <w:p>
      <w:pPr>
        <w:pStyle w:val="TextBody"/>
        <w:bidi w:val="0"/>
        <w:spacing w:before="0" w:after="0"/>
        <w:ind w:left="0" w:right="0" w:hanging="0"/>
        <w:jc w:val="both"/>
        <w:rPr>
          <w:caps w:val="false"/>
          <w:smallCaps w:val="false"/>
        </w:rPr>
      </w:pPr>
      <w:r>
        <w:rPr>
          <w:caps w:val="false"/>
          <w:smallCaps w:val="false"/>
        </w:rPr>
        <w:t> </w:t>
      </w:r>
    </w:p>
    <w:tbl>
      <w:tblPr>
        <w:tblW w:w="3170" w:type="dxa"/>
        <w:jc w:val="left"/>
        <w:tblInd w:w="0" w:type="dxa"/>
        <w:tblLayout w:type="fixed"/>
        <w:tblCellMar>
          <w:top w:w="0" w:type="dxa"/>
          <w:left w:w="0" w:type="dxa"/>
          <w:bottom w:w="28" w:type="dxa"/>
          <w:right w:w="0" w:type="dxa"/>
        </w:tblCellMar>
      </w:tblPr>
      <w:tblGrid>
        <w:gridCol w:w="2120"/>
        <w:gridCol w:w="140"/>
        <w:gridCol w:w="800"/>
        <w:gridCol w:w="110"/>
      </w:tblGrid>
      <w:tr>
        <w:trPr/>
        <w:tc>
          <w:tcPr>
            <w:tcW w:w="2120"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2022</w:t>
            </w:r>
          </w:p>
        </w:tc>
        <w:tc>
          <w:tcPr>
            <w:tcW w:w="940"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12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283"/>
              <w:jc w:val="left"/>
              <w:rPr/>
            </w:pPr>
            <w:r>
              <w:rPr/>
              <w:t>2023</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122,601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120" w:type="dxa"/>
            <w:tcBorders/>
            <w:shd w:fill="FFFFFF" w:val="clear"/>
            <w:tcMar>
              <w:bottom w:w="0" w:type="dxa"/>
            </w:tcMar>
            <w:vAlign w:val="center"/>
          </w:tcPr>
          <w:p>
            <w:pPr>
              <w:pStyle w:val="TableContents"/>
              <w:bidi w:val="0"/>
              <w:spacing w:before="0" w:after="283"/>
              <w:jc w:val="left"/>
              <w:rPr/>
            </w:pPr>
            <w:r>
              <w:rPr/>
              <w:t>2024</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116,651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283"/>
              <w:jc w:val="left"/>
              <w:rPr/>
            </w:pPr>
            <w:r>
              <w:rPr/>
              <w:t>2025</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38,908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120" w:type="dxa"/>
            <w:tcBorders/>
            <w:shd w:fill="FFFFFF" w:val="clear"/>
            <w:tcMar>
              <w:bottom w:w="0" w:type="dxa"/>
            </w:tcMar>
            <w:vAlign w:val="center"/>
          </w:tcPr>
          <w:p>
            <w:pPr>
              <w:pStyle w:val="TableContents"/>
              <w:bidi w:val="0"/>
              <w:spacing w:before="0" w:after="283"/>
              <w:jc w:val="left"/>
              <w:rPr/>
            </w:pPr>
            <w:r>
              <w:rPr/>
              <w:t>Total</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pPr>
            <w:r>
              <w:rPr/>
              <w:t>278,160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283"/>
              <w:jc w:val="left"/>
              <w:rPr/>
            </w:pPr>
            <w:r>
              <w:rPr/>
              <w:t>Less: discount</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(13,420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120" w:type="dxa"/>
            <w:tcBorders/>
            <w:shd w:fill="FFFFFF" w:val="clear"/>
            <w:tcMar>
              <w:bottom w:w="0" w:type="dxa"/>
            </w:tcMar>
            <w:vAlign w:val="center"/>
          </w:tcPr>
          <w:p>
            <w:pPr>
              <w:pStyle w:val="TableContents"/>
              <w:bidi w:val="0"/>
              <w:spacing w:before="0" w:after="283"/>
              <w:jc w:val="left"/>
              <w:rPr/>
            </w:pPr>
            <w:r>
              <w:rPr/>
              <w:t>Total lease liabilities</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800" w:type="dxa"/>
            <w:tcBorders>
              <w:bottom w:val="double" w:sz="10" w:space="0" w:color="000000"/>
            </w:tcBorders>
            <w:shd w:fill="FFFFFF" w:val="clear"/>
            <w:vAlign w:val="center"/>
          </w:tcPr>
          <w:p>
            <w:pPr>
              <w:pStyle w:val="TableContents"/>
              <w:bidi w:val="0"/>
              <w:spacing w:before="0" w:after="283"/>
              <w:jc w:val="right"/>
              <w:rPr/>
            </w:pPr>
            <w:r>
              <w:rPr/>
              <w:t>264,740</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 at December 31, 2022 for operating leases is 2.18 years and the weighted average discount rate used in calculating the operating lease asset and liability is 4.47%. Cash paid for amounts included in the measurement of lease liabilities was $99,285 and $140,095 for the twelve months ended December 31, 2022 and 2021, respectively. For the twelve months ended December 31, 2022 and 2021, payments on lease obligations were $118,180 and $126,308, respectively, and amortization on the right of use assets was $104,358 and $108,560,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NOTE 9 – DEFERRED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Under ASC 606, </w:t>
      </w:r>
      <w:r>
        <w:rPr>
          <w:rFonts w:ascii="Times New Roman;Times;Serif" w:hAnsi="Times New Roman;Times;Serif"/>
          <w:b w:val="false"/>
          <w:i/>
          <w:caps w:val="false"/>
          <w:smallCaps w:val="false"/>
          <w:sz w:val="20"/>
          <w:shd w:fill="FFFFFF" w:val="clear"/>
        </w:rPr>
        <w:t>Revenue from Contracts with Customers</w:t>
      </w:r>
      <w:r>
        <w:rPr>
          <w:rFonts w:ascii="Times New Roman;Times;Serif" w:hAnsi="Times New Roman;Times;Serif"/>
          <w:b w:val="false"/>
          <w:i w:val="false"/>
          <w:caps w:val="false"/>
          <w:smallCaps w:val="false"/>
          <w:sz w:val="20"/>
          <w:shd w:fill="FFFFFF" w:val="clear"/>
        </w:rPr>
        <w:t>, we record revenue when earned, rather than when billed. From time to time, we may invoice the customer prior to being able to recognize the revenue. Amounts billed in advance of revenue recognition are presented as deferred revenue on the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has several signed contracts with customers for the distribution of messaging, or other services, which include payment in advance. The payments are not recorded as revenue until the revenue is earned under its revenue recognition policy. Deferred revenue was $270,000 and $101,771 as of December 31, 2022 and December 31, 2021, respectively. The contracts are all short term in nature and all revenue is expected to be recognized within 12 months, or less. The following is a summary of activity for the deferred revenue account during each of the twelve months ended December 31, 2022 and 2021.</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tbl>
      <w:tblPr>
        <w:tblW w:w="4490" w:type="dxa"/>
        <w:jc w:val="left"/>
        <w:tblInd w:w="0" w:type="dxa"/>
        <w:tblLayout w:type="fixed"/>
        <w:tblCellMar>
          <w:top w:w="0" w:type="dxa"/>
          <w:left w:w="0" w:type="dxa"/>
          <w:bottom w:w="0" w:type="dxa"/>
          <w:right w:w="0" w:type="dxa"/>
        </w:tblCellMar>
      </w:tblPr>
      <w:tblGrid>
        <w:gridCol w:w="2135"/>
        <w:gridCol w:w="60"/>
        <w:gridCol w:w="140"/>
        <w:gridCol w:w="875"/>
        <w:gridCol w:w="95"/>
        <w:gridCol w:w="60"/>
        <w:gridCol w:w="140"/>
        <w:gridCol w:w="875"/>
        <w:gridCol w:w="110"/>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Balance January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101,771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226,292</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Revenue recognized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(542,027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(673,127</w:t>
            </w:r>
          </w:p>
        </w:tc>
        <w:tc>
          <w:tcPr>
            <w:tcW w:w="110" w:type="dxa"/>
            <w:tcBorders/>
            <w:shd w:fill="FFFFFF" w:val="clear"/>
            <w:vAlign w:val="center"/>
          </w:tcPr>
          <w:p>
            <w:pPr>
              <w:pStyle w:val="TableContents"/>
              <w:bidi w:val="0"/>
              <w:spacing w:before="0" w:after="283"/>
              <w:jc w:val="left"/>
              <w:rPr/>
            </w:pPr>
            <w:r>
              <w:rPr/>
              <w:t>)</w:t>
            </w:r>
          </w:p>
        </w:tc>
      </w:tr>
      <w:tr>
        <w:trPr/>
        <w:tc>
          <w:tcPr>
            <w:tcW w:w="2135" w:type="dxa"/>
            <w:tcBorders/>
            <w:shd w:fill="CCEEFF" w:val="clear"/>
            <w:vAlign w:val="center"/>
          </w:tcPr>
          <w:p>
            <w:pPr>
              <w:pStyle w:val="TableContents"/>
              <w:bidi w:val="0"/>
              <w:spacing w:before="0" w:after="283"/>
              <w:jc w:val="left"/>
              <w:rPr/>
            </w:pPr>
            <w:r>
              <w:rPr/>
              <w:t>Amount collected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710,256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548,606</w:t>
            </w:r>
          </w:p>
        </w:tc>
        <w:tc>
          <w:tcPr>
            <w:tcW w:w="110"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Balance December 31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270,000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101,771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10 –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Series A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10,000,000 shares of preferred stock with 200,000 shares for Series A convertible preferred stock, authorized as of December 31, 2022 and 2021. The shares have a par value of $0.001. The Company issued 166,667 shares of Series A preferred Stock during 2015, at $1.50 per share for a total of $250,000. The stock accrues dividends at 6% per annum, paid quarterly for the first two years. Thereafter, the dividends will accrue and will be payable in preference to any dividends paid on the common stock. During the years ended December 31, 2022 and 2021, the Company recorded an accretion of undeclared dividends of $15,000, which is reflected as an increase in additional paid in capital on the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dividends of $53,750 paid in 2022. There were no dividends paid in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convertible preferred Stock is convertible at the option of the holder into one share of common stock. Upon any liquidation, dissolution, or winding up of the Company, after all creditors are paid in full and before any liquidation distribution is made to the holders of common stock, each holder of Series A preferred will be entitled to receive a liquidation preference equal to $2.25 per share, plus accrued and unpaid dividends. As of December 31, 2022, there were $12,500 of undeclared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and Treasury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authorized the issuance of 20,000,000 shares, $0.001 par value per share, of which 9,975,000 were issued in connection with a tax-free reorganization and exercise of stock options. During 2019, 25,000 shares were repurchased for $50,000 and are maintained as treasury stock as of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11 – STOCK 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2012, the Company adopted the Healthy Offers, Inc. 2012 Stock Option Plan Agreement (the 2012 Plan). Under the 2012 Plan, the Company could make grants to employees, officers, directors, consultants, and advisors of the Company. The 2012 Plan included provisions for the issuance of up to 2,000,000 shares of common stock. Vesting terms and the option expiration were specified in each award as granted, with the term not to exceed 10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11 – STOCK BASED COMPENSATION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2015, the Company adopted the 2015 Option Plan (the 2015 Plan). Under the 2015 Plan, awards of the Company’s equity may be granted to officers, employees, directors, and other key persons (including consultants and prospective employees) of the Company to provide such individuals with an incentive for performance to generate returns to Company stockholders. An award is an incentive stock option, or a nonqualified stock option granted pursuant to the 2015 Plan. The Company initially reserved 3,000,000 shares of common stock for issuance under the 2015 Plan. The term of the stock options granted under the Plan may not exceed 10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expense related to options for the years ended December 31, 2022 and 2021 was $257,957 and $246,848, respectively. The fair value of these instruments was calculated using the Black-Scholes option pricing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the Company granted certain performance based stock options, the expense for which will be recorded over time once the achievement of the performance is deemed probable. There was no expense related to these options recorded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information related to the stock option plans are as follows:</w:t>
      </w:r>
    </w:p>
    <w:p>
      <w:pPr>
        <w:pStyle w:val="TextBody"/>
        <w:bidi w:val="0"/>
        <w:spacing w:before="0" w:after="0"/>
        <w:ind w:left="0" w:right="0" w:hanging="0"/>
        <w:jc w:val="both"/>
        <w:rPr>
          <w:caps w:val="false"/>
          <w:smallCaps w:val="false"/>
        </w:rPr>
      </w:pPr>
      <w:r>
        <w:rPr>
          <w:caps w:val="false"/>
          <w:smallCaps w:val="false"/>
        </w:rPr>
        <w:t> </w:t>
      </w:r>
    </w:p>
    <w:tbl>
      <w:tblPr>
        <w:tblW w:w="8255" w:type="dxa"/>
        <w:jc w:val="left"/>
        <w:tblInd w:w="0" w:type="dxa"/>
        <w:tblLayout w:type="fixed"/>
        <w:tblCellMar>
          <w:top w:w="0" w:type="dxa"/>
          <w:left w:w="0" w:type="dxa"/>
          <w:bottom w:w="0" w:type="dxa"/>
          <w:right w:w="0" w:type="dxa"/>
        </w:tblCellMar>
      </w:tblPr>
      <w:tblGrid>
        <w:gridCol w:w="3140"/>
        <w:gridCol w:w="60"/>
        <w:gridCol w:w="73"/>
        <w:gridCol w:w="1207"/>
        <w:gridCol w:w="95"/>
        <w:gridCol w:w="60"/>
        <w:gridCol w:w="240"/>
        <w:gridCol w:w="755"/>
        <w:gridCol w:w="60"/>
        <w:gridCol w:w="60"/>
        <w:gridCol w:w="73"/>
        <w:gridCol w:w="1207"/>
        <w:gridCol w:w="95"/>
        <w:gridCol w:w="60"/>
        <w:gridCol w:w="240"/>
        <w:gridCol w:w="755"/>
        <w:gridCol w:w="75"/>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Options</w:t>
              <w:br/>
              <w:t>Outstanding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Options</w:t>
              <w:br/>
              <w:t>Outstanding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Outstanding at beginning of year</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1,292,652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1,314,872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2.10</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720,900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52,500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3.79</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Expired or forfeited</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FFFFFF" w:val="clear"/>
            <w:tcMar>
              <w:bottom w:w="28" w:type="dxa"/>
            </w:tcMar>
            <w:vAlign w:val="center"/>
          </w:tcPr>
          <w:p>
            <w:pPr>
              <w:pStyle w:val="TableContents"/>
              <w:bidi w:val="0"/>
              <w:spacing w:before="0" w:after="283"/>
              <w:jc w:val="right"/>
              <w:rPr/>
            </w:pPr>
            <w:r>
              <w:rPr/>
              <w:t>(771,354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FFFFFF" w:val="clear"/>
            <w:tcMar>
              <w:bottom w:w="28" w:type="dxa"/>
            </w:tcMar>
            <w:vAlign w:val="center"/>
          </w:tcPr>
          <w:p>
            <w:pPr>
              <w:pStyle w:val="TableContents"/>
              <w:bidi w:val="0"/>
              <w:spacing w:before="0" w:after="283"/>
              <w:jc w:val="right"/>
              <w:rPr/>
            </w:pPr>
            <w:r>
              <w:rPr/>
              <w:t>(74,720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2.43</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Outstanding at end of year</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1,241,198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1,292,652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11 – STOCK BASED COMPENSATION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information for the total options outstanding at December 31, 2022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9"/>
        <w:gridCol w:w="1468"/>
        <w:gridCol w:w="60"/>
        <w:gridCol w:w="60"/>
        <w:gridCol w:w="63"/>
        <w:gridCol w:w="1034"/>
        <w:gridCol w:w="60"/>
        <w:gridCol w:w="60"/>
        <w:gridCol w:w="221"/>
        <w:gridCol w:w="1187"/>
        <w:gridCol w:w="60"/>
        <w:gridCol w:w="60"/>
        <w:gridCol w:w="301"/>
        <w:gridCol w:w="947"/>
        <w:gridCol w:w="60"/>
        <w:gridCol w:w="60"/>
        <w:gridCol w:w="83"/>
        <w:gridCol w:w="1107"/>
        <w:gridCol w:w="60"/>
        <w:gridCol w:w="60"/>
        <w:gridCol w:w="188"/>
        <w:gridCol w:w="1009"/>
        <w:gridCol w:w="60"/>
        <w:gridCol w:w="60"/>
        <w:gridCol w:w="313"/>
        <w:gridCol w:w="984"/>
        <w:gridCol w:w="81"/>
      </w:tblGrid>
      <w:tr>
        <w:trPr/>
        <w:tc>
          <w:tcPr>
            <w:tcW w:w="196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9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Options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Options Exercisable</w:t>
            </w:r>
          </w:p>
        </w:tc>
        <w:tc>
          <w:tcPr>
            <w:tcW w:w="81" w:type="dxa"/>
            <w:tcBorders/>
            <w:vAlign w:val="center"/>
          </w:tcPr>
          <w:p>
            <w:pPr>
              <w:pStyle w:val="TableContents"/>
              <w:bidi w:val="0"/>
              <w:spacing w:before="0" w:after="283"/>
              <w:jc w:val="left"/>
              <w:rPr/>
            </w:pPr>
            <w:r>
              <w:rPr/>
              <w:t> </w:t>
            </w:r>
          </w:p>
        </w:tc>
      </w:tr>
      <w:tr>
        <w:trPr/>
        <w:tc>
          <w:tcPr>
            <w:tcW w:w="1967" w:type="dxa"/>
            <w:gridSpan w:val="2"/>
            <w:tcBorders>
              <w:bottom w:val="single" w:sz="12" w:space="0" w:color="000000"/>
            </w:tcBorders>
            <w:tcMar>
              <w:bottom w:w="28" w:type="dxa"/>
            </w:tcMar>
            <w:vAlign w:val="center"/>
          </w:tcPr>
          <w:p>
            <w:pPr>
              <w:pStyle w:val="TableContents"/>
              <w:bidi w:val="0"/>
              <w:spacing w:before="0" w:after="283"/>
              <w:jc w:val="left"/>
              <w:rPr>
                <w:b/>
              </w:rPr>
            </w:pPr>
            <w:r>
              <w:rPr>
                <w:b/>
              </w:rPr>
              <w:t>Range of Exercise Prices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 life</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Options</w:t>
              <w:br/>
              <w:t>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Life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 Price</w:t>
            </w:r>
          </w:p>
        </w:tc>
        <w:tc>
          <w:tcPr>
            <w:tcW w:w="81" w:type="dxa"/>
            <w:tcBorders/>
            <w:vAlign w:val="center"/>
          </w:tcPr>
          <w:p>
            <w:pPr>
              <w:pStyle w:val="TableContents"/>
              <w:bidi w:val="0"/>
              <w:spacing w:before="0" w:after="283"/>
              <w:jc w:val="left"/>
              <w:rPr/>
            </w:pPr>
            <w:r>
              <w:rPr/>
              <w:t> </w:t>
            </w:r>
          </w:p>
        </w:tc>
      </w:tr>
      <w:tr>
        <w:trPr/>
        <w:tc>
          <w:tcPr>
            <w:tcW w:w="499" w:type="dxa"/>
            <w:tcBorders/>
            <w:shd w:fill="CCEEFF" w:val="clear"/>
            <w:vAlign w:val="center"/>
          </w:tcPr>
          <w:p>
            <w:pPr>
              <w:pStyle w:val="TableContents"/>
              <w:bidi w:val="0"/>
              <w:spacing w:before="0" w:after="283"/>
              <w:jc w:val="left"/>
              <w:rPr/>
            </w:pPr>
            <w:r>
              <w:rPr/>
              <w:t>$</w:t>
            </w:r>
          </w:p>
        </w:tc>
        <w:tc>
          <w:tcPr>
            <w:tcW w:w="1468"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947"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283"/>
              <w:jc w:val="right"/>
              <w:rPr/>
            </w:pPr>
            <w:r>
              <w:rPr/>
              <w:t>1.00</w:t>
            </w:r>
          </w:p>
        </w:tc>
        <w:tc>
          <w:tcPr>
            <w:tcW w:w="81" w:type="dxa"/>
            <w:tcBorders/>
            <w:shd w:fill="CCEEFF" w:val="clear"/>
            <w:vAlign w:val="center"/>
          </w:tcPr>
          <w:p>
            <w:pPr>
              <w:pStyle w:val="TableContents"/>
              <w:bidi w:val="0"/>
              <w:spacing w:before="0" w:after="283"/>
              <w:jc w:val="left"/>
              <w:rPr/>
            </w:pPr>
            <w:r>
              <w:rPr/>
              <w:t> </w:t>
            </w:r>
          </w:p>
        </w:tc>
      </w:tr>
      <w:tr>
        <w:trPr/>
        <w:tc>
          <w:tcPr>
            <w:tcW w:w="499"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12,500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12,500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1.50</w:t>
            </w:r>
          </w:p>
        </w:tc>
        <w:tc>
          <w:tcPr>
            <w:tcW w:w="81" w:type="dxa"/>
            <w:tcBorders/>
            <w:shd w:fill="FFFFFF" w:val="clear"/>
            <w:vAlign w:val="center"/>
          </w:tcPr>
          <w:p>
            <w:pPr>
              <w:pStyle w:val="TableContents"/>
              <w:bidi w:val="0"/>
              <w:spacing w:before="0" w:after="283"/>
              <w:jc w:val="left"/>
              <w:rPr/>
            </w:pPr>
            <w:r>
              <w:rPr/>
              <w:t> </w:t>
            </w:r>
          </w:p>
        </w:tc>
      </w:tr>
      <w:tr>
        <w:trPr/>
        <w:tc>
          <w:tcPr>
            <w:tcW w:w="499"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102,500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102,500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2.00</w:t>
            </w:r>
          </w:p>
        </w:tc>
        <w:tc>
          <w:tcPr>
            <w:tcW w:w="81" w:type="dxa"/>
            <w:tcBorders/>
            <w:shd w:fill="CCEEFF" w:val="clear"/>
            <w:vAlign w:val="center"/>
          </w:tcPr>
          <w:p>
            <w:pPr>
              <w:pStyle w:val="TableContents"/>
              <w:bidi w:val="0"/>
              <w:spacing w:before="0" w:after="283"/>
              <w:jc w:val="left"/>
              <w:rPr/>
            </w:pPr>
            <w:r>
              <w:rPr/>
              <w:t> </w:t>
            </w:r>
          </w:p>
        </w:tc>
      </w:tr>
      <w:tr>
        <w:trPr/>
        <w:tc>
          <w:tcPr>
            <w:tcW w:w="499"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192,798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87,620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2.43</w:t>
            </w:r>
          </w:p>
        </w:tc>
        <w:tc>
          <w:tcPr>
            <w:tcW w:w="81" w:type="dxa"/>
            <w:tcBorders/>
            <w:shd w:fill="FFFFFF" w:val="clear"/>
            <w:vAlign w:val="center"/>
          </w:tcPr>
          <w:p>
            <w:pPr>
              <w:pStyle w:val="TableContents"/>
              <w:bidi w:val="0"/>
              <w:spacing w:before="0" w:after="283"/>
              <w:jc w:val="left"/>
              <w:rPr/>
            </w:pPr>
            <w:r>
              <w:rPr/>
              <w:t> </w:t>
            </w:r>
          </w:p>
        </w:tc>
      </w:tr>
      <w:tr>
        <w:trPr/>
        <w:tc>
          <w:tcPr>
            <w:tcW w:w="499"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2.70</w:t>
            </w:r>
          </w:p>
        </w:tc>
        <w:tc>
          <w:tcPr>
            <w:tcW w:w="81" w:type="dxa"/>
            <w:tcBorders/>
            <w:shd w:fill="CCEEFF" w:val="clear"/>
            <w:vAlign w:val="center"/>
          </w:tcPr>
          <w:p>
            <w:pPr>
              <w:pStyle w:val="TableContents"/>
              <w:bidi w:val="0"/>
              <w:spacing w:before="0" w:after="283"/>
              <w:jc w:val="left"/>
              <w:rPr/>
            </w:pPr>
            <w:r>
              <w:rPr/>
              <w:t> </w:t>
            </w:r>
          </w:p>
        </w:tc>
      </w:tr>
      <w:tr>
        <w:trPr/>
        <w:tc>
          <w:tcPr>
            <w:tcW w:w="499"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167,500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17,500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3.79</w:t>
            </w:r>
          </w:p>
        </w:tc>
        <w:tc>
          <w:tcPr>
            <w:tcW w:w="81" w:type="dxa"/>
            <w:tcBorders/>
            <w:shd w:fill="FFFFFF" w:val="clear"/>
            <w:vAlign w:val="center"/>
          </w:tcPr>
          <w:p>
            <w:pPr>
              <w:pStyle w:val="TableContents"/>
              <w:bidi w:val="0"/>
              <w:spacing w:before="0" w:after="283"/>
              <w:jc w:val="left"/>
              <w:rPr/>
            </w:pPr>
            <w:r>
              <w:rPr/>
              <w:t> </w:t>
            </w:r>
          </w:p>
        </w:tc>
      </w:tr>
      <w:tr>
        <w:trPr/>
        <w:tc>
          <w:tcPr>
            <w:tcW w:w="499" w:type="dxa"/>
            <w:tcBorders/>
            <w:shd w:fill="CCEEFF" w:val="clear"/>
            <w:vAlign w:val="center"/>
          </w:tcPr>
          <w:p>
            <w:pPr>
              <w:pStyle w:val="TableContents"/>
              <w:bidi w:val="0"/>
              <w:spacing w:before="0" w:after="283"/>
              <w:jc w:val="left"/>
              <w:rPr/>
            </w:pPr>
            <w:r>
              <w:rPr/>
              <w:t>$</w:t>
            </w:r>
          </w:p>
        </w:tc>
        <w:tc>
          <w:tcPr>
            <w:tcW w:w="1468" w:type="dxa"/>
            <w:tcBorders/>
            <w:shd w:fill="CCEEFF" w:val="clear"/>
            <w:vAlign w:val="center"/>
          </w:tcPr>
          <w:p>
            <w:pPr>
              <w:pStyle w:val="TableContents"/>
              <w:bidi w:val="0"/>
              <w:spacing w:before="0" w:after="283"/>
              <w:jc w:val="right"/>
              <w:rPr/>
            </w:pPr>
            <w:r>
              <w:rPr/>
              <w:t>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605,900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4.91</w:t>
            </w:r>
          </w:p>
        </w:tc>
        <w:tc>
          <w:tcPr>
            <w:tcW w:w="81" w:type="dxa"/>
            <w:tcBorders/>
            <w:shd w:fill="CCEEFF" w:val="clear"/>
            <w:vAlign w:val="center"/>
          </w:tcPr>
          <w:p>
            <w:pPr>
              <w:pStyle w:val="TableContents"/>
              <w:bidi w:val="0"/>
              <w:spacing w:before="0" w:after="283"/>
              <w:jc w:val="left"/>
              <w:rPr/>
            </w:pPr>
            <w:r>
              <w:rPr/>
              <w:t> </w:t>
            </w:r>
          </w:p>
        </w:tc>
      </w:tr>
      <w:tr>
        <w:trPr/>
        <w:tc>
          <w:tcPr>
            <w:tcW w:w="499"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double" w:sz="10" w:space="0" w:color="000000"/>
            </w:tcBorders>
            <w:shd w:fill="FFFFFF" w:val="clear"/>
            <w:tcMar>
              <w:bottom w:w="28" w:type="dxa"/>
            </w:tcMar>
            <w:vAlign w:val="center"/>
          </w:tcPr>
          <w:p>
            <w:pPr>
              <w:pStyle w:val="TableContents"/>
              <w:bidi w:val="0"/>
              <w:spacing w:before="0" w:after="283"/>
              <w:jc w:val="right"/>
              <w:rPr/>
            </w:pPr>
            <w:r>
              <w:rPr/>
              <w:t>1,241,198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w:t>
            </w:r>
          </w:p>
        </w:tc>
        <w:tc>
          <w:tcPr>
            <w:tcW w:w="947" w:type="dxa"/>
            <w:tcBorders/>
            <w:shd w:fill="FFFFFF" w:val="clear"/>
            <w:vAlign w:val="center"/>
          </w:tcPr>
          <w:p>
            <w:pPr>
              <w:pStyle w:val="TableContents"/>
              <w:bidi w:val="0"/>
              <w:spacing w:before="0" w:after="283"/>
              <w:jc w:val="right"/>
              <w:rPr/>
            </w:pPr>
            <w:r>
              <w:rPr/>
              <w:t>3.61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7" w:type="dxa"/>
            <w:tcBorders>
              <w:bottom w:val="double" w:sz="10" w:space="0" w:color="000000"/>
            </w:tcBorders>
            <w:shd w:fill="FFFFFF" w:val="clear"/>
            <w:tcMar>
              <w:bottom w:w="28" w:type="dxa"/>
            </w:tcMar>
            <w:vAlign w:val="center"/>
          </w:tcPr>
          <w:p>
            <w:pPr>
              <w:pStyle w:val="TableContents"/>
              <w:bidi w:val="0"/>
              <w:spacing w:before="0" w:after="283"/>
              <w:jc w:val="right"/>
              <w:rPr/>
            </w:pPr>
            <w:r>
              <w:rPr/>
              <w:t>380,120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w:t>
            </w:r>
          </w:p>
        </w:tc>
        <w:tc>
          <w:tcPr>
            <w:tcW w:w="984" w:type="dxa"/>
            <w:tcBorders/>
            <w:shd w:fill="FFFFFF" w:val="clear"/>
            <w:vAlign w:val="center"/>
          </w:tcPr>
          <w:p>
            <w:pPr>
              <w:pStyle w:val="TableContents"/>
              <w:bidi w:val="0"/>
              <w:spacing w:before="0" w:after="283"/>
              <w:jc w:val="right"/>
              <w:rPr/>
            </w:pPr>
            <w:r>
              <w:rPr/>
              <w:t>1.79</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each common stock option granted is estimated on the date of grant using the Black-Scholes method with the following weighted-average assumptions for the years ended December 31:</w:t>
      </w:r>
    </w:p>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2255"/>
        <w:gridCol w:w="60"/>
        <w:gridCol w:w="60"/>
        <w:gridCol w:w="440"/>
        <w:gridCol w:w="215"/>
        <w:gridCol w:w="60"/>
        <w:gridCol w:w="60"/>
        <w:gridCol w:w="440"/>
        <w:gridCol w:w="230"/>
      </w:tblGrid>
      <w:tr>
        <w:trPr/>
        <w:tc>
          <w:tcPr>
            <w:tcW w:w="2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230"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left"/>
              <w:rPr/>
            </w:pPr>
            <w:r>
              <w:rPr/>
              <w:t>Expected Term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6</w:t>
            </w:r>
          </w:p>
        </w:tc>
        <w:tc>
          <w:tcPr>
            <w:tcW w:w="230" w:type="dxa"/>
            <w:tcBorders/>
            <w:shd w:fill="CCEE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283"/>
              <w:jc w:val="left"/>
              <w:rPr/>
            </w:pPr>
            <w:r>
              <w:rPr/>
              <w:t>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w:t>
            </w:r>
          </w:p>
        </w:tc>
      </w:tr>
      <w:tr>
        <w:trPr/>
        <w:tc>
          <w:tcPr>
            <w:tcW w:w="2255"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1.99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1.07</w:t>
            </w:r>
          </w:p>
        </w:tc>
        <w:tc>
          <w:tcPr>
            <w:tcW w:w="230" w:type="dxa"/>
            <w:tcBorders/>
            <w:shd w:fill="CCEEFF" w:val="clear"/>
            <w:vAlign w:val="center"/>
          </w:tcPr>
          <w:p>
            <w:pPr>
              <w:pStyle w:val="TableContents"/>
              <w:bidi w:val="0"/>
              <w:spacing w:before="0" w:after="283"/>
              <w:jc w:val="left"/>
              <w:rPr/>
            </w:pPr>
            <w:r>
              <w:rPr/>
              <w:t>%</w:t>
            </w:r>
          </w:p>
        </w:tc>
      </w:tr>
      <w:tr>
        <w:trPr/>
        <w:tc>
          <w:tcPr>
            <w:tcW w:w="2255" w:type="dxa"/>
            <w:tcBorders/>
            <w:shd w:fill="FFFFFF" w:val="clear"/>
            <w:vAlign w:val="center"/>
          </w:tcPr>
          <w:p>
            <w:pPr>
              <w:pStyle w:val="TableContents"/>
              <w:bidi w:val="0"/>
              <w:spacing w:before="0" w:after="283"/>
              <w:jc w:val="left"/>
              <w:rPr/>
            </w:pPr>
            <w:r>
              <w:rPr/>
              <w:t>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65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60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status of the Company’s nonvested options as of December 31, 2022, and changes during the year ended December 31, 2022, is presented below.</w:t>
      </w:r>
    </w:p>
    <w:p>
      <w:pPr>
        <w:pStyle w:val="TextBody"/>
        <w:bidi w:val="0"/>
        <w:spacing w:before="0" w:after="0"/>
        <w:ind w:left="0" w:right="0" w:hanging="0"/>
        <w:jc w:val="left"/>
        <w:rPr>
          <w:caps w:val="false"/>
          <w:smallCaps w:val="false"/>
        </w:rPr>
      </w:pPr>
      <w:r>
        <w:rPr>
          <w:caps w:val="false"/>
          <w:smallCaps w:val="false"/>
        </w:rPr>
        <w:t> </w:t>
      </w:r>
    </w:p>
    <w:tbl>
      <w:tblPr>
        <w:tblW w:w="6110" w:type="dxa"/>
        <w:jc w:val="left"/>
        <w:tblInd w:w="0" w:type="dxa"/>
        <w:tblLayout w:type="fixed"/>
        <w:tblCellMar>
          <w:top w:w="0" w:type="dxa"/>
          <w:left w:w="0" w:type="dxa"/>
          <w:bottom w:w="28" w:type="dxa"/>
          <w:right w:w="0" w:type="dxa"/>
        </w:tblCellMar>
      </w:tblPr>
      <w:tblGrid>
        <w:gridCol w:w="3215"/>
        <w:gridCol w:w="60"/>
        <w:gridCol w:w="60"/>
        <w:gridCol w:w="875"/>
        <w:gridCol w:w="95"/>
        <w:gridCol w:w="60"/>
        <w:gridCol w:w="403"/>
        <w:gridCol w:w="1267"/>
        <w:gridCol w:w="75"/>
      </w:tblGrid>
      <w:tr>
        <w:trPr/>
        <w:tc>
          <w:tcPr>
            <w:tcW w:w="3215" w:type="dxa"/>
            <w:tcBorders>
              <w:bottom w:val="single" w:sz="12" w:space="0" w:color="000000"/>
            </w:tcBorders>
            <w:vAlign w:val="center"/>
          </w:tcPr>
          <w:p>
            <w:pPr>
              <w:pStyle w:val="TableContents"/>
              <w:bidi w:val="0"/>
              <w:spacing w:before="0" w:after="283"/>
              <w:jc w:val="left"/>
              <w:rPr>
                <w:b/>
              </w:rPr>
            </w:pPr>
            <w:r>
              <w:rPr>
                <w:b/>
              </w:rPr>
              <w:t>Nonvested Options</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b/>
              </w:rPr>
            </w:pPr>
            <w:r>
              <w:rPr>
                <w:b/>
              </w:rPr>
              <w:t>Options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0" w:type="dxa"/>
            <w:gridSpan w:val="2"/>
            <w:tcBorders>
              <w:bottom w:val="single" w:sz="12" w:space="0" w:color="000000"/>
            </w:tcBorders>
            <w:vAlign w:val="center"/>
          </w:tcPr>
          <w:p>
            <w:pPr>
              <w:pStyle w:val="TableContents"/>
              <w:bidi w:val="0"/>
              <w:spacing w:before="0" w:after="283"/>
              <w:jc w:val="center"/>
              <w:rPr>
                <w:b/>
              </w:rPr>
            </w:pPr>
            <w:r>
              <w:rPr>
                <w:b/>
              </w:rPr>
              <w:t>Weighted</w:t>
              <w:br/>
              <w:t>average exercise</w:t>
              <w:br/>
              <w:t>price</w:t>
            </w:r>
          </w:p>
        </w:tc>
        <w:tc>
          <w:tcPr>
            <w:tcW w:w="75" w:type="dxa"/>
            <w:tcBorders/>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pPr>
            <w:r>
              <w:rPr/>
              <w:t>Nonvested at January 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361,969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w:t>
            </w:r>
          </w:p>
        </w:tc>
        <w:tc>
          <w:tcPr>
            <w:tcW w:w="1267" w:type="dxa"/>
            <w:tcBorders/>
            <w:shd w:fill="CCEEFF" w:val="clear"/>
            <w:tcMar>
              <w:bottom w:w="0" w:type="dxa"/>
            </w:tcMar>
            <w:vAlign w:val="center"/>
          </w:tcPr>
          <w:p>
            <w:pPr>
              <w:pStyle w:val="TableContents"/>
              <w:bidi w:val="0"/>
              <w:spacing w:before="0" w:after="283"/>
              <w:jc w:val="right"/>
              <w:rPr/>
            </w:pPr>
            <w:r>
              <w:rPr/>
              <w:t>2.74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pPr>
            <w:r>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720,900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3" w:type="dxa"/>
            <w:tcBorders/>
            <w:shd w:fill="FFFFFF" w:val="clear"/>
            <w:tcMar>
              <w:bottom w:w="0" w:type="dxa"/>
            </w:tcMar>
            <w:vAlign w:val="center"/>
          </w:tcPr>
          <w:p>
            <w:pPr>
              <w:pStyle w:val="TableContents"/>
              <w:bidi w:val="0"/>
              <w:spacing w:before="0" w:after="283"/>
              <w:jc w:val="left"/>
              <w:rPr/>
            </w:pPr>
            <w:r>
              <w:rPr/>
              <w:t>$</w:t>
            </w:r>
          </w:p>
        </w:tc>
        <w:tc>
          <w:tcPr>
            <w:tcW w:w="1267" w:type="dxa"/>
            <w:tcBorders/>
            <w:shd w:fill="FFFFFF" w:val="clear"/>
            <w:tcMar>
              <w:bottom w:w="0" w:type="dxa"/>
            </w:tcMar>
            <w:vAlign w:val="center"/>
          </w:tcPr>
          <w:p>
            <w:pPr>
              <w:pStyle w:val="TableContents"/>
              <w:bidi w:val="0"/>
              <w:spacing w:before="0" w:after="283"/>
              <w:jc w:val="right"/>
              <w:rPr/>
            </w:pPr>
            <w:r>
              <w:rPr/>
              <w:t>4.73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pPr>
            <w:r>
              <w:rPr/>
              <w:t>Vested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(187,438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w:t>
            </w:r>
          </w:p>
        </w:tc>
        <w:tc>
          <w:tcPr>
            <w:tcW w:w="1267" w:type="dxa"/>
            <w:tcBorders/>
            <w:shd w:fill="CCEEFF" w:val="clear"/>
            <w:tcMar>
              <w:bottom w:w="0" w:type="dxa"/>
            </w:tcMar>
            <w:vAlign w:val="center"/>
          </w:tcPr>
          <w:p>
            <w:pPr>
              <w:pStyle w:val="TableContents"/>
              <w:bidi w:val="0"/>
              <w:spacing w:before="0" w:after="283"/>
              <w:jc w:val="right"/>
              <w:rPr/>
            </w:pPr>
            <w:r>
              <w:rPr/>
              <w:t>2.56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pPr>
            <w:r>
              <w:rPr/>
              <w:t>Forfeited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vAlign w:val="center"/>
          </w:tcPr>
          <w:p>
            <w:pPr>
              <w:pStyle w:val="TableContents"/>
              <w:bidi w:val="0"/>
              <w:spacing w:before="0" w:after="283"/>
              <w:jc w:val="right"/>
              <w:rPr/>
            </w:pPr>
            <w:r>
              <w:rPr/>
              <w:t>(34,353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3" w:type="dxa"/>
            <w:tcBorders/>
            <w:shd w:fill="FFFFFF" w:val="clear"/>
            <w:tcMar>
              <w:bottom w:w="0" w:type="dxa"/>
            </w:tcMar>
            <w:vAlign w:val="center"/>
          </w:tcPr>
          <w:p>
            <w:pPr>
              <w:pStyle w:val="TableContents"/>
              <w:bidi w:val="0"/>
              <w:spacing w:before="0" w:after="283"/>
              <w:jc w:val="left"/>
              <w:rPr/>
            </w:pPr>
            <w:r>
              <w:rPr/>
              <w:t>$</w:t>
            </w:r>
          </w:p>
        </w:tc>
        <w:tc>
          <w:tcPr>
            <w:tcW w:w="1267" w:type="dxa"/>
            <w:tcBorders/>
            <w:shd w:fill="FFFFFF" w:val="clear"/>
            <w:tcMar>
              <w:bottom w:w="0" w:type="dxa"/>
            </w:tcMar>
            <w:vAlign w:val="center"/>
          </w:tcPr>
          <w:p>
            <w:pPr>
              <w:pStyle w:val="TableContents"/>
              <w:bidi w:val="0"/>
              <w:spacing w:before="0" w:after="283"/>
              <w:jc w:val="right"/>
              <w:rPr/>
            </w:pPr>
            <w:r>
              <w:rPr/>
              <w:t>2.43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pPr>
            <w:r>
              <w:rPr/>
              <w:t>Nonvested at December 31,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875" w:type="dxa"/>
            <w:tcBorders>
              <w:bottom w:val="double" w:sz="10" w:space="0" w:color="000000"/>
            </w:tcBorders>
            <w:shd w:fill="CCEEFF" w:val="clear"/>
            <w:vAlign w:val="center"/>
          </w:tcPr>
          <w:p>
            <w:pPr>
              <w:pStyle w:val="TableContents"/>
              <w:bidi w:val="0"/>
              <w:spacing w:before="0" w:after="283"/>
              <w:jc w:val="right"/>
              <w:rPr/>
            </w:pPr>
            <w:r>
              <w:rPr/>
              <w:t>861,078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w:t>
            </w:r>
          </w:p>
        </w:tc>
        <w:tc>
          <w:tcPr>
            <w:tcW w:w="1267" w:type="dxa"/>
            <w:tcBorders/>
            <w:shd w:fill="CCEEFF" w:val="clear"/>
            <w:tcMar>
              <w:bottom w:w="0" w:type="dxa"/>
            </w:tcMar>
            <w:vAlign w:val="center"/>
          </w:tcPr>
          <w:p>
            <w:pPr>
              <w:pStyle w:val="TableContents"/>
              <w:bidi w:val="0"/>
              <w:spacing w:before="0" w:after="283"/>
              <w:jc w:val="right"/>
              <w:rPr/>
            </w:pPr>
            <w:r>
              <w:rPr/>
              <w:t>4.41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$1,590,086 of expense remaining to be recognized over a period of approximately 2.5 years related to options outstanding at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12 – CONTINGENCIES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contracts with various media channel and data partners. From time to time the Company enters into arrangements with a partner to acquire minimum amounts of media or data. As of December 31, 2022, the Company had commitments under long term agreements totaling $13.5 million through 2028. Of this total, $3.6 million is due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currently involved in any material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13 –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(benefit) for Federal income tax consists of the following for the years ended December 31, 2022 and 2021:</w:t>
      </w:r>
    </w:p>
    <w:p>
      <w:pPr>
        <w:pStyle w:val="TextBody"/>
        <w:bidi w:val="0"/>
        <w:spacing w:before="0" w:after="0"/>
        <w:ind w:left="0" w:right="0" w:hanging="0"/>
        <w:jc w:val="both"/>
        <w:rPr>
          <w:caps w:val="false"/>
          <w:smallCaps w:val="false"/>
        </w:rPr>
      </w:pPr>
      <w:r>
        <w:rPr>
          <w:caps w:val="false"/>
          <w:smallCaps w:val="false"/>
        </w:rPr>
        <w:t> </w:t>
      </w:r>
    </w:p>
    <w:tbl>
      <w:tblPr>
        <w:tblW w:w="7275" w:type="dxa"/>
        <w:jc w:val="left"/>
        <w:tblInd w:w="0" w:type="dxa"/>
        <w:tblLayout w:type="fixed"/>
        <w:tblCellMar>
          <w:top w:w="0" w:type="dxa"/>
          <w:left w:w="0" w:type="dxa"/>
          <w:bottom w:w="0" w:type="dxa"/>
          <w:right w:w="0" w:type="dxa"/>
        </w:tblCellMar>
      </w:tblPr>
      <w:tblGrid>
        <w:gridCol w:w="4925"/>
        <w:gridCol w:w="60"/>
        <w:gridCol w:w="140"/>
        <w:gridCol w:w="980"/>
        <w:gridCol w:w="95"/>
        <w:gridCol w:w="60"/>
        <w:gridCol w:w="140"/>
        <w:gridCol w:w="800"/>
        <w:gridCol w:w="75"/>
      </w:tblGrid>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pPr>
            <w:r>
              <w:rPr/>
              <w:t>Federal income tax benefit (expense) attributable to:</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Current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1,606,285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284,204</w:t>
            </w:r>
          </w:p>
        </w:tc>
        <w:tc>
          <w:tcPr>
            <w:tcW w:w="7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Deferred tax (benefit)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(255,956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41,485</w:t>
            </w:r>
          </w:p>
        </w:tc>
        <w:tc>
          <w:tcPr>
            <w:tcW w:w="7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Total tax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1,350,329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325,689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differs from the amounts computed by applying the U.S. federal income tax rate of 21 percent to pretax income as a result of the following:</w:t>
      </w:r>
    </w:p>
    <w:p>
      <w:pPr>
        <w:pStyle w:val="TextBody"/>
        <w:bidi w:val="0"/>
        <w:spacing w:before="0" w:after="0"/>
        <w:ind w:left="0" w:right="0" w:hanging="0"/>
        <w:jc w:val="left"/>
        <w:rPr>
          <w:caps w:val="false"/>
          <w:smallCaps w:val="false"/>
        </w:rPr>
      </w:pPr>
      <w:r>
        <w:rPr>
          <w:caps w:val="false"/>
          <w:smallCaps w:val="false"/>
        </w:rPr>
        <w:t> </w:t>
      </w:r>
    </w:p>
    <w:tbl>
      <w:tblPr>
        <w:tblW w:w="7550" w:type="dxa"/>
        <w:jc w:val="left"/>
        <w:tblInd w:w="0" w:type="dxa"/>
        <w:tblLayout w:type="fixed"/>
        <w:tblCellMar>
          <w:top w:w="0" w:type="dxa"/>
          <w:left w:w="0" w:type="dxa"/>
          <w:bottom w:w="0" w:type="dxa"/>
          <w:right w:w="0" w:type="dxa"/>
        </w:tblCellMar>
      </w:tblPr>
      <w:tblGrid>
        <w:gridCol w:w="5165"/>
        <w:gridCol w:w="60"/>
        <w:gridCol w:w="140"/>
        <w:gridCol w:w="980"/>
        <w:gridCol w:w="95"/>
        <w:gridCol w:w="60"/>
        <w:gridCol w:w="140"/>
        <w:gridCol w:w="800"/>
        <w:gridCol w:w="110"/>
      </w:tblGrid>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Computed income tax expense at the statutory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1,220,664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229,786</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State and local income taxes, net of federal income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122,712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44,076</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Effect of other permanent differences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51,838</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Research and development credits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(48,391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Other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Total 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1,350,329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325,689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13 – INCOME TAXES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cumulative tax effect of significant items comprising our net deferred tax amount at the expected rate of 21% is as follows as of December 31, 2022 and 2021:</w:t>
      </w:r>
    </w:p>
    <w:p>
      <w:pPr>
        <w:pStyle w:val="TextBody"/>
        <w:bidi w:val="0"/>
        <w:spacing w:before="0" w:after="0"/>
        <w:ind w:left="0" w:right="0" w:hanging="0"/>
        <w:jc w:val="both"/>
        <w:rPr>
          <w:caps w:val="false"/>
          <w:smallCaps w:val="false"/>
        </w:rPr>
      </w:pPr>
      <w:r>
        <w:rPr>
          <w:caps w:val="false"/>
          <w:smallCaps w:val="false"/>
        </w:rPr>
        <w:t> </w:t>
      </w:r>
    </w:p>
    <w:tbl>
      <w:tblPr>
        <w:tblW w:w="6575" w:type="dxa"/>
        <w:jc w:val="left"/>
        <w:tblInd w:w="0" w:type="dxa"/>
        <w:tblLayout w:type="fixed"/>
        <w:tblCellMar>
          <w:top w:w="0" w:type="dxa"/>
          <w:left w:w="0" w:type="dxa"/>
          <w:bottom w:w="0" w:type="dxa"/>
          <w:right w:w="0" w:type="dxa"/>
        </w:tblCellMar>
      </w:tblPr>
      <w:tblGrid>
        <w:gridCol w:w="4220"/>
        <w:gridCol w:w="60"/>
        <w:gridCol w:w="140"/>
        <w:gridCol w:w="875"/>
        <w:gridCol w:w="95"/>
        <w:gridCol w:w="60"/>
        <w:gridCol w:w="140"/>
        <w:gridCol w:w="875"/>
        <w:gridCol w:w="110"/>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Deferred Tax 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Research and development credit carryovers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355,052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267,906</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Net operating loss carryovers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154,446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190,820</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ERC credit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123,232</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Accruals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104,721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66,109</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Lease liability  - operating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65,311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86,132</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15</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Total 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679,743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734,214</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(300,773</w:t>
            </w:r>
          </w:p>
        </w:tc>
        <w:tc>
          <w:tcPr>
            <w:tcW w:w="110" w:type="dxa"/>
            <w:tcBorders/>
            <w:shd w:fill="FFFFFF" w:val="clear"/>
            <w:vAlign w:val="center"/>
          </w:tcPr>
          <w:p>
            <w:pPr>
              <w:pStyle w:val="TableContents"/>
              <w:bidi w:val="0"/>
              <w:spacing w:before="0" w:after="283"/>
              <w:jc w:val="left"/>
              <w:rPr/>
            </w:pPr>
            <w:r>
              <w:rPr/>
              <w:t>)</w:t>
            </w:r>
          </w:p>
        </w:tc>
      </w:tr>
      <w:tr>
        <w:trPr/>
        <w:tc>
          <w:tcPr>
            <w:tcW w:w="4220" w:type="dxa"/>
            <w:tcBorders/>
            <w:shd w:fill="CCEEFF" w:val="clear"/>
            <w:vAlign w:val="center"/>
          </w:tcPr>
          <w:p>
            <w:pPr>
              <w:pStyle w:val="TableContents"/>
              <w:bidi w:val="0"/>
              <w:spacing w:before="0" w:after="283"/>
              <w:jc w:val="left"/>
              <w:rPr/>
            </w:pPr>
            <w:r>
              <w:rPr/>
              <w:t>Right of 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(57,960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(83,450</w:t>
            </w:r>
          </w:p>
        </w:tc>
        <w:tc>
          <w:tcPr>
            <w:tcW w:w="110" w:type="dxa"/>
            <w:tcBorders/>
            <w:shd w:fill="CCEEFF" w:val="clear"/>
            <w:vAlign w:val="center"/>
          </w:tcPr>
          <w:p>
            <w:pPr>
              <w:pStyle w:val="TableContents"/>
              <w:bidi w:val="0"/>
              <w:spacing w:before="0" w:after="283"/>
              <w:jc w:val="left"/>
              <w:rPr/>
            </w:pPr>
            <w:r>
              <w:rPr/>
              <w:t>)</w:t>
            </w:r>
          </w:p>
        </w:tc>
      </w:tr>
      <w:tr>
        <w:trPr/>
        <w:tc>
          <w:tcPr>
            <w:tcW w:w="422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(42,020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(25,607</w:t>
            </w:r>
          </w:p>
        </w:tc>
        <w:tc>
          <w:tcPr>
            <w:tcW w:w="110" w:type="dxa"/>
            <w:tcBorders/>
            <w:shd w:fill="FFFFFF" w:val="clear"/>
            <w:vAlign w:val="center"/>
          </w:tcPr>
          <w:p>
            <w:pPr>
              <w:pStyle w:val="TableContents"/>
              <w:bidi w:val="0"/>
              <w:spacing w:before="0" w:after="283"/>
              <w:jc w:val="left"/>
              <w:rPr/>
            </w:pPr>
            <w:r>
              <w:rPr/>
              <w:t>)</w:t>
            </w:r>
          </w:p>
        </w:tc>
      </w:tr>
      <w:tr>
        <w:trPr/>
        <w:tc>
          <w:tcPr>
            <w:tcW w:w="4220" w:type="dxa"/>
            <w:tcBorders/>
            <w:shd w:fill="CCEEFF" w:val="clear"/>
            <w:vAlign w:val="center"/>
          </w:tcPr>
          <w:p>
            <w:pPr>
              <w:pStyle w:val="TableContents"/>
              <w:bidi w:val="0"/>
              <w:spacing w:before="0" w:after="283"/>
              <w:jc w:val="left"/>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(12,111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(12,688</w:t>
            </w:r>
          </w:p>
        </w:tc>
        <w:tc>
          <w:tcPr>
            <w:tcW w:w="110" w:type="dxa"/>
            <w:tcBorders/>
            <w:shd w:fill="CCEEFF" w:val="clear"/>
            <w:vAlign w:val="center"/>
          </w:tcPr>
          <w:p>
            <w:pPr>
              <w:pStyle w:val="TableContents"/>
              <w:bidi w:val="0"/>
              <w:spacing w:before="0" w:after="283"/>
              <w:jc w:val="left"/>
              <w:rPr/>
            </w:pPr>
            <w:r>
              <w:rPr/>
              <w:t>)</w:t>
            </w:r>
          </w:p>
        </w:tc>
      </w:tr>
      <w:tr>
        <w:trPr/>
        <w:tc>
          <w:tcPr>
            <w:tcW w:w="4220" w:type="dxa"/>
            <w:tcBorders/>
            <w:shd w:fill="FFFFFF" w:val="clear"/>
            <w:vAlign w:val="center"/>
          </w:tcPr>
          <w:p>
            <w:pPr>
              <w:pStyle w:val="TableContents"/>
              <w:bidi w:val="0"/>
              <w:spacing w:before="0" w:after="283"/>
              <w:jc w:val="left"/>
              <w:rPr/>
            </w:pPr>
            <w:r>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(112,091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(422,518</w:t>
            </w:r>
          </w:p>
        </w:tc>
        <w:tc>
          <w:tcPr>
            <w:tcW w:w="110" w:type="dxa"/>
            <w:tcBorders/>
            <w:shd w:fill="FFFFFF" w:val="clear"/>
            <w:vAlign w:val="center"/>
          </w:tcPr>
          <w:p>
            <w:pPr>
              <w:pStyle w:val="TableContents"/>
              <w:bidi w:val="0"/>
              <w:spacing w:before="0" w:after="283"/>
              <w:jc w:val="left"/>
              <w:rPr/>
            </w:pPr>
            <w:r>
              <w:rPr/>
              <w:t>)</w:t>
            </w:r>
          </w:p>
        </w:tc>
      </w:tr>
      <w:tr>
        <w:trPr/>
        <w:tc>
          <w:tcPr>
            <w:tcW w:w="4220" w:type="dxa"/>
            <w:tcBorders/>
            <w:shd w:fill="CCEEFF" w:val="clear"/>
            <w:vAlign w:val="center"/>
          </w:tcPr>
          <w:p>
            <w:pPr>
              <w:pStyle w:val="TableContents"/>
              <w:bidi w:val="0"/>
              <w:spacing w:before="0" w:after="283"/>
              <w:jc w:val="left"/>
              <w:rPr/>
            </w:pPr>
            <w:r>
              <w:rPr/>
              <w:t>Net deferred tax asset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567,652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311,696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assesses the available positive and negative evidence to estimate if sufficient future taxable income will be generated to use the existing deferred tax assets. On the basis of this evaluation, management believes it is more likely than not that the Company will realize the benefits of its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believe that there are significant uncertain tax positions in 2021. There are no interest and penalties related to uncertain tax positions in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14 –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two of the Company’s customers represented approximately 58% of total sales. For the year ended December 31, 2021, three of the Company’s customers represented approximately 65% of total sales. Accounts receivable related to these customers was approximately 56% and 51% of total accounts receivable as of the years ended December 31, 2022 and 2021,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there were four vendors that represented approximately 79% of cost of sales. For the year ended December 31, 2021, three vendors represented approximately 66% of 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2022 AND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15 – GOVERNMENT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the Company qualified to receive Employee Retention Credits (ERC) which are funded from the Internal Revenue Service (IRS). The Company recognized $726,000 of other income related to performance requirements being met and costs being incurred in compliance with the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Small Business Administration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2021, the Company received full forgiveness for a loan from the U.S. Small Business Administration (“SBA”). According to the rules of the SBA, the Company is required to retain documentation for six years after the date the loan is forgiven or repaid in full, and permit authorized representatives of the SBA, including representatives of its Office of Inspector General, to access such files upon request. Should the SBA conduct such a review and reject all or some of the Company’s judgements pertaining to satisfying conditions of the loan, the Company may be required to adjust previously reported amounts and disclosures in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16 – BENEFIT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defined contribution 401(k) plan (the Plan) providing for matching contributions of 4%. Employees 21 years of age are eligible to participate in the Plan. The Company incurred expenses related to the matching contributions of $230,171 and $147,413 to the Plan for the years ended December 31, 2022 and 2021,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17 – RELATED-PARTY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2018, the Company entered into a data licensing agreement with one of the minority owners of the Company which expired July 2023. The agreement required payments based on prescription claims data that ranged from $750,000 to $950,000 per year. The related party also provided ad hoc data reporting to the Company which was contracted on an individual program basis. During the years ended December 31, 2022 and 2021, the Company incurred expenses of approximately $1,419,297 and $1,404,012. The Company had balances due to the related party totaling $699,526 and $579,750 at December 31, 2022 and 2021, respectively, which were included in accrued expenses on the accompanying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18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OptimizeRx Corporation acquired 100% of the outstanding shares of Healthy Offers, Inc. (d/b/a Medicx Health), a Nevada corporation. On October 24, 2023, a newly formed wholly-owned subsidiary of OptimizeRx Corporation consummated the merger with and into Medicx Health, with Medicx Health continuing as the surviving company and a wholly-owned subsidiary of OptimizeRx Corporation (the “Merger”). The aggregate merger consideration the Company paid to the securityholders of Medicx at the closing was $95,000,000, subject to certain customary post-acquisition purchase price adjustments.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4" w:name="ea191205ex99-3_optimizerx.htm"/>
      <w:bookmarkStart w:id="35" w:name="ksea191205ex993_optimizerx"/>
      <w:bookmarkEnd w:id="34"/>
      <w:bookmarkEnd w:id="35"/>
      <w:r>
        <w:rPr>
          <w:rFonts w:ascii="Times New Roman;Times;Serif" w:hAnsi="Times New Roman;Times;Serif"/>
          <w:b/>
          <w:i w:val="false"/>
          <w:caps w:val="false"/>
          <w:smallCaps w:val="false"/>
          <w:sz w:val="20"/>
        </w:rPr>
        <w:t>Exhibit 99.3</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AND SIX MONTHS ENDED JUNE 30, 2023 AND 2022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155"/>
        <w:gridCol w:w="9785"/>
      </w:tblGrid>
      <w:tr>
        <w:trPr/>
        <w:tc>
          <w:tcPr>
            <w:tcW w:w="155" w:type="dxa"/>
            <w:tcBorders/>
            <w:shd w:fill="CCEEFF" w:val="clear"/>
            <w:vAlign w:val="center"/>
          </w:tcPr>
          <w:p>
            <w:pPr>
              <w:pStyle w:val="TableContents"/>
              <w:bidi w:val="0"/>
              <w:spacing w:before="0" w:after="283"/>
              <w:jc w:val="center"/>
              <w:rPr/>
            </w:pPr>
            <w:r>
              <w:rPr/>
              <w:t>1</w:t>
            </w:r>
          </w:p>
        </w:tc>
        <w:tc>
          <w:tcPr>
            <w:tcW w:w="9785" w:type="dxa"/>
            <w:tcBorders/>
            <w:shd w:fill="CCEEFF" w:val="clear"/>
            <w:vAlign w:val="center"/>
          </w:tcPr>
          <w:p>
            <w:pPr>
              <w:pStyle w:val="TableContents"/>
              <w:bidi w:val="0"/>
              <w:spacing w:before="0" w:after="283"/>
              <w:jc w:val="left"/>
              <w:rPr/>
            </w:pPr>
            <w:hyperlink w:anchor="a_001">
              <w:r>
                <w:rPr>
                  <w:rStyle w:val="InternetLink"/>
                  <w:sz w:val="20"/>
                </w:rPr>
                <w:t>Balance Sheets as of June 30, 2023 and December 31, 2022 (unaudited);</w:t>
              </w:r>
            </w:hyperlink>
          </w:p>
        </w:tc>
      </w:tr>
      <w:tr>
        <w:trPr/>
        <w:tc>
          <w:tcPr>
            <w:tcW w:w="155" w:type="dxa"/>
            <w:tcBorders/>
            <w:shd w:fill="FFFFFF" w:val="clear"/>
            <w:vAlign w:val="center"/>
          </w:tcPr>
          <w:p>
            <w:pPr>
              <w:pStyle w:val="TableContents"/>
              <w:bidi w:val="0"/>
              <w:spacing w:before="0" w:after="283"/>
              <w:jc w:val="center"/>
              <w:rPr/>
            </w:pPr>
            <w:r>
              <w:rPr/>
              <w:t>2</w:t>
            </w:r>
          </w:p>
        </w:tc>
        <w:tc>
          <w:tcPr>
            <w:tcW w:w="9785" w:type="dxa"/>
            <w:tcBorders/>
            <w:shd w:fill="FFFFFF" w:val="clear"/>
            <w:vAlign w:val="center"/>
          </w:tcPr>
          <w:p>
            <w:pPr>
              <w:pStyle w:val="TableContents"/>
              <w:bidi w:val="0"/>
              <w:spacing w:before="0" w:after="283"/>
              <w:jc w:val="left"/>
              <w:rPr/>
            </w:pPr>
            <w:hyperlink w:anchor="a_002">
              <w:r>
                <w:rPr>
                  <w:rStyle w:val="InternetLink"/>
                  <w:sz w:val="20"/>
                </w:rPr>
                <w:t>Statements of Income for the three and six months ended June 30, 2023 and 2022 (unaudited);</w:t>
              </w:r>
            </w:hyperlink>
          </w:p>
        </w:tc>
      </w:tr>
      <w:tr>
        <w:trPr/>
        <w:tc>
          <w:tcPr>
            <w:tcW w:w="155" w:type="dxa"/>
            <w:tcBorders/>
            <w:shd w:fill="CCEEFF" w:val="clear"/>
            <w:vAlign w:val="center"/>
          </w:tcPr>
          <w:p>
            <w:pPr>
              <w:pStyle w:val="TableContents"/>
              <w:bidi w:val="0"/>
              <w:spacing w:before="0" w:after="283"/>
              <w:jc w:val="center"/>
              <w:rPr/>
            </w:pPr>
            <w:r>
              <w:rPr/>
              <w:t>3</w:t>
            </w:r>
          </w:p>
        </w:tc>
        <w:tc>
          <w:tcPr>
            <w:tcW w:w="9785" w:type="dxa"/>
            <w:tcBorders/>
            <w:shd w:fill="CCEEFF" w:val="clear"/>
            <w:vAlign w:val="center"/>
          </w:tcPr>
          <w:p>
            <w:pPr>
              <w:pStyle w:val="TableContents"/>
              <w:bidi w:val="0"/>
              <w:spacing w:before="0" w:after="283"/>
              <w:jc w:val="left"/>
              <w:rPr/>
            </w:pPr>
            <w:hyperlink w:anchor="a_003">
              <w:r>
                <w:rPr>
                  <w:rStyle w:val="InternetLink"/>
                  <w:sz w:val="20"/>
                </w:rPr>
                <w:t>Statements of Changes in Stockholders’ Equity for the three and six  months ended June 30, 2023 and 2022 (unaudited);</w:t>
              </w:r>
            </w:hyperlink>
          </w:p>
        </w:tc>
      </w:tr>
      <w:tr>
        <w:trPr/>
        <w:tc>
          <w:tcPr>
            <w:tcW w:w="155" w:type="dxa"/>
            <w:tcBorders/>
            <w:shd w:fill="FFFFFF" w:val="clear"/>
            <w:vAlign w:val="center"/>
          </w:tcPr>
          <w:p>
            <w:pPr>
              <w:pStyle w:val="TableContents"/>
              <w:bidi w:val="0"/>
              <w:spacing w:before="0" w:after="283"/>
              <w:jc w:val="center"/>
              <w:rPr/>
            </w:pPr>
            <w:r>
              <w:rPr/>
              <w:t>5</w:t>
            </w:r>
          </w:p>
        </w:tc>
        <w:tc>
          <w:tcPr>
            <w:tcW w:w="9785" w:type="dxa"/>
            <w:tcBorders/>
            <w:shd w:fill="FFFFFF" w:val="clear"/>
            <w:vAlign w:val="center"/>
          </w:tcPr>
          <w:p>
            <w:pPr>
              <w:pStyle w:val="TableContents"/>
              <w:bidi w:val="0"/>
              <w:spacing w:before="0" w:after="283"/>
              <w:jc w:val="left"/>
              <w:rPr/>
            </w:pPr>
            <w:hyperlink w:anchor="a_005">
              <w:r>
                <w:rPr>
                  <w:rStyle w:val="InternetLink"/>
                  <w:sz w:val="20"/>
                </w:rPr>
                <w:t>Statements of Cash Flows for the six months ended June 30, 2023 and 2022 (unaudited);</w:t>
              </w:r>
            </w:hyperlink>
          </w:p>
        </w:tc>
      </w:tr>
      <w:tr>
        <w:trPr/>
        <w:tc>
          <w:tcPr>
            <w:tcW w:w="155" w:type="dxa"/>
            <w:tcBorders/>
            <w:shd w:fill="CCEEFF" w:val="clear"/>
            <w:vAlign w:val="center"/>
          </w:tcPr>
          <w:p>
            <w:pPr>
              <w:pStyle w:val="TableContents"/>
              <w:bidi w:val="0"/>
              <w:spacing w:before="0" w:after="283"/>
              <w:jc w:val="center"/>
              <w:rPr/>
            </w:pPr>
            <w:r>
              <w:rPr/>
              <w:t>6</w:t>
            </w:r>
          </w:p>
        </w:tc>
        <w:tc>
          <w:tcPr>
            <w:tcW w:w="9785" w:type="dxa"/>
            <w:tcBorders/>
            <w:shd w:fill="CCEEFF" w:val="clear"/>
            <w:vAlign w:val="center"/>
          </w:tcPr>
          <w:p>
            <w:pPr>
              <w:pStyle w:val="TableContents"/>
              <w:bidi w:val="0"/>
              <w:spacing w:before="0" w:after="283"/>
              <w:jc w:val="left"/>
              <w:rPr/>
            </w:pPr>
            <w:hyperlink w:anchor="a_006">
              <w:r>
                <w:rPr>
                  <w:rStyle w:val="InternetLink"/>
                  <w:sz w:val="20"/>
                </w:rPr>
                <w:t>Notes to Financial Statements (unaudited).</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a_0011"/>
      <w:bookmarkEnd w:id="36"/>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 (UNAUDITED)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46"/>
        <w:gridCol w:w="60"/>
        <w:gridCol w:w="140"/>
        <w:gridCol w:w="1100"/>
        <w:gridCol w:w="95"/>
        <w:gridCol w:w="60"/>
        <w:gridCol w:w="159"/>
        <w:gridCol w:w="1256"/>
        <w:gridCol w:w="89"/>
      </w:tblGrid>
      <w:tr>
        <w:trPr/>
        <w:tc>
          <w:tcPr>
            <w:tcW w:w="72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2022</w:t>
            </w:r>
          </w:p>
        </w:tc>
        <w:tc>
          <w:tcPr>
            <w:tcW w:w="89" w:type="dxa"/>
            <w:tcBorders/>
            <w:vAlign w:val="center"/>
          </w:tcPr>
          <w:p>
            <w:pPr>
              <w:pStyle w:val="TableContents"/>
              <w:bidi w:val="0"/>
              <w:spacing w:before="0" w:after="283"/>
              <w:jc w:val="left"/>
              <w:rPr/>
            </w:pPr>
            <w:r>
              <w:rPr/>
              <w:t> </w:t>
            </w:r>
          </w:p>
        </w:tc>
      </w:tr>
      <w:tr>
        <w:trPr/>
        <w:tc>
          <w:tcPr>
            <w:tcW w:w="7246" w:type="dxa"/>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r>
      <w:tr>
        <w:trPr/>
        <w:tc>
          <w:tcPr>
            <w:tcW w:w="7246"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r>
      <w:tr>
        <w:trPr/>
        <w:tc>
          <w:tcPr>
            <w:tcW w:w="7246"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2,940,782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4,701,355</w:t>
            </w:r>
          </w:p>
        </w:tc>
        <w:tc>
          <w:tcPr>
            <w:tcW w:w="89" w:type="dxa"/>
            <w:tcBorders/>
            <w:shd w:fill="CCEEFF" w:val="clear"/>
            <w:vAlign w:val="center"/>
          </w:tcPr>
          <w:p>
            <w:pPr>
              <w:pStyle w:val="TableContents"/>
              <w:bidi w:val="0"/>
              <w:spacing w:before="0" w:after="283"/>
              <w:jc w:val="left"/>
              <w:rPr/>
            </w:pPr>
            <w:r>
              <w:rPr/>
              <w:t> </w:t>
            </w:r>
          </w:p>
        </w:tc>
      </w:tr>
      <w:tr>
        <w:trPr/>
        <w:tc>
          <w:tcPr>
            <w:tcW w:w="7246"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2,583,272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1,595,000</w:t>
            </w:r>
          </w:p>
        </w:tc>
        <w:tc>
          <w:tcPr>
            <w:tcW w:w="89" w:type="dxa"/>
            <w:tcBorders/>
            <w:shd w:fill="FFFFFF" w:val="clear"/>
            <w:vAlign w:val="center"/>
          </w:tcPr>
          <w:p>
            <w:pPr>
              <w:pStyle w:val="TableContents"/>
              <w:bidi w:val="0"/>
              <w:spacing w:before="0" w:after="283"/>
              <w:jc w:val="left"/>
              <w:rPr/>
            </w:pPr>
            <w:r>
              <w:rPr/>
              <w:t> </w:t>
            </w:r>
          </w:p>
        </w:tc>
      </w:tr>
      <w:tr>
        <w:trPr/>
        <w:tc>
          <w:tcPr>
            <w:tcW w:w="7246"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6,696,242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6,840,793</w:t>
            </w:r>
          </w:p>
        </w:tc>
        <w:tc>
          <w:tcPr>
            <w:tcW w:w="89" w:type="dxa"/>
            <w:tcBorders/>
            <w:shd w:fill="CCEEFF" w:val="clear"/>
            <w:vAlign w:val="center"/>
          </w:tcPr>
          <w:p>
            <w:pPr>
              <w:pStyle w:val="TableContents"/>
              <w:bidi w:val="0"/>
              <w:spacing w:before="0" w:after="283"/>
              <w:jc w:val="left"/>
              <w:rPr/>
            </w:pPr>
            <w:r>
              <w:rPr/>
              <w:t> </w:t>
            </w:r>
          </w:p>
        </w:tc>
      </w:tr>
      <w:tr>
        <w:trPr/>
        <w:tc>
          <w:tcPr>
            <w:tcW w:w="7246" w:type="dxa"/>
            <w:tcBorders/>
            <w:shd w:fill="FFFFFF" w:val="clear"/>
            <w:vAlign w:val="center"/>
          </w:tcPr>
          <w:p>
            <w:pPr>
              <w:pStyle w:val="TableContents"/>
              <w:bidi w:val="0"/>
              <w:spacing w:before="0" w:after="283"/>
              <w:jc w:val="left"/>
              <w:rPr/>
            </w:pPr>
            <w:r>
              <w:rPr/>
              <w:t>Prepaid expenses and other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519,097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179,952</w:t>
            </w:r>
          </w:p>
        </w:tc>
        <w:tc>
          <w:tcPr>
            <w:tcW w:w="89" w:type="dxa"/>
            <w:tcBorders/>
            <w:shd w:fill="FFFFFF" w:val="clear"/>
            <w:vAlign w:val="center"/>
          </w:tcPr>
          <w:p>
            <w:pPr>
              <w:pStyle w:val="TableContents"/>
              <w:bidi w:val="0"/>
              <w:spacing w:before="0" w:after="283"/>
              <w:jc w:val="left"/>
              <w:rPr/>
            </w:pPr>
            <w:r>
              <w:rPr/>
              <w:t> </w:t>
            </w:r>
          </w:p>
        </w:tc>
      </w:tr>
      <w:tr>
        <w:trPr/>
        <w:tc>
          <w:tcPr>
            <w:tcW w:w="7246" w:type="dxa"/>
            <w:tcBorders/>
            <w:shd w:fill="CCEEFF" w:val="clear"/>
            <w:vAlign w:val="center"/>
          </w:tcPr>
          <w:p>
            <w:pPr>
              <w:pStyle w:val="TableContents"/>
              <w:bidi w:val="0"/>
              <w:spacing w:before="0" w:after="283"/>
              <w:jc w:val="left"/>
              <w:rPr/>
            </w:pPr>
            <w:r>
              <w:rPr/>
              <w:t>Employee retention credit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212,251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712,779</w:t>
            </w:r>
          </w:p>
        </w:tc>
        <w:tc>
          <w:tcPr>
            <w:tcW w:w="89" w:type="dxa"/>
            <w:tcBorders/>
            <w:shd w:fill="CCEEFF" w:val="clear"/>
            <w:vAlign w:val="center"/>
          </w:tcPr>
          <w:p>
            <w:pPr>
              <w:pStyle w:val="TableContents"/>
              <w:bidi w:val="0"/>
              <w:spacing w:before="0" w:after="283"/>
              <w:jc w:val="left"/>
              <w:rPr/>
            </w:pPr>
            <w:r>
              <w:rPr/>
              <w:t> </w:t>
            </w:r>
          </w:p>
        </w:tc>
      </w:tr>
      <w:tr>
        <w:trPr/>
        <w:tc>
          <w:tcPr>
            <w:tcW w:w="7246" w:type="dxa"/>
            <w:tcBorders/>
            <w:shd w:fill="FFFFFF" w:val="clear"/>
            <w:vAlign w:val="center"/>
          </w:tcPr>
          <w:p>
            <w:pPr>
              <w:pStyle w:val="TableContents"/>
              <w:bidi w:val="0"/>
              <w:spacing w:before="0" w:after="283"/>
              <w:jc w:val="left"/>
              <w:rPr/>
            </w:pPr>
            <w:r>
              <w:rPr/>
              <w:t>Income tax receivable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256,890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jc w:val="left"/>
              <w:rPr/>
            </w:pPr>
            <w:r>
              <w:rPr/>
              <w:t> </w:t>
            </w:r>
          </w:p>
        </w:tc>
      </w:tr>
      <w:tr>
        <w:trPr/>
        <w:tc>
          <w:tcPr>
            <w:tcW w:w="7246"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13,208,534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14,029,879</w:t>
            </w:r>
          </w:p>
        </w:tc>
        <w:tc>
          <w:tcPr>
            <w:tcW w:w="89" w:type="dxa"/>
            <w:tcBorders/>
            <w:shd w:fill="CCEEFF" w:val="clear"/>
            <w:vAlign w:val="center"/>
          </w:tcPr>
          <w:p>
            <w:pPr>
              <w:pStyle w:val="TableContents"/>
              <w:bidi w:val="0"/>
              <w:spacing w:before="0" w:after="283"/>
              <w:jc w:val="left"/>
              <w:rPr/>
            </w:pPr>
            <w:r>
              <w:rPr/>
              <w:t> </w:t>
            </w:r>
          </w:p>
        </w:tc>
      </w:tr>
      <w:tr>
        <w:trPr/>
        <w:tc>
          <w:tcPr>
            <w:tcW w:w="7246"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49,092</w:t>
            </w:r>
          </w:p>
        </w:tc>
        <w:tc>
          <w:tcPr>
            <w:tcW w:w="89" w:type="dxa"/>
            <w:tcBorders/>
            <w:shd w:fill="FFFFFF" w:val="clear"/>
            <w:vAlign w:val="center"/>
          </w:tcPr>
          <w:p>
            <w:pPr>
              <w:pStyle w:val="TableContents"/>
              <w:bidi w:val="0"/>
              <w:spacing w:before="0" w:after="283"/>
              <w:jc w:val="left"/>
              <w:rPr/>
            </w:pPr>
            <w:r>
              <w:rPr/>
              <w:t> </w:t>
            </w:r>
          </w:p>
        </w:tc>
      </w:tr>
      <w:tr>
        <w:trPr/>
        <w:tc>
          <w:tcPr>
            <w:tcW w:w="7246"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7246" w:type="dxa"/>
            <w:tcBorders/>
            <w:shd w:fill="FFFFFF" w:val="clear"/>
            <w:vAlign w:val="center"/>
          </w:tcPr>
          <w:p>
            <w:pPr>
              <w:pStyle w:val="TableContents"/>
              <w:bidi w:val="0"/>
              <w:spacing w:before="0" w:after="283"/>
              <w:jc w:val="left"/>
              <w:rPr/>
            </w:pPr>
            <w:r>
              <w:rPr/>
              <w:t>Net deferred tax asset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567,652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567,652</w:t>
            </w:r>
          </w:p>
        </w:tc>
        <w:tc>
          <w:tcPr>
            <w:tcW w:w="89" w:type="dxa"/>
            <w:tcBorders/>
            <w:shd w:fill="FFFFFF" w:val="clear"/>
            <w:vAlign w:val="center"/>
          </w:tcPr>
          <w:p>
            <w:pPr>
              <w:pStyle w:val="TableContents"/>
              <w:bidi w:val="0"/>
              <w:spacing w:before="0" w:after="283"/>
              <w:jc w:val="left"/>
              <w:rPr/>
            </w:pPr>
            <w:r>
              <w:rPr/>
              <w:t> </w:t>
            </w:r>
          </w:p>
        </w:tc>
      </w:tr>
      <w:tr>
        <w:trPr/>
        <w:tc>
          <w:tcPr>
            <w:tcW w:w="7246" w:type="dxa"/>
            <w:tcBorders/>
            <w:shd w:fill="CCEEFF" w:val="clear"/>
            <w:vAlign w:val="center"/>
          </w:tcPr>
          <w:p>
            <w:pPr>
              <w:pStyle w:val="TableContents"/>
              <w:bidi w:val="0"/>
              <w:spacing w:before="0" w:after="283"/>
              <w:jc w:val="left"/>
              <w:rPr/>
            </w:pPr>
            <w:r>
              <w:rPr/>
              <w:t>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1,759,024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2,486,103</w:t>
            </w:r>
          </w:p>
        </w:tc>
        <w:tc>
          <w:tcPr>
            <w:tcW w:w="89" w:type="dxa"/>
            <w:tcBorders/>
            <w:shd w:fill="CCEEFF" w:val="clear"/>
            <w:vAlign w:val="center"/>
          </w:tcPr>
          <w:p>
            <w:pPr>
              <w:pStyle w:val="TableContents"/>
              <w:bidi w:val="0"/>
              <w:spacing w:before="0" w:after="283"/>
              <w:jc w:val="left"/>
              <w:rPr/>
            </w:pPr>
            <w:r>
              <w:rPr/>
              <w:t> </w:t>
            </w:r>
          </w:p>
        </w:tc>
      </w:tr>
      <w:tr>
        <w:trPr/>
        <w:tc>
          <w:tcPr>
            <w:tcW w:w="7246"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1,268,146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1,241,786</w:t>
            </w:r>
          </w:p>
        </w:tc>
        <w:tc>
          <w:tcPr>
            <w:tcW w:w="89" w:type="dxa"/>
            <w:tcBorders/>
            <w:shd w:fill="FFFFFF" w:val="clear"/>
            <w:vAlign w:val="center"/>
          </w:tcPr>
          <w:p>
            <w:pPr>
              <w:pStyle w:val="TableContents"/>
              <w:bidi w:val="0"/>
              <w:spacing w:before="0" w:after="283"/>
              <w:jc w:val="left"/>
              <w:rPr/>
            </w:pPr>
            <w:r>
              <w:rPr/>
              <w:t> </w:t>
            </w:r>
          </w:p>
        </w:tc>
      </w:tr>
      <w:tr>
        <w:trPr/>
        <w:tc>
          <w:tcPr>
            <w:tcW w:w="7246" w:type="dxa"/>
            <w:tcBorders/>
            <w:shd w:fill="CCEEFF" w:val="clear"/>
            <w:vAlign w:val="center"/>
          </w:tcPr>
          <w:p>
            <w:pPr>
              <w:pStyle w:val="TableContents"/>
              <w:bidi w:val="0"/>
              <w:spacing w:before="0" w:after="283"/>
              <w:jc w:val="left"/>
              <w:rPr/>
            </w:pPr>
            <w:r>
              <w:rPr/>
              <w:t>Operating 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184,254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234,943</w:t>
            </w:r>
          </w:p>
        </w:tc>
        <w:tc>
          <w:tcPr>
            <w:tcW w:w="89" w:type="dxa"/>
            <w:tcBorders/>
            <w:shd w:fill="CCEEFF" w:val="clear"/>
            <w:vAlign w:val="center"/>
          </w:tcPr>
          <w:p>
            <w:pPr>
              <w:pStyle w:val="TableContents"/>
              <w:bidi w:val="0"/>
              <w:spacing w:before="0" w:after="283"/>
              <w:jc w:val="left"/>
              <w:rPr/>
            </w:pPr>
            <w:r>
              <w:rPr/>
              <w:t> </w:t>
            </w:r>
          </w:p>
        </w:tc>
      </w:tr>
      <w:tr>
        <w:trPr/>
        <w:tc>
          <w:tcPr>
            <w:tcW w:w="7246"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9,728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11,086</w:t>
            </w:r>
          </w:p>
        </w:tc>
        <w:tc>
          <w:tcPr>
            <w:tcW w:w="89" w:type="dxa"/>
            <w:tcBorders/>
            <w:shd w:fill="FFFFFF" w:val="clear"/>
            <w:vAlign w:val="center"/>
          </w:tcPr>
          <w:p>
            <w:pPr>
              <w:pStyle w:val="TableContents"/>
              <w:bidi w:val="0"/>
              <w:spacing w:before="0" w:after="283"/>
              <w:jc w:val="left"/>
              <w:rPr/>
            </w:pPr>
            <w:r>
              <w:rPr/>
              <w:t> </w:t>
            </w:r>
          </w:p>
        </w:tc>
      </w:tr>
      <w:tr>
        <w:trPr/>
        <w:tc>
          <w:tcPr>
            <w:tcW w:w="7246" w:type="dxa"/>
            <w:tcBorders/>
            <w:shd w:fill="CCEEFF" w:val="clear"/>
            <w:vAlign w:val="center"/>
          </w:tcPr>
          <w:p>
            <w:pPr>
              <w:pStyle w:val="TableContents"/>
              <w:bidi w:val="0"/>
              <w:spacing w:before="0" w:after="283"/>
              <w:jc w:val="left"/>
              <w:rPr/>
            </w:pPr>
            <w:r>
              <w:rPr/>
              <w:t>Total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3,788,804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4,541,570</w:t>
            </w:r>
          </w:p>
        </w:tc>
        <w:tc>
          <w:tcPr>
            <w:tcW w:w="89" w:type="dxa"/>
            <w:tcBorders/>
            <w:shd w:fill="CCEEFF" w:val="clear"/>
            <w:vAlign w:val="center"/>
          </w:tcPr>
          <w:p>
            <w:pPr>
              <w:pStyle w:val="TableContents"/>
              <w:bidi w:val="0"/>
              <w:spacing w:before="0" w:after="283"/>
              <w:jc w:val="left"/>
              <w:rPr/>
            </w:pPr>
            <w:r>
              <w:rPr/>
              <w:t> </w:t>
            </w:r>
          </w:p>
        </w:tc>
      </w:tr>
      <w:tr>
        <w:trPr/>
        <w:tc>
          <w:tcPr>
            <w:tcW w:w="7246"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17,036,021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pPr>
            <w:r>
              <w:rPr/>
              <w:t>18,620,541</w:t>
            </w:r>
          </w:p>
        </w:tc>
        <w:tc>
          <w:tcPr>
            <w:tcW w:w="89" w:type="dxa"/>
            <w:tcBorders/>
            <w:shd w:fill="FFFFFF" w:val="clear"/>
            <w:vAlign w:val="center"/>
          </w:tcPr>
          <w:p>
            <w:pPr>
              <w:pStyle w:val="TableContents"/>
              <w:bidi w:val="0"/>
              <w:spacing w:before="0" w:after="283"/>
              <w:jc w:val="left"/>
              <w:rPr/>
            </w:pPr>
            <w:r>
              <w:rPr/>
              <w:t> </w:t>
            </w:r>
          </w:p>
        </w:tc>
      </w:tr>
      <w:tr>
        <w:trPr/>
        <w:tc>
          <w:tcPr>
            <w:tcW w:w="72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7246" w:type="dxa"/>
            <w:tcBorders/>
            <w:shd w:fill="FFFFFF" w:val="clear"/>
            <w:vAlign w:val="center"/>
          </w:tcPr>
          <w:p>
            <w:pPr>
              <w:pStyle w:val="TableContents"/>
              <w:bidi w:val="0"/>
              <w:spacing w:before="0" w:after="283"/>
              <w:jc w:val="center"/>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7246"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7246" w:type="dxa"/>
            <w:tcBorders/>
            <w:shd w:fill="FFFFFF" w:val="clear"/>
            <w:vAlign w:val="center"/>
          </w:tcPr>
          <w:p>
            <w:pPr>
              <w:pStyle w:val="TableContents"/>
              <w:bidi w:val="0"/>
              <w:spacing w:before="0" w:after="283"/>
              <w:jc w:val="left"/>
              <w:rPr/>
            </w:pPr>
            <w:r>
              <w:rPr/>
              <w:t>Accounts payable – trade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1,242,672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1256" w:type="dxa"/>
            <w:tcBorders/>
            <w:shd w:fill="FFFFFF" w:val="clear"/>
            <w:vAlign w:val="center"/>
          </w:tcPr>
          <w:p>
            <w:pPr>
              <w:pStyle w:val="TableContents"/>
              <w:bidi w:val="0"/>
              <w:spacing w:before="0" w:after="283"/>
              <w:jc w:val="right"/>
              <w:rPr/>
            </w:pPr>
            <w:r>
              <w:rPr/>
              <w:t>2,460,803</w:t>
            </w:r>
          </w:p>
        </w:tc>
        <w:tc>
          <w:tcPr>
            <w:tcW w:w="89" w:type="dxa"/>
            <w:tcBorders/>
            <w:shd w:fill="FFFFFF" w:val="clear"/>
            <w:vAlign w:val="center"/>
          </w:tcPr>
          <w:p>
            <w:pPr>
              <w:pStyle w:val="TableContents"/>
              <w:bidi w:val="0"/>
              <w:spacing w:before="0" w:after="283"/>
              <w:jc w:val="left"/>
              <w:rPr/>
            </w:pPr>
            <w:r>
              <w:rPr/>
              <w:t> </w:t>
            </w:r>
          </w:p>
        </w:tc>
      </w:tr>
      <w:tr>
        <w:trPr/>
        <w:tc>
          <w:tcPr>
            <w:tcW w:w="7246"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2,753,214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2,813,961</w:t>
            </w:r>
          </w:p>
        </w:tc>
        <w:tc>
          <w:tcPr>
            <w:tcW w:w="89" w:type="dxa"/>
            <w:tcBorders/>
            <w:shd w:fill="CCEEFF" w:val="clear"/>
            <w:vAlign w:val="center"/>
          </w:tcPr>
          <w:p>
            <w:pPr>
              <w:pStyle w:val="TableContents"/>
              <w:bidi w:val="0"/>
              <w:spacing w:before="0" w:after="283"/>
              <w:jc w:val="left"/>
              <w:rPr/>
            </w:pPr>
            <w:r>
              <w:rPr/>
              <w:t> </w:t>
            </w:r>
          </w:p>
        </w:tc>
      </w:tr>
      <w:tr>
        <w:trPr/>
        <w:tc>
          <w:tcPr>
            <w:tcW w:w="7246" w:type="dxa"/>
            <w:tcBorders/>
            <w:shd w:fill="FFFFFF" w:val="clear"/>
            <w:vAlign w:val="center"/>
          </w:tcPr>
          <w:p>
            <w:pPr>
              <w:pStyle w:val="TableContents"/>
              <w:bidi w:val="0"/>
              <w:spacing w:before="0" w:after="283"/>
              <w:jc w:val="left"/>
              <w:rPr/>
            </w:pPr>
            <w:r>
              <w:rPr/>
              <w:t>Income tax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437,725</w:t>
            </w:r>
          </w:p>
        </w:tc>
        <w:tc>
          <w:tcPr>
            <w:tcW w:w="89" w:type="dxa"/>
            <w:tcBorders/>
            <w:shd w:fill="FFFFFF" w:val="clear"/>
            <w:vAlign w:val="center"/>
          </w:tcPr>
          <w:p>
            <w:pPr>
              <w:pStyle w:val="TableContents"/>
              <w:bidi w:val="0"/>
              <w:spacing w:before="0" w:after="283"/>
              <w:jc w:val="left"/>
              <w:rPr/>
            </w:pPr>
            <w:r>
              <w:rPr/>
              <w:t> </w:t>
            </w:r>
          </w:p>
        </w:tc>
      </w:tr>
      <w:tr>
        <w:trPr/>
        <w:tc>
          <w:tcPr>
            <w:tcW w:w="7246"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270,000</w:t>
            </w:r>
          </w:p>
        </w:tc>
        <w:tc>
          <w:tcPr>
            <w:tcW w:w="89" w:type="dxa"/>
            <w:tcBorders/>
            <w:shd w:fill="CCEEFF" w:val="clear"/>
            <w:vAlign w:val="center"/>
          </w:tcPr>
          <w:p>
            <w:pPr>
              <w:pStyle w:val="TableContents"/>
              <w:bidi w:val="0"/>
              <w:spacing w:before="0" w:after="283"/>
              <w:jc w:val="left"/>
              <w:rPr/>
            </w:pPr>
            <w:r>
              <w:rPr/>
              <w:t> </w:t>
            </w:r>
          </w:p>
        </w:tc>
      </w:tr>
      <w:tr>
        <w:trPr/>
        <w:tc>
          <w:tcPr>
            <w:tcW w:w="7246" w:type="dxa"/>
            <w:tcBorders/>
            <w:shd w:fill="FFFFFF" w:val="clear"/>
            <w:vAlign w:val="center"/>
          </w:tcPr>
          <w:p>
            <w:pPr>
              <w:pStyle w:val="TableContents"/>
              <w:bidi w:val="0"/>
              <w:spacing w:before="0" w:after="283"/>
              <w:jc w:val="left"/>
              <w:rPr/>
            </w:pPr>
            <w:r>
              <w:rPr/>
              <w:t>Current portion of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113,384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113,484</w:t>
            </w:r>
          </w:p>
        </w:tc>
        <w:tc>
          <w:tcPr>
            <w:tcW w:w="89" w:type="dxa"/>
            <w:tcBorders/>
            <w:shd w:fill="FFFFFF" w:val="clear"/>
            <w:vAlign w:val="center"/>
          </w:tcPr>
          <w:p>
            <w:pPr>
              <w:pStyle w:val="TableContents"/>
              <w:bidi w:val="0"/>
              <w:spacing w:before="0" w:after="283"/>
              <w:jc w:val="left"/>
              <w:rPr/>
            </w:pPr>
            <w:r>
              <w:rPr/>
              <w:t> </w:t>
            </w:r>
          </w:p>
        </w:tc>
      </w:tr>
      <w:tr>
        <w:trPr/>
        <w:tc>
          <w:tcPr>
            <w:tcW w:w="7246"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4,269,601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6,095,973</w:t>
            </w:r>
          </w:p>
        </w:tc>
        <w:tc>
          <w:tcPr>
            <w:tcW w:w="89" w:type="dxa"/>
            <w:tcBorders/>
            <w:shd w:fill="CCEEFF" w:val="clear"/>
            <w:vAlign w:val="center"/>
          </w:tcPr>
          <w:p>
            <w:pPr>
              <w:pStyle w:val="TableContents"/>
              <w:bidi w:val="0"/>
              <w:spacing w:before="0" w:after="283"/>
              <w:jc w:val="left"/>
              <w:rPr/>
            </w:pPr>
            <w:r>
              <w:rPr/>
              <w:t> </w:t>
            </w:r>
          </w:p>
        </w:tc>
      </w:tr>
      <w:tr>
        <w:trPr/>
        <w:tc>
          <w:tcPr>
            <w:tcW w:w="7246" w:type="dxa"/>
            <w:tcBorders/>
            <w:shd w:fill="FFFFFF" w:val="clear"/>
            <w:vAlign w:val="center"/>
          </w:tcPr>
          <w:p>
            <w:pPr>
              <w:pStyle w:val="TableContents"/>
              <w:bidi w:val="0"/>
              <w:spacing w:before="0" w:after="283"/>
              <w:jc w:val="left"/>
              <w:rPr/>
            </w:pPr>
            <w:r>
              <w:rPr/>
              <w:t>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7246" w:type="dxa"/>
            <w:tcBorders/>
            <w:shd w:fill="CCEEFF" w:val="clear"/>
            <w:vAlign w:val="center"/>
          </w:tcPr>
          <w:p>
            <w:pPr>
              <w:pStyle w:val="TableContents"/>
              <w:bidi w:val="0"/>
              <w:spacing w:before="0" w:after="283"/>
              <w:jc w:val="left"/>
              <w:rPr/>
            </w:pPr>
            <w:r>
              <w:rPr/>
              <w:t>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95,630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151,256</w:t>
            </w:r>
          </w:p>
        </w:tc>
        <w:tc>
          <w:tcPr>
            <w:tcW w:w="89" w:type="dxa"/>
            <w:tcBorders/>
            <w:shd w:fill="CCEEFF" w:val="clear"/>
            <w:vAlign w:val="center"/>
          </w:tcPr>
          <w:p>
            <w:pPr>
              <w:pStyle w:val="TableContents"/>
              <w:bidi w:val="0"/>
              <w:spacing w:before="0" w:after="283"/>
              <w:jc w:val="left"/>
              <w:rPr/>
            </w:pPr>
            <w:r>
              <w:rPr/>
              <w:t> </w:t>
            </w:r>
          </w:p>
        </w:tc>
      </w:tr>
      <w:tr>
        <w:trPr/>
        <w:tc>
          <w:tcPr>
            <w:tcW w:w="7246"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4,365,231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6,247,229</w:t>
            </w:r>
          </w:p>
        </w:tc>
        <w:tc>
          <w:tcPr>
            <w:tcW w:w="89" w:type="dxa"/>
            <w:tcBorders/>
            <w:shd w:fill="FFFFFF" w:val="clear"/>
            <w:vAlign w:val="center"/>
          </w:tcPr>
          <w:p>
            <w:pPr>
              <w:pStyle w:val="TableContents"/>
              <w:bidi w:val="0"/>
              <w:spacing w:before="0" w:after="283"/>
              <w:jc w:val="left"/>
              <w:rPr/>
            </w:pPr>
            <w:r>
              <w:rPr/>
              <w:t> </w:t>
            </w:r>
          </w:p>
        </w:tc>
      </w:tr>
      <w:tr>
        <w:trPr/>
        <w:tc>
          <w:tcPr>
            <w:tcW w:w="7246"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246" w:type="dxa"/>
            <w:tcBorders/>
            <w:shd w:fill="FFFFFF" w:val="clear"/>
            <w:vAlign w:val="center"/>
          </w:tcPr>
          <w:p>
            <w:pPr>
              <w:pStyle w:val="TableContents"/>
              <w:bidi w:val="0"/>
              <w:spacing w:before="0" w:after="283"/>
              <w:jc w:val="left"/>
              <w:rPr/>
            </w:pPr>
            <w:r>
              <w:rPr/>
              <w:t>Preferred stock, Series A convertible, $0.001 par value, 10,000,000 shares authorized, 166,667 issued and outstanding at June 30, 2023 and December 31, 2022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250</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246" w:type="dxa"/>
            <w:tcBorders/>
            <w:shd w:fill="CCEEFF" w:val="clear"/>
            <w:vAlign w:val="center"/>
          </w:tcPr>
          <w:p>
            <w:pPr>
              <w:pStyle w:val="TableContents"/>
              <w:bidi w:val="0"/>
              <w:spacing w:before="0" w:after="283"/>
              <w:jc w:val="left"/>
              <w:rPr/>
            </w:pPr>
            <w:r>
              <w:rPr/>
              <w:t>Common stock, $0.001 par value, 20,000,000 shares authorized, 9,951,000 shares issued and outstanding at June 30, 2023 and December 31, 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9,951</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246" w:type="dxa"/>
            <w:tcBorders/>
            <w:shd w:fill="FFFFFF" w:val="clear"/>
            <w:vAlign w:val="center"/>
          </w:tcPr>
          <w:p>
            <w:pPr>
              <w:pStyle w:val="TableContents"/>
              <w:bidi w:val="0"/>
              <w:spacing w:before="0" w:after="283"/>
              <w:jc w:val="left"/>
              <w:rPr/>
            </w:pPr>
            <w:r>
              <w:rPr/>
              <w:t>Treasury Stock, $0.001 par value, 25,000 shares held on June 30, 2023 and December 31, 2022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(25</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7246" w:type="dxa"/>
            <w:tcBorders/>
            <w:shd w:fill="CCEEFF" w:val="clear"/>
            <w:vAlign w:val="center"/>
          </w:tcPr>
          <w:p>
            <w:pPr>
              <w:pStyle w:val="TableContents"/>
              <w:bidi w:val="0"/>
              <w:spacing w:before="0" w:after="283"/>
              <w:jc w:val="left"/>
              <w:rPr/>
            </w:pPr>
            <w:r>
              <w:rPr/>
              <w:t>Additional paid-in-capital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3,099,627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2,895,929</w:t>
            </w:r>
          </w:p>
        </w:tc>
        <w:tc>
          <w:tcPr>
            <w:tcW w:w="89" w:type="dxa"/>
            <w:tcBorders/>
            <w:shd w:fill="CCEEFF" w:val="clear"/>
            <w:vAlign w:val="center"/>
          </w:tcPr>
          <w:p>
            <w:pPr>
              <w:pStyle w:val="TableContents"/>
              <w:bidi w:val="0"/>
              <w:spacing w:before="0" w:after="283"/>
              <w:jc w:val="left"/>
              <w:rPr/>
            </w:pPr>
            <w:r>
              <w:rPr/>
              <w:t> </w:t>
            </w:r>
          </w:p>
        </w:tc>
      </w:tr>
      <w:tr>
        <w:trPr/>
        <w:tc>
          <w:tcPr>
            <w:tcW w:w="7246"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9,560,987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9,467,207</w:t>
            </w:r>
          </w:p>
        </w:tc>
        <w:tc>
          <w:tcPr>
            <w:tcW w:w="89" w:type="dxa"/>
            <w:tcBorders/>
            <w:shd w:fill="FFFFFF" w:val="clear"/>
            <w:vAlign w:val="center"/>
          </w:tcPr>
          <w:p>
            <w:pPr>
              <w:pStyle w:val="TableContents"/>
              <w:bidi w:val="0"/>
              <w:spacing w:before="0" w:after="283"/>
              <w:jc w:val="left"/>
              <w:rPr/>
            </w:pPr>
            <w:r>
              <w:rPr/>
              <w:t> </w:t>
            </w:r>
          </w:p>
        </w:tc>
      </w:tr>
      <w:tr>
        <w:trPr/>
        <w:tc>
          <w:tcPr>
            <w:tcW w:w="7246"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12,670,790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12,373,312</w:t>
            </w:r>
          </w:p>
        </w:tc>
        <w:tc>
          <w:tcPr>
            <w:tcW w:w="89" w:type="dxa"/>
            <w:tcBorders/>
            <w:shd w:fill="CCEEFF" w:val="clear"/>
            <w:vAlign w:val="center"/>
          </w:tcPr>
          <w:p>
            <w:pPr>
              <w:pStyle w:val="TableContents"/>
              <w:bidi w:val="0"/>
              <w:spacing w:before="0" w:after="283"/>
              <w:jc w:val="left"/>
              <w:rPr/>
            </w:pPr>
            <w:r>
              <w:rPr/>
              <w:t> </w:t>
            </w:r>
          </w:p>
        </w:tc>
      </w:tr>
      <w:tr>
        <w:trPr/>
        <w:tc>
          <w:tcPr>
            <w:tcW w:w="7246" w:type="dxa"/>
            <w:tcBorders/>
            <w:shd w:fill="FFFFFF" w:val="clear"/>
            <w:vAlign w:val="center"/>
          </w:tcPr>
          <w:p>
            <w:pPr>
              <w:pStyle w:val="TableContents"/>
              <w:bidi w:val="0"/>
              <w:spacing w:before="0" w:after="283"/>
              <w:jc w:val="left"/>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17,036,021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pPr>
            <w:r>
              <w:rPr/>
              <w:t>18,620,541</w:t>
            </w:r>
          </w:p>
        </w:tc>
        <w:tc>
          <w:tcPr>
            <w:tcW w:w="8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a_0021"/>
      <w:bookmarkEnd w:id="37"/>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INCOME (UNAUDITED)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37"/>
        <w:gridCol w:w="60"/>
        <w:gridCol w:w="140"/>
        <w:gridCol w:w="980"/>
        <w:gridCol w:w="60"/>
        <w:gridCol w:w="60"/>
        <w:gridCol w:w="140"/>
        <w:gridCol w:w="980"/>
        <w:gridCol w:w="95"/>
        <w:gridCol w:w="60"/>
        <w:gridCol w:w="140"/>
        <w:gridCol w:w="1100"/>
        <w:gridCol w:w="60"/>
        <w:gridCol w:w="60"/>
        <w:gridCol w:w="140"/>
        <w:gridCol w:w="1100"/>
        <w:gridCol w:w="93"/>
      </w:tblGrid>
      <w:tr>
        <w:trPr/>
        <w:tc>
          <w:tcPr>
            <w:tcW w:w="493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six months ended </w:t>
              <w:br/>
              <w:t>June 30,</w:t>
            </w:r>
          </w:p>
        </w:tc>
        <w:tc>
          <w:tcPr>
            <w:tcW w:w="93" w:type="dxa"/>
            <w:tcBorders/>
            <w:vAlign w:val="center"/>
          </w:tcPr>
          <w:p>
            <w:pPr>
              <w:pStyle w:val="TableContents"/>
              <w:bidi w:val="0"/>
              <w:spacing w:before="0" w:after="283"/>
              <w:ind w:left="0" w:right="0" w:hanging="180"/>
              <w:jc w:val="left"/>
              <w:rPr/>
            </w:pPr>
            <w:r>
              <w:rPr/>
              <w:t> </w:t>
            </w:r>
          </w:p>
        </w:tc>
      </w:tr>
      <w:tr>
        <w:trPr/>
        <w:tc>
          <w:tcPr>
            <w:tcW w:w="49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3" w:type="dxa"/>
            <w:tcBorders/>
            <w:vAlign w:val="center"/>
          </w:tcPr>
          <w:p>
            <w:pPr>
              <w:pStyle w:val="TableContents"/>
              <w:bidi w:val="0"/>
              <w:spacing w:before="0" w:after="283"/>
              <w:ind w:left="0" w:right="0" w:hanging="180"/>
              <w:jc w:val="left"/>
              <w:rPr/>
            </w:pPr>
            <w:r>
              <w:rPr/>
              <w:t> </w:t>
            </w:r>
          </w:p>
        </w:tc>
      </w:tr>
      <w:tr>
        <w:trPr/>
        <w:tc>
          <w:tcPr>
            <w:tcW w:w="49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180"/>
              <w:jc w:val="left"/>
              <w:rPr/>
            </w:pPr>
            <w:r>
              <w:rPr/>
              <w:t> </w:t>
            </w:r>
          </w:p>
        </w:tc>
      </w:tr>
      <w:tr>
        <w:trPr/>
        <w:tc>
          <w:tcPr>
            <w:tcW w:w="4937"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8,590,206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5,832,473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16,618,317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11,006,016</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937" w:type="dxa"/>
            <w:tcBorders/>
            <w:shd w:fill="FFFFFF" w:val="clear"/>
            <w:vAlign w:val="center"/>
          </w:tcPr>
          <w:p>
            <w:pPr>
              <w:pStyle w:val="TableContents"/>
              <w:bidi w:val="0"/>
              <w:spacing w:before="0" w:after="283"/>
              <w:jc w:val="left"/>
              <w:rPr/>
            </w:pPr>
            <w:r>
              <w:rPr/>
              <w:t>Cost of revenues, exclusive of depreciation and amortization presented separately below</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3,413,821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2,289,705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7,308,166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4,659,471</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937"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5,176,385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3,542,768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9,310,151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6,346,545</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9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937"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937"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3,425,420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2,441,950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6,357,180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4,403,073</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937" w:type="dxa"/>
            <w:tcBorders/>
            <w:shd w:fill="CCEEFF" w:val="clear"/>
            <w:vAlign w:val="center"/>
          </w:tcPr>
          <w:p>
            <w:pPr>
              <w:pStyle w:val="TableContents"/>
              <w:bidi w:val="0"/>
              <w:spacing w:before="0" w:after="283"/>
              <w:jc w:val="left"/>
              <w:rPr/>
            </w:pPr>
            <w:r>
              <w:rPr/>
              <w:t>Depreciation, amortization, and noncash lease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95,600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67,390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196,739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134,634</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937"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3,521,020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2,509,340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6,553,919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4,537,707</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937" w:type="dxa"/>
            <w:tcBorders/>
            <w:shd w:fill="CCEEFF" w:val="clear"/>
            <w:vAlign w:val="center"/>
          </w:tcPr>
          <w:p>
            <w:pPr>
              <w:pStyle w:val="TableContents"/>
              <w:bidi w:val="0"/>
              <w:spacing w:before="0" w:after="283"/>
              <w:jc w:val="left"/>
              <w:rPr/>
            </w:pPr>
            <w:r>
              <w:rPr/>
              <w:t>Income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1,655,365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1,033,428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2,756,232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1,808,838</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937"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937"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141,552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1,797</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937"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(8,457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(19,201</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4937" w:type="dxa"/>
            <w:tcBorders/>
            <w:shd w:fill="CCEEFF" w:val="clear"/>
            <w:vAlign w:val="center"/>
          </w:tcPr>
          <w:p>
            <w:pPr>
              <w:pStyle w:val="TableContents"/>
              <w:bidi w:val="0"/>
              <w:spacing w:before="0" w:after="283"/>
              <w:jc w:val="left"/>
              <w:rPr/>
            </w:pPr>
            <w:r>
              <w:rPr/>
              <w:t>Total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44,587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(7,558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141,552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(17,404</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4937" w:type="dxa"/>
            <w:tcBorders/>
            <w:shd w:fill="FFFFFF" w:val="clear"/>
            <w:vAlign w:val="center"/>
          </w:tcPr>
          <w:p>
            <w:pPr>
              <w:pStyle w:val="TableContents"/>
              <w:bidi w:val="0"/>
              <w:spacing w:before="0" w:after="283"/>
              <w:jc w:val="left"/>
              <w:rPr/>
            </w:pPr>
            <w:r>
              <w:rPr/>
              <w:t>Income before 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1,699,952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1,025,870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2,897,784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1,791,434</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4937"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471,669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244,307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804,019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426,624</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4937"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1,228,283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781,563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2,093,765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1,364,810</w:t>
            </w:r>
          </w:p>
        </w:tc>
        <w:tc>
          <w:tcPr>
            <w:tcW w:w="9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a_0031"/>
      <w:bookmarkEnd w:id="38"/>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CHANGES IN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2023 (UNAUDITED)</w:t>
      </w:r>
    </w:p>
    <w:p>
      <w:pPr>
        <w:pStyle w:val="TextBody"/>
        <w:bidi w:val="0"/>
        <w:spacing w:before="0" w:after="0"/>
        <w:ind w:left="0" w:right="0" w:hanging="0"/>
        <w:jc w:val="center"/>
        <w:rPr>
          <w:caps w:val="false"/>
          <w:smallCaps w:val="false"/>
        </w:rPr>
      </w:pPr>
      <w:r>
        <w:rPr>
          <w:caps w:val="false"/>
          <w:smallCaps w:val="false"/>
        </w:rPr>
        <w:t> </w:t>
      </w:r>
    </w:p>
    <w:tbl>
      <w:tblPr>
        <w:tblW w:w="11390" w:type="dxa"/>
        <w:jc w:val="left"/>
        <w:tblInd w:w="0" w:type="dxa"/>
        <w:tblLayout w:type="fixed"/>
        <w:tblCellMar>
          <w:top w:w="0" w:type="dxa"/>
          <w:left w:w="0" w:type="dxa"/>
          <w:bottom w:w="0" w:type="dxa"/>
          <w:right w:w="0" w:type="dxa"/>
        </w:tblCellMar>
      </w:tblPr>
      <w:tblGrid>
        <w:gridCol w:w="1340"/>
        <w:gridCol w:w="60"/>
        <w:gridCol w:w="60"/>
        <w:gridCol w:w="800"/>
        <w:gridCol w:w="60"/>
        <w:gridCol w:w="60"/>
        <w:gridCol w:w="354"/>
        <w:gridCol w:w="506"/>
        <w:gridCol w:w="60"/>
        <w:gridCol w:w="60"/>
        <w:gridCol w:w="60"/>
        <w:gridCol w:w="980"/>
        <w:gridCol w:w="60"/>
        <w:gridCol w:w="60"/>
        <w:gridCol w:w="172"/>
        <w:gridCol w:w="688"/>
        <w:gridCol w:w="60"/>
        <w:gridCol w:w="60"/>
        <w:gridCol w:w="60"/>
        <w:gridCol w:w="755"/>
        <w:gridCol w:w="95"/>
        <w:gridCol w:w="60"/>
        <w:gridCol w:w="253"/>
        <w:gridCol w:w="607"/>
        <w:gridCol w:w="95"/>
        <w:gridCol w:w="60"/>
        <w:gridCol w:w="140"/>
        <w:gridCol w:w="980"/>
        <w:gridCol w:w="60"/>
        <w:gridCol w:w="60"/>
        <w:gridCol w:w="140"/>
        <w:gridCol w:w="1055"/>
        <w:gridCol w:w="95"/>
        <w:gridCol w:w="60"/>
        <w:gridCol w:w="140"/>
        <w:gridCol w:w="1100"/>
        <w:gridCol w:w="75"/>
      </w:tblGrid>
      <w:tr>
        <w:trPr/>
        <w:tc>
          <w:tcPr>
            <w:tcW w:w="134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Series A Convertible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Additional</w:t>
              <w:br/>
              <w:t>Paid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Retained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Balance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w:t>
            </w:r>
          </w:p>
        </w:tc>
        <w:tc>
          <w:tcPr>
            <w:tcW w:w="506" w:type="dxa"/>
            <w:tcBorders/>
            <w:shd w:fill="CCEEFF" w:val="clear"/>
            <w:vAlign w:val="center"/>
          </w:tcPr>
          <w:p>
            <w:pPr>
              <w:pStyle w:val="TableContents"/>
              <w:bidi w:val="0"/>
              <w:spacing w:before="0" w:after="283"/>
              <w:jc w:val="right"/>
              <w:rPr/>
            </w:pPr>
            <w:r>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9,951,000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9,951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07"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2,895,929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9,467,207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12,373,312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Preferred stock dividend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(1,999,985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(1,999,985</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pPr>
            <w:r>
              <w:rPr/>
              <w:t>Stock 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76,344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0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865,482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865,482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Balance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9,951,000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9,951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2,972,273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8,332,704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11,315,153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Stock 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127,354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127,354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0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1,228,283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1,228,283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Balance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166,667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06" w:type="dxa"/>
            <w:tcBorders>
              <w:bottom w:val="double" w:sz="10" w:space="0" w:color="000000"/>
            </w:tcBorders>
            <w:shd w:fill="CCEEFF" w:val="clear"/>
            <w:tcMar>
              <w:bottom w:w="28" w:type="dxa"/>
            </w:tcMar>
            <w:vAlign w:val="center"/>
          </w:tcPr>
          <w:p>
            <w:pPr>
              <w:pStyle w:val="TableContents"/>
              <w:bidi w:val="0"/>
              <w:spacing w:before="0" w:after="283"/>
              <w:jc w:val="right"/>
              <w:rPr/>
            </w:pPr>
            <w:r>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9,951,000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shd w:fill="CCEEFF" w:val="clear"/>
            <w:tcMar>
              <w:bottom w:w="28" w:type="dxa"/>
            </w:tcMar>
            <w:vAlign w:val="center"/>
          </w:tcPr>
          <w:p>
            <w:pPr>
              <w:pStyle w:val="TableContents"/>
              <w:bidi w:val="0"/>
              <w:spacing w:before="0" w:after="283"/>
              <w:jc w:val="right"/>
              <w:rPr/>
            </w:pPr>
            <w:r>
              <w:rPr/>
              <w:t>9,951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(25,000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07" w:type="dxa"/>
            <w:tcBorders>
              <w:bottom w:val="double" w:sz="10" w:space="0" w:color="000000"/>
            </w:tcBorders>
            <w:shd w:fill="CCEEFF" w:val="clear"/>
            <w:tcMar>
              <w:bottom w:w="28" w:type="dxa"/>
            </w:tcM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3,099,627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9,560,987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12,670,790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a_0041"/>
      <w:bookmarkEnd w:id="39"/>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CHANGES IN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2022 (UNAUDITED)</w:t>
      </w:r>
    </w:p>
    <w:p>
      <w:pPr>
        <w:pStyle w:val="TextBody"/>
        <w:bidi w:val="0"/>
        <w:spacing w:before="0" w:after="0"/>
        <w:ind w:left="0" w:right="0" w:hanging="0"/>
        <w:jc w:val="center"/>
        <w:rPr>
          <w:caps w:val="false"/>
          <w:smallCaps w:val="false"/>
        </w:rPr>
      </w:pPr>
      <w:r>
        <w:rPr>
          <w:caps w:val="false"/>
          <w:smallCaps w:val="false"/>
        </w:rPr>
        <w:t> </w:t>
      </w:r>
    </w:p>
    <w:tbl>
      <w:tblPr>
        <w:tblW w:w="11305" w:type="dxa"/>
        <w:jc w:val="left"/>
        <w:tblInd w:w="0" w:type="dxa"/>
        <w:tblLayout w:type="fixed"/>
        <w:tblCellMar>
          <w:top w:w="0" w:type="dxa"/>
          <w:left w:w="0" w:type="dxa"/>
          <w:bottom w:w="0" w:type="dxa"/>
          <w:right w:w="0" w:type="dxa"/>
        </w:tblCellMar>
      </w:tblPr>
      <w:tblGrid>
        <w:gridCol w:w="1340"/>
        <w:gridCol w:w="60"/>
        <w:gridCol w:w="60"/>
        <w:gridCol w:w="800"/>
        <w:gridCol w:w="60"/>
        <w:gridCol w:w="60"/>
        <w:gridCol w:w="354"/>
        <w:gridCol w:w="506"/>
        <w:gridCol w:w="60"/>
        <w:gridCol w:w="60"/>
        <w:gridCol w:w="60"/>
        <w:gridCol w:w="980"/>
        <w:gridCol w:w="60"/>
        <w:gridCol w:w="60"/>
        <w:gridCol w:w="172"/>
        <w:gridCol w:w="688"/>
        <w:gridCol w:w="60"/>
        <w:gridCol w:w="60"/>
        <w:gridCol w:w="60"/>
        <w:gridCol w:w="755"/>
        <w:gridCol w:w="95"/>
        <w:gridCol w:w="60"/>
        <w:gridCol w:w="253"/>
        <w:gridCol w:w="607"/>
        <w:gridCol w:w="95"/>
        <w:gridCol w:w="60"/>
        <w:gridCol w:w="140"/>
        <w:gridCol w:w="980"/>
        <w:gridCol w:w="95"/>
        <w:gridCol w:w="60"/>
        <w:gridCol w:w="140"/>
        <w:gridCol w:w="980"/>
        <w:gridCol w:w="95"/>
        <w:gridCol w:w="60"/>
        <w:gridCol w:w="140"/>
        <w:gridCol w:w="1055"/>
        <w:gridCol w:w="75"/>
      </w:tblGrid>
      <w:tr>
        <w:trPr/>
        <w:tc>
          <w:tcPr>
            <w:tcW w:w="134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Series A Convertible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Additional</w:t>
              <w:br/>
              <w:t>Paid 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Retained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Balance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w:t>
            </w:r>
          </w:p>
        </w:tc>
        <w:tc>
          <w:tcPr>
            <w:tcW w:w="506" w:type="dxa"/>
            <w:tcBorders/>
            <w:shd w:fill="CCEEFF" w:val="clear"/>
            <w:vAlign w:val="center"/>
          </w:tcPr>
          <w:p>
            <w:pPr>
              <w:pStyle w:val="TableContents"/>
              <w:bidi w:val="0"/>
              <w:spacing w:before="0" w:after="283"/>
              <w:jc w:val="right"/>
              <w:rPr/>
            </w:pPr>
            <w:r>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9,950,000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9,950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07"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2,674,293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5,966,096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8,650,564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Preferred stock dividend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(53,750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(946,250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(1,000,000</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pPr>
            <w:r>
              <w:rPr/>
              <w:t>Stock 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73,195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Equity incentive common shares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2,430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583,247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583,247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Balance March 31,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9,951,000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9,951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2,696,167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5,603,093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8,309,436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Stock 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91,978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91,978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781,563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781,563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Balance June 30, 2022</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166,667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06" w:type="dxa"/>
            <w:tcBorders>
              <w:bottom w:val="double" w:sz="10" w:space="0" w:color="000000"/>
            </w:tcBorders>
            <w:shd w:fill="FFFFFF" w:val="clear"/>
            <w:tcMar>
              <w:bottom w:w="28" w:type="dxa"/>
            </w:tcMar>
            <w:vAlign w:val="center"/>
          </w:tcPr>
          <w:p>
            <w:pPr>
              <w:pStyle w:val="TableContents"/>
              <w:bidi w:val="0"/>
              <w:spacing w:before="0" w:after="283"/>
              <w:jc w:val="right"/>
              <w:rPr/>
            </w:pPr>
            <w:r>
              <w:rPr/>
              <w:t>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9,951,000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pPr>
            <w:r>
              <w:rPr/>
              <w:t>9,951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(25,000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07" w:type="dxa"/>
            <w:tcBorders>
              <w:bottom w:val="double" w:sz="10" w:space="0" w:color="000000"/>
            </w:tcBorders>
            <w:shd w:fill="FFFFFF" w:val="clear"/>
            <w:tcMar>
              <w:bottom w:w="28" w:type="dxa"/>
            </w:tcM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2,788,145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6,384,656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9,182,977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a_0051"/>
      <w:bookmarkEnd w:id="40"/>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16"/>
        <w:gridCol w:w="60"/>
        <w:gridCol w:w="196"/>
        <w:gridCol w:w="1488"/>
        <w:gridCol w:w="95"/>
        <w:gridCol w:w="60"/>
        <w:gridCol w:w="196"/>
        <w:gridCol w:w="1488"/>
        <w:gridCol w:w="106"/>
      </w:tblGrid>
      <w:tr>
        <w:trPr/>
        <w:tc>
          <w:tcPr>
            <w:tcW w:w="6516"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six months ended </w:t>
              <w:br/>
              <w:t>June 30,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six months ended </w:t>
              <w:br/>
              <w:t>June 30, 2022</w:t>
            </w:r>
          </w:p>
        </w:tc>
        <w:tc>
          <w:tcPr>
            <w:tcW w:w="106" w:type="dxa"/>
            <w:tcBorders/>
            <w:vAlign w:val="center"/>
          </w:tcPr>
          <w:p>
            <w:pPr>
              <w:pStyle w:val="TableContents"/>
              <w:bidi w:val="0"/>
              <w:spacing w:before="0" w:after="283"/>
              <w:ind w:left="0" w:right="0" w:hanging="180"/>
              <w:jc w:val="left"/>
              <w:rPr/>
            </w:pPr>
            <w:r>
              <w:rPr/>
              <w:t> </w:t>
            </w:r>
          </w:p>
        </w:tc>
      </w:tr>
      <w:tr>
        <w:trPr/>
        <w:tc>
          <w:tcPr>
            <w:tcW w:w="6516"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68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ind w:left="0" w:right="0" w:hanging="180"/>
              <w:jc w:val="left"/>
              <w:rPr/>
            </w:pPr>
            <w:r>
              <w:rPr/>
              <w:t> </w:t>
            </w:r>
          </w:p>
        </w:tc>
      </w:tr>
      <w:tr>
        <w:trPr/>
        <w:tc>
          <w:tcPr>
            <w:tcW w:w="6516"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488" w:type="dxa"/>
            <w:tcBorders/>
            <w:shd w:fill="CCEEFF" w:val="clear"/>
            <w:vAlign w:val="center"/>
          </w:tcPr>
          <w:p>
            <w:pPr>
              <w:pStyle w:val="TableContents"/>
              <w:bidi w:val="0"/>
              <w:spacing w:before="0" w:after="283"/>
              <w:jc w:val="right"/>
              <w:rPr/>
            </w:pPr>
            <w:r>
              <w:rPr/>
              <w:t>2,093,765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488" w:type="dxa"/>
            <w:tcBorders/>
            <w:shd w:fill="CCEEFF" w:val="clear"/>
            <w:vAlign w:val="center"/>
          </w:tcPr>
          <w:p>
            <w:pPr>
              <w:pStyle w:val="TableContents"/>
              <w:bidi w:val="0"/>
              <w:spacing w:before="0" w:after="283"/>
              <w:jc w:val="right"/>
              <w:rPr/>
            </w:pPr>
            <w:r>
              <w:rPr/>
              <w:t>1,364,810</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516" w:type="dxa"/>
            <w:tcBorders/>
            <w:shd w:fill="FFFFFF" w:val="clear"/>
            <w:vAlign w:val="center"/>
          </w:tcPr>
          <w:p>
            <w:pPr>
              <w:pStyle w:val="TableContents"/>
              <w:bidi w:val="0"/>
              <w:spacing w:before="0" w:after="283"/>
              <w:jc w:val="left"/>
              <w:rPr/>
            </w:pPr>
            <w:r>
              <w:rPr/>
              <w:t>Adjustments to reconcile net income to 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516"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196,739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134,634</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516"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203,698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165,173</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516" w:type="dxa"/>
            <w:tcBorders/>
            <w:shd w:fill="CCEEFF" w:val="clear"/>
            <w:vAlign w:val="center"/>
          </w:tcPr>
          <w:p>
            <w:pPr>
              <w:pStyle w:val="TableContents"/>
              <w:bidi w:val="0"/>
              <w:spacing w:before="0" w:after="283"/>
              <w:jc w:val="left"/>
              <w:rPr/>
            </w:pPr>
            <w:r>
              <w:rPr/>
              <w:t>Noncash lease expense</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(5,038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44,191</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516" w:type="dxa"/>
            <w:tcBorders/>
            <w:shd w:fill="FFFFFF" w:val="clear"/>
            <w:vAlign w:val="center"/>
          </w:tcPr>
          <w:p>
            <w:pPr>
              <w:pStyle w:val="TableContents"/>
              <w:bidi w:val="0"/>
              <w:spacing w:before="0" w:after="283"/>
              <w:jc w:val="left"/>
              <w:rPr/>
            </w:pPr>
            <w:r>
              <w:rPr/>
              <w:t>Effects of 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516"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144,551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(885,475</w:t>
            </w:r>
          </w:p>
        </w:tc>
        <w:tc>
          <w:tcPr>
            <w:tcW w:w="106" w:type="dxa"/>
            <w:tcBorders/>
            <w:shd w:fill="CCEEFF" w:val="clear"/>
            <w:vAlign w:val="center"/>
          </w:tcPr>
          <w:p>
            <w:pPr>
              <w:pStyle w:val="TableContents"/>
              <w:bidi w:val="0"/>
              <w:spacing w:before="0" w:after="283"/>
              <w:ind w:left="0" w:right="0" w:hanging="180"/>
              <w:jc w:val="left"/>
              <w:rPr/>
            </w:pPr>
            <w:r>
              <w:rPr/>
              <w:t>)</w:t>
            </w:r>
          </w:p>
        </w:tc>
      </w:tr>
      <w:tr>
        <w:trPr/>
        <w:tc>
          <w:tcPr>
            <w:tcW w:w="6516"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(337,787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(140,880</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6516" w:type="dxa"/>
            <w:tcBorders/>
            <w:shd w:fill="CCEEFF" w:val="clear"/>
            <w:vAlign w:val="center"/>
          </w:tcPr>
          <w:p>
            <w:pPr>
              <w:pStyle w:val="TableContents"/>
              <w:bidi w:val="0"/>
              <w:spacing w:before="0" w:after="283"/>
              <w:jc w:val="left"/>
              <w:rPr/>
            </w:pPr>
            <w:r>
              <w:rPr/>
              <w:t>Employee retention credit receivables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500,528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516"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(1,218,131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624,310</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516"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(60,746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666,041</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516" w:type="dxa"/>
            <w:tcBorders/>
            <w:shd w:fill="FFFFFF" w:val="clear"/>
            <w:vAlign w:val="center"/>
          </w:tcPr>
          <w:p>
            <w:pPr>
              <w:pStyle w:val="TableContents"/>
              <w:bidi w:val="0"/>
              <w:spacing w:before="0" w:after="283"/>
              <w:jc w:val="left"/>
              <w:rPr/>
            </w:pPr>
            <w:r>
              <w:rPr/>
              <w:t>Income taxes payable/receivable</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(694,615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(73,668</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6516"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8" w:type="dxa"/>
            <w:tcBorders>
              <w:bottom w:val="single" w:sz="12" w:space="0" w:color="000000"/>
            </w:tcBorders>
            <w:shd w:fill="CCEEFF" w:val="clear"/>
            <w:tcMar>
              <w:bottom w:w="28" w:type="dxa"/>
            </w:tcMar>
            <w:vAlign w:val="center"/>
          </w:tcPr>
          <w:p>
            <w:pPr>
              <w:pStyle w:val="TableContents"/>
              <w:bidi w:val="0"/>
              <w:spacing w:before="0" w:after="283"/>
              <w:jc w:val="right"/>
              <w:rPr/>
            </w:pPr>
            <w:r>
              <w:rPr/>
              <w:t>(109,669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8" w:type="dxa"/>
            <w:tcBorders>
              <w:bottom w:val="single" w:sz="12" w:space="0" w:color="000000"/>
            </w:tcBorders>
            <w:shd w:fill="CCEEFF" w:val="clear"/>
            <w:tcMar>
              <w:bottom w:w="28" w:type="dxa"/>
            </w:tcMar>
            <w:vAlign w:val="center"/>
          </w:tcPr>
          <w:p>
            <w:pPr>
              <w:pStyle w:val="TableContents"/>
              <w:bidi w:val="0"/>
              <w:spacing w:before="0" w:after="283"/>
              <w:jc w:val="right"/>
              <w:rPr/>
            </w:pPr>
            <w:r>
              <w:rPr/>
              <w:t>104,433</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516" w:type="dxa"/>
            <w:tcBorders/>
            <w:shd w:fill="FFFFFF" w:val="clear"/>
            <w:vAlign w:val="center"/>
          </w:tcPr>
          <w:p>
            <w:pPr>
              <w:pStyle w:val="TableContents"/>
              <w:bidi w:val="0"/>
              <w:spacing w:before="0" w:after="283"/>
              <w:jc w:val="left"/>
              <w:rPr>
                <w:b/>
              </w:rPr>
            </w:pPr>
            <w:r>
              <w:rPr>
                <w:b/>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88" w:type="dxa"/>
            <w:tcBorders>
              <w:bottom w:val="single" w:sz="12" w:space="0" w:color="000000"/>
            </w:tcBorders>
            <w:shd w:fill="FFFFFF" w:val="clear"/>
            <w:tcMar>
              <w:bottom w:w="28" w:type="dxa"/>
            </w:tcMar>
            <w:vAlign w:val="center"/>
          </w:tcPr>
          <w:p>
            <w:pPr>
              <w:pStyle w:val="TableContents"/>
              <w:bidi w:val="0"/>
              <w:spacing w:before="0" w:after="283"/>
              <w:jc w:val="right"/>
              <w:rPr/>
            </w:pPr>
            <w:r>
              <w:rPr/>
              <w:t>713,295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88" w:type="dxa"/>
            <w:tcBorders>
              <w:bottom w:val="single" w:sz="12" w:space="0" w:color="000000"/>
            </w:tcBorders>
            <w:shd w:fill="FFFFFF" w:val="clear"/>
            <w:tcMar>
              <w:bottom w:w="28" w:type="dxa"/>
            </w:tcMar>
            <w:vAlign w:val="center"/>
          </w:tcPr>
          <w:p>
            <w:pPr>
              <w:pStyle w:val="TableContents"/>
              <w:bidi w:val="0"/>
              <w:spacing w:before="0" w:after="283"/>
              <w:jc w:val="right"/>
              <w:rPr/>
            </w:pPr>
            <w:r>
              <w:rPr/>
              <w:t>2,003,569</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5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516" w:type="dxa"/>
            <w:tcBorders/>
            <w:shd w:fill="FFFFFF" w:val="clear"/>
            <w:vAlign w:val="center"/>
          </w:tcPr>
          <w:p>
            <w:pPr>
              <w:pStyle w:val="TableContents"/>
              <w:bidi w:val="0"/>
              <w:spacing w:before="0" w:after="283"/>
              <w:jc w:val="left"/>
              <w:rPr>
                <w:b/>
              </w:rPr>
            </w:pPr>
            <w:r>
              <w:rPr>
                <w:b/>
              </w:rPr>
              <w:t>CASH FLOWS USED IN INVESTING ACTIVITIES: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516"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(3,564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(5,727</w:t>
            </w:r>
          </w:p>
        </w:tc>
        <w:tc>
          <w:tcPr>
            <w:tcW w:w="106" w:type="dxa"/>
            <w:tcBorders/>
            <w:shd w:fill="CCEEFF" w:val="clear"/>
            <w:vAlign w:val="center"/>
          </w:tcPr>
          <w:p>
            <w:pPr>
              <w:pStyle w:val="TableContents"/>
              <w:bidi w:val="0"/>
              <w:spacing w:before="0" w:after="283"/>
              <w:ind w:left="0" w:right="0" w:hanging="180"/>
              <w:jc w:val="left"/>
              <w:rPr/>
            </w:pPr>
            <w:r>
              <w:rPr/>
              <w:t>)</w:t>
            </w:r>
          </w:p>
        </w:tc>
      </w:tr>
      <w:tr>
        <w:trPr/>
        <w:tc>
          <w:tcPr>
            <w:tcW w:w="6516" w:type="dxa"/>
            <w:tcBorders/>
            <w:shd w:fill="FFFFFF" w:val="clear"/>
            <w:vAlign w:val="center"/>
          </w:tcPr>
          <w:p>
            <w:pPr>
              <w:pStyle w:val="TableContents"/>
              <w:bidi w:val="0"/>
              <w:spacing w:before="0" w:after="283"/>
              <w:jc w:val="left"/>
              <w:rPr/>
            </w:pPr>
            <w:r>
              <w:rPr/>
              <w:t>Capitalized software development costs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(209,127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(136,204</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6516" w:type="dxa"/>
            <w:tcBorders/>
            <w:shd w:fill="CCEEFF" w:val="clear"/>
            <w:vAlign w:val="center"/>
          </w:tcPr>
          <w:p>
            <w:pPr>
              <w:pStyle w:val="TableContents"/>
              <w:bidi w:val="0"/>
              <w:spacing w:before="0" w:after="283"/>
              <w:jc w:val="left"/>
              <w:rPr/>
            </w:pPr>
            <w:r>
              <w:rPr/>
              <w:t>Proceeds from the redemption of held-to-maturity securities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2,274,586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516" w:type="dxa"/>
            <w:tcBorders/>
            <w:shd w:fill="FFFFFF" w:val="clear"/>
            <w:vAlign w:val="center"/>
          </w:tcPr>
          <w:p>
            <w:pPr>
              <w:pStyle w:val="TableContents"/>
              <w:bidi w:val="0"/>
              <w:spacing w:before="0" w:after="283"/>
              <w:jc w:val="left"/>
              <w:rPr/>
            </w:pPr>
            <w:r>
              <w:rPr/>
              <w:t>Purchases of held-to-maturity securities</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88" w:type="dxa"/>
            <w:tcBorders>
              <w:bottom w:val="single" w:sz="12" w:space="0" w:color="000000"/>
            </w:tcBorders>
            <w:shd w:fill="FFFFFF" w:val="clear"/>
            <w:tcMar>
              <w:bottom w:w="28" w:type="dxa"/>
            </w:tcMar>
            <w:vAlign w:val="center"/>
          </w:tcPr>
          <w:p>
            <w:pPr>
              <w:pStyle w:val="TableContents"/>
              <w:bidi w:val="0"/>
              <w:spacing w:before="0" w:after="283"/>
              <w:jc w:val="right"/>
              <w:rPr/>
            </w:pPr>
            <w:r>
              <w:rPr/>
              <w:t>(2,535,778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8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516"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(473,883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(141,931</w:t>
            </w:r>
          </w:p>
        </w:tc>
        <w:tc>
          <w:tcPr>
            <w:tcW w:w="106" w:type="dxa"/>
            <w:tcBorders/>
            <w:shd w:fill="CCEEFF" w:val="clear"/>
            <w:vAlign w:val="center"/>
          </w:tcPr>
          <w:p>
            <w:pPr>
              <w:pStyle w:val="TableContents"/>
              <w:bidi w:val="0"/>
              <w:spacing w:before="0" w:after="283"/>
              <w:ind w:left="0" w:right="0" w:hanging="180"/>
              <w:jc w:val="left"/>
              <w:rPr/>
            </w:pPr>
            <w:r>
              <w:rPr/>
              <w:t>)</w:t>
            </w:r>
          </w:p>
        </w:tc>
      </w:tr>
      <w:tr>
        <w:trPr/>
        <w:tc>
          <w:tcPr>
            <w:tcW w:w="65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516" w:type="dxa"/>
            <w:tcBorders/>
            <w:shd w:fill="CCEEFF" w:val="clear"/>
            <w:vAlign w:val="center"/>
          </w:tcPr>
          <w:p>
            <w:pPr>
              <w:pStyle w:val="TableContents"/>
              <w:bidi w:val="0"/>
              <w:spacing w:before="0" w:after="283"/>
              <w:jc w:val="left"/>
              <w:rPr>
                <w:b/>
              </w:rPr>
            </w:pPr>
            <w:r>
              <w:rPr>
                <w:b/>
              </w:rPr>
              <w:t>CASH FLOWS USED IN FINANCING ACTIVITIES: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516" w:type="dxa"/>
            <w:tcBorders/>
            <w:shd w:fill="FFFFFF" w:val="clear"/>
            <w:vAlign w:val="center"/>
          </w:tcPr>
          <w:p>
            <w:pPr>
              <w:pStyle w:val="TableContents"/>
              <w:bidi w:val="0"/>
              <w:spacing w:before="0" w:after="283"/>
              <w:jc w:val="left"/>
              <w:rPr/>
            </w:pPr>
            <w:r>
              <w:rPr/>
              <w:t>Net advances (payments) on factoring line of credit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102,609</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516" w:type="dxa"/>
            <w:tcBorders/>
            <w:shd w:fill="CCEEFF" w:val="clear"/>
            <w:vAlign w:val="center"/>
          </w:tcPr>
          <w:p>
            <w:pPr>
              <w:pStyle w:val="TableContents"/>
              <w:bidi w:val="0"/>
              <w:spacing w:before="0" w:after="283"/>
              <w:jc w:val="left"/>
              <w:rPr/>
            </w:pPr>
            <w:r>
              <w:rPr/>
              <w:t>Payments on notes payable</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(150,000</w:t>
            </w:r>
          </w:p>
        </w:tc>
        <w:tc>
          <w:tcPr>
            <w:tcW w:w="106" w:type="dxa"/>
            <w:tcBorders/>
            <w:shd w:fill="CCEEFF" w:val="clear"/>
            <w:vAlign w:val="center"/>
          </w:tcPr>
          <w:p>
            <w:pPr>
              <w:pStyle w:val="TableContents"/>
              <w:bidi w:val="0"/>
              <w:spacing w:before="0" w:after="283"/>
              <w:ind w:left="0" w:right="0" w:hanging="180"/>
              <w:jc w:val="left"/>
              <w:rPr/>
            </w:pPr>
            <w:r>
              <w:rPr/>
              <w:t>)</w:t>
            </w:r>
          </w:p>
        </w:tc>
      </w:tr>
      <w:tr>
        <w:trPr/>
        <w:tc>
          <w:tcPr>
            <w:tcW w:w="6516" w:type="dxa"/>
            <w:tcBorders/>
            <w:shd w:fill="FFFFFF" w:val="clear"/>
            <w:vAlign w:val="center"/>
          </w:tcPr>
          <w:p>
            <w:pPr>
              <w:pStyle w:val="TableContents"/>
              <w:bidi w:val="0"/>
              <w:spacing w:before="0" w:after="283"/>
              <w:jc w:val="left"/>
              <w:rPr/>
            </w:pPr>
            <w:r>
              <w:rPr/>
              <w:t>Proceeds from exercise of stock options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2,430</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516" w:type="dxa"/>
            <w:tcBorders/>
            <w:shd w:fill="CCEEFF" w:val="clear"/>
            <w:vAlign w:val="center"/>
          </w:tcPr>
          <w:p>
            <w:pPr>
              <w:pStyle w:val="TableContents"/>
              <w:bidi w:val="0"/>
              <w:spacing w:before="0" w:after="283"/>
              <w:jc w:val="left"/>
              <w:rPr/>
            </w:pPr>
            <w:r>
              <w:rPr/>
              <w:t>Dividends paid</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8" w:type="dxa"/>
            <w:tcBorders>
              <w:bottom w:val="single" w:sz="12" w:space="0" w:color="000000"/>
            </w:tcBorders>
            <w:shd w:fill="CCEEFF" w:val="clear"/>
            <w:tcMar>
              <w:bottom w:w="28" w:type="dxa"/>
            </w:tcMar>
            <w:vAlign w:val="center"/>
          </w:tcPr>
          <w:p>
            <w:pPr>
              <w:pStyle w:val="TableContents"/>
              <w:bidi w:val="0"/>
              <w:spacing w:before="0" w:after="283"/>
              <w:jc w:val="right"/>
              <w:rPr/>
            </w:pPr>
            <w:r>
              <w:rPr/>
              <w:t>(1,999,985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8" w:type="dxa"/>
            <w:tcBorders>
              <w:bottom w:val="single" w:sz="12" w:space="0" w:color="000000"/>
            </w:tcBorders>
            <w:shd w:fill="CCEEFF" w:val="clear"/>
            <w:tcMar>
              <w:bottom w:w="28" w:type="dxa"/>
            </w:tcMar>
            <w:vAlign w:val="center"/>
          </w:tcPr>
          <w:p>
            <w:pPr>
              <w:pStyle w:val="TableContents"/>
              <w:bidi w:val="0"/>
              <w:spacing w:before="0" w:after="283"/>
              <w:jc w:val="right"/>
              <w:rPr/>
            </w:pPr>
            <w:r>
              <w:rPr/>
              <w:t>(1,000,000</w:t>
            </w:r>
          </w:p>
        </w:tc>
        <w:tc>
          <w:tcPr>
            <w:tcW w:w="106" w:type="dxa"/>
            <w:tcBorders/>
            <w:shd w:fill="CCEEFF" w:val="clear"/>
            <w:vAlign w:val="center"/>
          </w:tcPr>
          <w:p>
            <w:pPr>
              <w:pStyle w:val="TableContents"/>
              <w:bidi w:val="0"/>
              <w:spacing w:before="0" w:after="283"/>
              <w:ind w:left="0" w:right="0" w:hanging="180"/>
              <w:jc w:val="left"/>
              <w:rPr/>
            </w:pPr>
            <w:r>
              <w:rPr/>
              <w:t>)</w:t>
            </w:r>
          </w:p>
        </w:tc>
      </w:tr>
      <w:tr>
        <w:trPr/>
        <w:tc>
          <w:tcPr>
            <w:tcW w:w="6516" w:type="dxa"/>
            <w:tcBorders/>
            <w:shd w:fill="FFFFFF" w:val="clear"/>
            <w:vAlign w:val="center"/>
          </w:tcPr>
          <w:p>
            <w:pPr>
              <w:pStyle w:val="TableContents"/>
              <w:bidi w:val="0"/>
              <w:spacing w:before="0" w:after="283"/>
              <w:jc w:val="left"/>
              <w:rPr>
                <w:b/>
              </w:rPr>
            </w:pPr>
            <w:r>
              <w:rPr>
                <w:b/>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88" w:type="dxa"/>
            <w:tcBorders>
              <w:bottom w:val="single" w:sz="12" w:space="0" w:color="000000"/>
            </w:tcBorders>
            <w:shd w:fill="FFFFFF" w:val="clear"/>
            <w:tcMar>
              <w:bottom w:w="28" w:type="dxa"/>
            </w:tcMar>
            <w:vAlign w:val="center"/>
          </w:tcPr>
          <w:p>
            <w:pPr>
              <w:pStyle w:val="TableContents"/>
              <w:bidi w:val="0"/>
              <w:spacing w:before="0" w:after="283"/>
              <w:jc w:val="right"/>
              <w:rPr/>
            </w:pPr>
            <w:r>
              <w:rPr/>
              <w:t>(1,999,985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88" w:type="dxa"/>
            <w:tcBorders>
              <w:bottom w:val="single" w:sz="12" w:space="0" w:color="000000"/>
            </w:tcBorders>
            <w:shd w:fill="FFFFFF" w:val="clear"/>
            <w:tcMar>
              <w:bottom w:w="28" w:type="dxa"/>
            </w:tcMar>
            <w:vAlign w:val="center"/>
          </w:tcPr>
          <w:p>
            <w:pPr>
              <w:pStyle w:val="TableContents"/>
              <w:bidi w:val="0"/>
              <w:spacing w:before="0" w:after="283"/>
              <w:jc w:val="right"/>
              <w:rPr/>
            </w:pPr>
            <w:r>
              <w:rPr/>
              <w:t>(1,044,961</w:t>
            </w:r>
          </w:p>
        </w:tc>
        <w:tc>
          <w:tcPr>
            <w:tcW w:w="106" w:type="dxa"/>
            <w:tcBorders/>
            <w:shd w:fill="FFFFFF" w:val="clear"/>
            <w:vAlign w:val="center"/>
          </w:tcPr>
          <w:p>
            <w:pPr>
              <w:pStyle w:val="TableContents"/>
              <w:bidi w:val="0"/>
              <w:spacing w:before="0" w:after="283"/>
              <w:ind w:left="0" w:right="0" w:hanging="180"/>
              <w:jc w:val="left"/>
              <w:rPr/>
            </w:pPr>
            <w:r>
              <w:rPr/>
              <w:t>)</w:t>
            </w:r>
          </w:p>
        </w:tc>
      </w:tr>
      <w:tr>
        <w:trPr/>
        <w:tc>
          <w:tcPr>
            <w:tcW w:w="6516" w:type="dxa"/>
            <w:tcBorders/>
            <w:shd w:fill="CCEEFF" w:val="clear"/>
            <w:vAlign w:val="center"/>
          </w:tcPr>
          <w:p>
            <w:pPr>
              <w:pStyle w:val="TableContents"/>
              <w:bidi w:val="0"/>
              <w:spacing w:before="0" w:after="283"/>
              <w:jc w:val="left"/>
              <w:rPr>
                <w:b/>
              </w:rPr>
            </w:pPr>
            <w:r>
              <w:rPr>
                <w:b/>
              </w:rPr>
              <w:t>NET (DECREASE) /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(1,760,573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right"/>
              <w:rPr/>
            </w:pPr>
            <w:r>
              <w:rPr/>
              <w:t>816,677</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516" w:type="dxa"/>
            <w:tcBorders/>
            <w:shd w:fill="FFFFFF" w:val="clear"/>
            <w:vAlign w:val="center"/>
          </w:tcPr>
          <w:p>
            <w:pPr>
              <w:pStyle w:val="TableContents"/>
              <w:bidi w:val="0"/>
              <w:spacing w:before="0" w:after="283"/>
              <w:jc w:val="left"/>
              <w:rPr>
                <w:b/>
              </w:rPr>
            </w:pPr>
            <w:r>
              <w:rPr>
                <w:b/>
              </w:rPr>
              <w:t>CASH AND CASH EQUIVALENTS – BEGINNING OF PERIOD</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88" w:type="dxa"/>
            <w:tcBorders>
              <w:bottom w:val="single" w:sz="12" w:space="0" w:color="000000"/>
            </w:tcBorders>
            <w:shd w:fill="FFFFFF" w:val="clear"/>
            <w:tcMar>
              <w:bottom w:w="28" w:type="dxa"/>
            </w:tcMar>
            <w:vAlign w:val="center"/>
          </w:tcPr>
          <w:p>
            <w:pPr>
              <w:pStyle w:val="TableContents"/>
              <w:bidi w:val="0"/>
              <w:spacing w:before="0" w:after="283"/>
              <w:jc w:val="right"/>
              <w:rPr/>
            </w:pPr>
            <w:r>
              <w:rPr/>
              <w:t>4,701,355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88" w:type="dxa"/>
            <w:tcBorders>
              <w:bottom w:val="single" w:sz="12" w:space="0" w:color="000000"/>
            </w:tcBorders>
            <w:shd w:fill="FFFFFF" w:val="clear"/>
            <w:tcMar>
              <w:bottom w:w="28" w:type="dxa"/>
            </w:tcMar>
            <w:vAlign w:val="center"/>
          </w:tcPr>
          <w:p>
            <w:pPr>
              <w:pStyle w:val="TableContents"/>
              <w:bidi w:val="0"/>
              <w:spacing w:before="0" w:after="283"/>
              <w:jc w:val="right"/>
              <w:rPr/>
            </w:pPr>
            <w:r>
              <w:rPr/>
              <w:t>5,125,511</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516" w:type="dxa"/>
            <w:tcBorders/>
            <w:shd w:fill="CCEEFF" w:val="clear"/>
            <w:vAlign w:val="center"/>
          </w:tcPr>
          <w:p>
            <w:pPr>
              <w:pStyle w:val="TableContents"/>
              <w:bidi w:val="0"/>
              <w:spacing w:before="0" w:after="283"/>
              <w:jc w:val="left"/>
              <w:rPr>
                <w:b/>
              </w:rPr>
            </w:pPr>
            <w:r>
              <w:rPr>
                <w:b/>
              </w:rPr>
              <w:t>CASH AND CASH EQUIVALENTS – END OF PERIOD</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88" w:type="dxa"/>
            <w:tcBorders>
              <w:bottom w:val="double" w:sz="10" w:space="0" w:color="000000"/>
            </w:tcBorders>
            <w:shd w:fill="CCEEFF" w:val="clear"/>
            <w:tcMar>
              <w:bottom w:w="28" w:type="dxa"/>
            </w:tcMar>
            <w:vAlign w:val="center"/>
          </w:tcPr>
          <w:p>
            <w:pPr>
              <w:pStyle w:val="TableContents"/>
              <w:bidi w:val="0"/>
              <w:spacing w:before="0" w:after="283"/>
              <w:jc w:val="right"/>
              <w:rPr/>
            </w:pPr>
            <w:r>
              <w:rPr/>
              <w:t>2,940,782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88" w:type="dxa"/>
            <w:tcBorders>
              <w:bottom w:val="double" w:sz="10" w:space="0" w:color="000000"/>
            </w:tcBorders>
            <w:shd w:fill="CCEEFF" w:val="clear"/>
            <w:tcMar>
              <w:bottom w:w="28" w:type="dxa"/>
            </w:tcMar>
            <w:vAlign w:val="center"/>
          </w:tcPr>
          <w:p>
            <w:pPr>
              <w:pStyle w:val="TableContents"/>
              <w:bidi w:val="0"/>
              <w:spacing w:before="0" w:after="283"/>
              <w:jc w:val="right"/>
              <w:rPr/>
            </w:pPr>
            <w:r>
              <w:rPr/>
              <w:t>5,942,188</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516"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ind w:left="0" w:right="0" w:hanging="180"/>
              <w:jc w:val="left"/>
              <w:rPr/>
            </w:pPr>
            <w:r>
              <w:rPr/>
              <w:t> </w:t>
            </w:r>
          </w:p>
        </w:tc>
      </w:tr>
      <w:tr>
        <w:trPr/>
        <w:tc>
          <w:tcPr>
            <w:tcW w:w="6516"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88"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88" w:type="dxa"/>
            <w:tcBorders>
              <w:bottom w:val="double" w:sz="10" w:space="0" w:color="000000"/>
            </w:tcBorders>
            <w:shd w:fill="CCEEFF" w:val="clear"/>
            <w:tcMar>
              <w:bottom w:w="28" w:type="dxa"/>
            </w:tcMar>
            <w:vAlign w:val="center"/>
          </w:tcPr>
          <w:p>
            <w:pPr>
              <w:pStyle w:val="TableContents"/>
              <w:bidi w:val="0"/>
              <w:spacing w:before="0" w:after="283"/>
              <w:jc w:val="right"/>
              <w:rPr/>
            </w:pPr>
            <w:r>
              <w:rPr/>
              <w:t>26,598</w:t>
            </w:r>
          </w:p>
        </w:tc>
        <w:tc>
          <w:tcPr>
            <w:tcW w:w="106" w:type="dxa"/>
            <w:tcBorders/>
            <w:shd w:fill="CCEEFF" w:val="clear"/>
            <w:vAlign w:val="center"/>
          </w:tcPr>
          <w:p>
            <w:pPr>
              <w:pStyle w:val="TableContents"/>
              <w:bidi w:val="0"/>
              <w:spacing w:before="0" w:after="283"/>
              <w:ind w:left="0" w:right="0" w:hanging="180"/>
              <w:jc w:val="left"/>
              <w:rPr/>
            </w:pPr>
            <w:r>
              <w:rPr/>
              <w:t> </w:t>
            </w:r>
          </w:p>
        </w:tc>
      </w:tr>
      <w:tr>
        <w:trPr/>
        <w:tc>
          <w:tcPr>
            <w:tcW w:w="6516" w:type="dxa"/>
            <w:tcBorders/>
            <w:shd w:fill="FFFFFF" w:val="clear"/>
            <w:vAlign w:val="center"/>
          </w:tcPr>
          <w:p>
            <w:pPr>
              <w:pStyle w:val="TableContents"/>
              <w:bidi w:val="0"/>
              <w:spacing w:before="0" w:after="283"/>
              <w:jc w:val="left"/>
              <w:rPr/>
            </w:pPr>
            <w:r>
              <w:rPr/>
              <w:t>Income taxes paid</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88" w:type="dxa"/>
            <w:tcBorders>
              <w:bottom w:val="double" w:sz="10" w:space="0" w:color="000000"/>
            </w:tcBorders>
            <w:shd w:fill="FFFFFF" w:val="clear"/>
            <w:tcMar>
              <w:bottom w:w="28" w:type="dxa"/>
            </w:tcMar>
            <w:vAlign w:val="center"/>
          </w:tcPr>
          <w:p>
            <w:pPr>
              <w:pStyle w:val="TableContents"/>
              <w:bidi w:val="0"/>
              <w:spacing w:before="0" w:after="283"/>
              <w:jc w:val="right"/>
              <w:rPr/>
            </w:pPr>
            <w:r>
              <w:rPr/>
              <w:t>987,747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88" w:type="dxa"/>
            <w:tcBorders>
              <w:bottom w:val="double" w:sz="10" w:space="0" w:color="000000"/>
            </w:tcBorders>
            <w:shd w:fill="FFFFFF" w:val="clear"/>
            <w:tcMar>
              <w:bottom w:w="28" w:type="dxa"/>
            </w:tcMar>
            <w:vAlign w:val="center"/>
          </w:tcPr>
          <w:p>
            <w:pPr>
              <w:pStyle w:val="TableContents"/>
              <w:bidi w:val="0"/>
              <w:spacing w:before="0" w:after="283"/>
              <w:jc w:val="right"/>
              <w:rPr/>
            </w:pPr>
            <w:r>
              <w:rPr/>
              <w:t>499,867</w:t>
            </w:r>
          </w:p>
        </w:tc>
        <w:tc>
          <w:tcPr>
            <w:tcW w:w="10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(UNAUDITED)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 w:name="a_0061"/>
      <w:bookmarkEnd w:id="41"/>
      <w:r>
        <w:rPr>
          <w:rFonts w:ascii="Times New Roman;Times;Serif" w:hAnsi="Times New Roman;Times;Serif"/>
          <w:b w:val="false"/>
          <w:i w:val="false"/>
          <w:caps w:val="false"/>
          <w:smallCaps w:val="false"/>
          <w:sz w:val="20"/>
        </w:rPr>
        <w:t>NOTE 1 – ORGANIZATION AND 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Healthy Offers, Inc. (the Company) is a specialized data-driven company designed to offer advertisers solutions for addressable media in the pharmaceutical and health industries for any cross-channel media campaign. As data and technology are driving enormous change in the structure and economics of media across all channels, the Company was created to assist advertisers in navigating the new landscape. The Company offers the strategic thinking of a boutique agency with addressable audience scale, leverage, and reach. The Company is headquartered in Scottsdale, Arizona.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for the three and six months ended June 30, 2023 and 2022 have been prepared without audit pursuant to the rules and regulations of the United States Securities and Exchange Commission ("SEC"). In the opinion of management, all adjustments necessary to present fairly our financial position at June 30, 2023, and results of operations, changes in stockholders’ equity, and cash flows for the three and six months ended June 30, 2023 and 2022, have been made. Those adjustments consist of normal and recurring adjustments. The balance sheet as of December 31, 2022, has been derived from the audited balance sheet as of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and note disclosures, including a detailed discussion about the Company’s significant accounting policies, normally included in the Company's annual financial statements prepared in accordance with generally accepted accounting principles have been condensed or omitted. These financial statements should be read in conjunction with a reading of the financial statements and notes thereto included in this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for the three and six months ended June 30, 2023 and 2022, are not necessarily indicative of the results to be expected for the full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Company have been prepared in accordance with generally accepted accounting principles in the United States of America and are presented in United States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carrying value of assets, depreciable and amortizable lives of tangible and intangible assets, the carrying value of liabilities, the timing of revenue recognition and related revenue share expenses, and inputs used in the calculation of stock based compensation. Actual results could differ from these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accompanying financial statements, we consider all highly liquid instruments, consisting of money market accounts, with an initial maturity of three months or less to be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is held in depository accounts at financial institutions. The combined account balances at the financial institutions often exceed the Federal Deposit Insurance Corporation (FDIC) insurance coverage of $250,000 and, as a result, there is a concentration of credit risk related to amounts on deposit in excess of FDIC insurance coverage. Management believes, based on the quality of the financial institutions, that the risk is not 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(UNAUDITED)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marketable securities in accordance with ASC 320, "Investments - Debt Securities", which require that certain debt securities be classified into one of three categories: held-to-maturity, available-for-sale, or trading securities, and depending upon the classification, value the security at amortized cost or fair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are based upon unadjusted quoted prices for identical instruments traded in active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carrying amounts of financial instruments including cash and cash equivalents, investments, accounts receivable, accounts payable, and other current liabilities approximate their fair values due to their short maturities.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Accounts Receivable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well-capitalized companies, historically there has been very little bad debt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recognizes an allowance for uncollectible accounts that reflects their best estimate of amounts that will not be collected based on management's assessment of the collectibility of specific customer accounts and the aging of the accounts receivable. If there is a deterioration of a major customer's credit worthiness or actual defaults are higher than the historical experience, management's estimates of the recoverability of amounts due the Company could be adversely affected. Management has determined an allowance for doubtful accounts is not required as of June 30, 2023 and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(UNAUDITED)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historical cost. Depreciation is provided using straight-line methods over the estimated useful lives of the assets ranging from 3 to 7 years. Amortization of leasehold improvements is provided over the shorter of the lease term or the estimated useful lives of the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shd w:fill="FFFFFF" w:val="clear"/>
        </w:rPr>
      </w:pPr>
      <w:r>
        <w:rPr>
          <w:rFonts w:ascii="Times New Roman;Times;Serif" w:hAnsi="Times New Roman;Times;Serif"/>
          <w:b w:val="false"/>
          <w:i w:val="false"/>
          <w:caps w:val="false"/>
          <w:smallCaps w:val="false"/>
          <w:sz w:val="20"/>
          <w:u w:val="single"/>
          <w:shd w:fill="FFFFFF" w:val="clear"/>
        </w:rPr>
        <w:t>Software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Expenditures for software development costs during preliminary project and post-implementation phases are expensed as incurred. Capitalization of internally developed software occurs during the application development stage. Once a project has reached application development, internal and external costs, if direct and incremental, are capitalized until the software is substantially complete and ready to be placed in service. The Company capitalized approximately $109,877 and $209,125 of software development costs during the three and six months ended June 30, 2023, respectively.The Company capitalized approximately $61,551 and $136,204 of software development costs during the three and six months ended June 30, 2022, respectively. Amortization of software development costs is provided using straight-line methods over the estimated useful life, generally three to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Costs incurred related to implementation in a cloud computing arrangement are capitalized and recognized over the expected term of the hosting arrangement, generally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long-lived assets for impairment whenever events or changes in circumstances indicate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carrying amount or fair value less costs to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requires evidence of a contract, probable collection of proceeds, and completion of substantially all performance obligations. We use a 5-step model to recognize revenue. These steps are: identify the contract with a customer, identify the performance obligations in the contract, determine the transaction price, allocate the transaction price to the performance obligations in the contract, and recognize revenue when or as the performance obligations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are primarily generated from contracts with advertisers and pharmaceutical companies for its performance based advertising services, which include the use of data analytics technology and other advertising products and services. Customers typically receive the benefit of the Company's services as they are performed and substantially all of the Company's revenue is recognized over time as the services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Topic 606, revenue from contracts with customers is measured based on the consideration specified in the contract with the customer, and excludes any sales incentives and amounts collected on behalf of third parties. A performance obligation is a promise in a contract to transfer a distinct good or service to a customer and is the unit of account under Topic 606. We recognize revenue when we satisfy a performance obligation by transferring control over a product or service to a customer. The amount of revenue recognized reflects the consideration we expect to be entitled to in exchange for such products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in fulfillment of customer contracts principally consist of the cost of media placements. General and administrative costs are charged to expense as incurred. Deferred revenue consists of billings or cash receipts from customers in advance of providing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(UNAUDITED)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the accounts receivable and deferred revenue when it has the contractual right to invoice the customer. Deferred revenue is recognized as revenue when obligations on customers contracts are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accounts receivable and deferred revenue (contract liabilities) on the balance sheets. Amounts are billed as work progresses in accordance with agreed-upon contractual terms, generally on a monthly basis. However, advance deposits are sometimes received before revenue is recognized, resulting in contract liabilities. These deposits are recorded as deferred revenue on the balance sheets and are recognized as revenue when the services are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Company's accounts receivable and contract liabilities:</w:t>
      </w:r>
    </w:p>
    <w:p>
      <w:pPr>
        <w:pStyle w:val="TextBody"/>
        <w:bidi w:val="0"/>
        <w:spacing w:before="0" w:after="0"/>
        <w:ind w:left="0" w:right="0" w:hanging="0"/>
        <w:jc w:val="both"/>
        <w:rPr>
          <w:caps w:val="false"/>
          <w:smallCaps w:val="false"/>
        </w:rPr>
      </w:pPr>
      <w:r>
        <w:rPr>
          <w:caps w:val="false"/>
          <w:smallCaps w:val="false"/>
        </w:rPr>
        <w:t> </w:t>
      </w:r>
    </w:p>
    <w:tbl>
      <w:tblPr>
        <w:tblW w:w="5209" w:type="dxa"/>
        <w:jc w:val="left"/>
        <w:tblInd w:w="0" w:type="dxa"/>
        <w:tblLayout w:type="fixed"/>
        <w:tblCellMar>
          <w:top w:w="0" w:type="dxa"/>
          <w:left w:w="0" w:type="dxa"/>
          <w:bottom w:w="0" w:type="dxa"/>
          <w:right w:w="0" w:type="dxa"/>
        </w:tblCellMar>
      </w:tblPr>
      <w:tblGrid>
        <w:gridCol w:w="2360"/>
        <w:gridCol w:w="60"/>
        <w:gridCol w:w="140"/>
        <w:gridCol w:w="980"/>
        <w:gridCol w:w="60"/>
        <w:gridCol w:w="60"/>
        <w:gridCol w:w="183"/>
        <w:gridCol w:w="1291"/>
        <w:gridCol w:w="75"/>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2022</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6,696,242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6,840,793</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160,331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291" w:type="dxa"/>
            <w:tcBorders/>
            <w:shd w:fill="FFFFFF" w:val="clear"/>
            <w:vAlign w:val="center"/>
          </w:tcPr>
          <w:p>
            <w:pPr>
              <w:pStyle w:val="TableContents"/>
              <w:bidi w:val="0"/>
              <w:spacing w:before="0" w:after="283"/>
              <w:jc w:val="right"/>
              <w:rPr/>
            </w:pPr>
            <w:r>
              <w:rPr/>
              <w:t>270,000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recorded in deferred revenue are generally recognized within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Advertising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marketing expenses primarily consist of marketing event participation and business promotions. In fulfillment of customer contracts, the Company incurs advertising and marketing expenses. Advertising and marketing costs incurred on behalf of a customer are recorded as cost of sales on a gross basis as the Company is ultimately responsible for paying the expense to the vendor. Advertising and marketing costs presented in the financial statements of $99,915 and $148,690 for the three and six months ended June 30, 2023, respectively, are expenses incurred for the benefit of the Company. Advertising and marketing costs were $26,627 and $26,897 for the three and six months ended June 30,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It is the Company’s policy to include interest and penalties related to tax positions as a component of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For options, fair value is estimated using the Black-Scholes option pricing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(UNAUDITED)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SUMMARY OF SIGNIFICANT ACCOUNTING POLICIES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Issued Accounting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ASU Topic 2021-08 </w:t>
      </w:r>
      <w:r>
        <w:rPr>
          <w:rFonts w:ascii="Times New Roman;Times;Serif" w:hAnsi="Times New Roman;Times;Serif"/>
          <w:b w:val="false"/>
          <w:i/>
          <w:caps w:val="false"/>
          <w:smallCaps w:val="false"/>
          <w:sz w:val="20"/>
        </w:rPr>
        <w:t>Business Combinations (Topic 805), Accounting for Contract Assets and Contract Liabilities from Contracts with Customers</w:t>
      </w:r>
      <w:r>
        <w:rPr>
          <w:rFonts w:ascii="Times New Roman;Times;Serif" w:hAnsi="Times New Roman;Times;Serif"/>
          <w:b w:val="false"/>
          <w:i w:val="false"/>
          <w:caps w:val="false"/>
          <w:smallCaps w:val="false"/>
          <w:sz w:val="20"/>
        </w:rPr>
        <w:t>, which requires contract assets and contract liabilities acquired in a business combination to be recognized and measured by the acquirer on the acquisition date in accordance with ASC 606, Revenue from Contracts with Customers, as if it had originated the contracts. The standard is effective for the Company's fiscal year beginning January 1, 2023, with early adoption permitted. The adoption of this standard did not have a material effect on our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marketable securities in accordance with ASC 320, "Investments - Debt Securities", which require that certain debt securities be classified into one of three categories: held-to-maturity, available-for-sale, or trading securities, and depending upon the classification, value the security at amortized cost or fair market value. At June 30, 2023 and December 31, 2022, we have recorded $4.3 million and $4.1 million, respectively, of held-to-maturity government bonds, U.S. Treasury notes, and certificates of deposit at amortized cost basis. Our held-to-maturity investments have maturity dates between July 2023 and December 2025.</w:t>
      </w:r>
    </w:p>
    <w:p>
      <w:pPr>
        <w:pStyle w:val="TextBody"/>
        <w:bidi w:val="0"/>
        <w:spacing w:before="0" w:after="0"/>
        <w:ind w:left="0" w:right="0" w:hanging="0"/>
        <w:jc w:val="both"/>
        <w:rPr>
          <w:caps w:val="false"/>
          <w:smallCaps w:val="false"/>
        </w:rPr>
      </w:pPr>
      <w:r>
        <w:rPr>
          <w:caps w:val="false"/>
          <w:smallCaps w:val="false"/>
        </w:rPr>
        <w:t> </w:t>
      </w:r>
    </w:p>
    <w:tbl>
      <w:tblPr>
        <w:tblW w:w="8448" w:type="dxa"/>
        <w:jc w:val="left"/>
        <w:tblInd w:w="0" w:type="dxa"/>
        <w:tblLayout w:type="fixed"/>
        <w:tblCellMar>
          <w:top w:w="0" w:type="dxa"/>
          <w:left w:w="0" w:type="dxa"/>
          <w:bottom w:w="28" w:type="dxa"/>
          <w:right w:w="0" w:type="dxa"/>
        </w:tblCellMar>
      </w:tblPr>
      <w:tblGrid>
        <w:gridCol w:w="2090"/>
        <w:gridCol w:w="60"/>
        <w:gridCol w:w="140"/>
        <w:gridCol w:w="980"/>
        <w:gridCol w:w="60"/>
        <w:gridCol w:w="60"/>
        <w:gridCol w:w="477"/>
        <w:gridCol w:w="1297"/>
        <w:gridCol w:w="60"/>
        <w:gridCol w:w="60"/>
        <w:gridCol w:w="314"/>
        <w:gridCol w:w="1535"/>
        <w:gridCol w:w="60"/>
        <w:gridCol w:w="60"/>
        <w:gridCol w:w="140"/>
        <w:gridCol w:w="980"/>
        <w:gridCol w:w="75"/>
      </w:tblGrid>
      <w:tr>
        <w:trPr/>
        <w:tc>
          <w:tcPr>
            <w:tcW w:w="2090" w:type="dxa"/>
            <w:tcBorders>
              <w:bottom w:val="single" w:sz="12" w:space="0" w:color="000000"/>
            </w:tcBorders>
            <w:vAlign w:val="center"/>
          </w:tcPr>
          <w:p>
            <w:pPr>
              <w:pStyle w:val="TableContents"/>
              <w:bidi w:val="0"/>
              <w:spacing w:before="0" w:after="283"/>
              <w:jc w:val="left"/>
              <w:rPr>
                <w:b/>
              </w:rPr>
            </w:pPr>
            <w:r>
              <w:rPr>
                <w:b/>
              </w:rPr>
              <w:t>June 30, 2023</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Amortized</w:t>
              <w:br/>
              <w:t>Cost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4" w:type="dxa"/>
            <w:gridSpan w:val="2"/>
            <w:tcBorders>
              <w:bottom w:val="single" w:sz="12" w:space="0" w:color="000000"/>
            </w:tcBorders>
            <w:vAlign w:val="center"/>
          </w:tcPr>
          <w:p>
            <w:pPr>
              <w:pStyle w:val="TableContents"/>
              <w:bidi w:val="0"/>
              <w:spacing w:before="0" w:after="283"/>
              <w:jc w:val="center"/>
              <w:rPr>
                <w:b/>
              </w:rPr>
            </w:pPr>
            <w:r>
              <w:rPr>
                <w:b/>
              </w:rPr>
              <w:t>Gross</w:t>
              <w:br/>
              <w:t>Unrealized Gains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49" w:type="dxa"/>
            <w:gridSpan w:val="2"/>
            <w:tcBorders>
              <w:bottom w:val="single" w:sz="12" w:space="0" w:color="000000"/>
            </w:tcBorders>
            <w:vAlign w:val="center"/>
          </w:tcPr>
          <w:p>
            <w:pPr>
              <w:pStyle w:val="TableContents"/>
              <w:bidi w:val="0"/>
              <w:spacing w:before="0" w:after="283"/>
              <w:jc w:val="center"/>
              <w:rPr>
                <w:b/>
              </w:rPr>
            </w:pPr>
            <w:r>
              <w:rPr>
                <w:b/>
              </w:rPr>
              <w:t>Gross</w:t>
              <w:br/>
              <w:t>Unrealized Losses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Fair Value</w:t>
            </w:r>
          </w:p>
        </w:tc>
        <w:tc>
          <w:tcPr>
            <w:tcW w:w="75" w:type="dxa"/>
            <w:tcBorders/>
            <w:tcMar>
              <w:bottom w:w="0" w:type="dxa"/>
            </w:tcMar>
            <w:vAlign w:val="center"/>
          </w:tcPr>
          <w:p>
            <w:pPr>
              <w:pStyle w:val="TableContents"/>
              <w:bidi w:val="0"/>
              <w:spacing w:before="0" w:after="283"/>
              <w:jc w:val="left"/>
              <w:rPr/>
            </w:pPr>
            <w:r>
              <w:rPr/>
              <w:t> </w:t>
            </w:r>
          </w:p>
        </w:tc>
      </w:tr>
      <w:tr>
        <w:trPr/>
        <w:tc>
          <w:tcPr>
            <w:tcW w:w="2090" w:type="dxa"/>
            <w:tcBorders/>
            <w:shd w:fill="CCEEFF" w:val="clear"/>
            <w:tcMar>
              <w:bottom w:w="0" w:type="dxa"/>
            </w:tcMar>
            <w:vAlign w:val="center"/>
          </w:tcPr>
          <w:p>
            <w:pPr>
              <w:pStyle w:val="TableContents"/>
              <w:bidi w:val="0"/>
              <w:spacing w:before="0" w:after="283"/>
              <w:jc w:val="left"/>
              <w:rPr/>
            </w:pPr>
            <w:r>
              <w:rPr/>
              <w:t>Bonds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3,896,317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7" w:type="dxa"/>
            <w:tcBorders/>
            <w:shd w:fill="CCEEFF" w:val="clear"/>
            <w:tcMar>
              <w:bottom w:w="0" w:type="dxa"/>
            </w:tcMar>
            <w:vAlign w:val="center"/>
          </w:tcPr>
          <w:p>
            <w:pPr>
              <w:pStyle w:val="TableContents"/>
              <w:bidi w:val="0"/>
              <w:spacing w:before="0" w:after="283"/>
              <w:jc w:val="left"/>
              <w:rPr/>
            </w:pPr>
            <w:r>
              <w:rPr/>
              <w:t>$</w:t>
            </w:r>
          </w:p>
        </w:tc>
        <w:tc>
          <w:tcPr>
            <w:tcW w:w="129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 w:type="dxa"/>
            <w:tcBorders/>
            <w:shd w:fill="CCEEFF" w:val="clear"/>
            <w:tcMar>
              <w:bottom w:w="0" w:type="dxa"/>
            </w:tcMar>
            <w:vAlign w:val="center"/>
          </w:tcPr>
          <w:p>
            <w:pPr>
              <w:pStyle w:val="TableContents"/>
              <w:bidi w:val="0"/>
              <w:spacing w:before="0" w:after="283"/>
              <w:jc w:val="left"/>
              <w:rPr/>
            </w:pPr>
            <w:r>
              <w:rPr/>
              <w:t>$</w:t>
            </w:r>
          </w:p>
        </w:tc>
        <w:tc>
          <w:tcPr>
            <w:tcW w:w="1535" w:type="dxa"/>
            <w:tcBorders/>
            <w:shd w:fill="CCEEFF" w:val="clear"/>
            <w:tcMar>
              <w:bottom w:w="0" w:type="dxa"/>
            </w:tcMar>
            <w:vAlign w:val="center"/>
          </w:tcPr>
          <w:p>
            <w:pPr>
              <w:pStyle w:val="TableContents"/>
              <w:bidi w:val="0"/>
              <w:spacing w:before="0" w:after="283"/>
              <w:jc w:val="right"/>
              <w:rPr/>
            </w:pPr>
            <w:r>
              <w:rPr/>
              <w:t>30,903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3,865,414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90" w:type="dxa"/>
            <w:tcBorders/>
            <w:shd w:fill="FFFFFF" w:val="clear"/>
            <w:tcMar>
              <w:bottom w:w="0" w:type="dxa"/>
            </w:tcMar>
            <w:vAlign w:val="center"/>
          </w:tcPr>
          <w:p>
            <w:pPr>
              <w:pStyle w:val="TableContents"/>
              <w:bidi w:val="0"/>
              <w:spacing w:before="0" w:after="283"/>
              <w:jc w:val="left"/>
              <w:rPr/>
            </w:pPr>
            <w:r>
              <w:rPr/>
              <w:t>Treasury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301,979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7"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right"/>
              <w:rPr/>
            </w:pPr>
            <w:r>
              <w:rPr/>
              <w:t>634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4"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right"/>
              <w:rPr/>
            </w:pPr>
            <w:r>
              <w:rPr/>
              <w:t>1,415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301,198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90" w:type="dxa"/>
            <w:tcBorders/>
            <w:shd w:fill="CCEEFF" w:val="clear"/>
            <w:tcMar>
              <w:bottom w:w="0" w:type="dxa"/>
            </w:tcMar>
            <w:vAlign w:val="center"/>
          </w:tcPr>
          <w:p>
            <w:pPr>
              <w:pStyle w:val="TableContents"/>
              <w:bidi w:val="0"/>
              <w:spacing w:before="0" w:after="283"/>
              <w:jc w:val="left"/>
              <w:rPr/>
            </w:pPr>
            <w:r>
              <w:rPr/>
              <w:t>Certificates of deposit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144,000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7" w:type="dxa"/>
            <w:tcBorders>
              <w:bottom w:val="single" w:sz="12" w:space="0" w:color="000000"/>
            </w:tcBorders>
            <w:shd w:fill="CCEEFF" w:val="clear"/>
            <w:vAlign w:val="center"/>
          </w:tcPr>
          <w:p>
            <w:pPr>
              <w:pStyle w:val="TableContents"/>
              <w:bidi w:val="0"/>
              <w:spacing w:before="0" w:after="283"/>
              <w:jc w:val="left"/>
              <w:rPr/>
            </w:pPr>
            <w:r>
              <w:rPr/>
              <w:t> </w:t>
            </w:r>
          </w:p>
        </w:tc>
        <w:tc>
          <w:tcPr>
            <w:tcW w:w="1297"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 w:type="dxa"/>
            <w:tcBorders>
              <w:bottom w:val="single" w:sz="12" w:space="0" w:color="000000"/>
            </w:tcBorders>
            <w:shd w:fill="CCEEFF" w:val="clear"/>
            <w:vAlign w:val="center"/>
          </w:tcPr>
          <w:p>
            <w:pPr>
              <w:pStyle w:val="TableContents"/>
              <w:bidi w:val="0"/>
              <w:spacing w:before="0" w:after="283"/>
              <w:jc w:val="left"/>
              <w:rPr/>
            </w:pPr>
            <w:r>
              <w:rPr/>
              <w:t> </w:t>
            </w:r>
          </w:p>
        </w:tc>
        <w:tc>
          <w:tcPr>
            <w:tcW w:w="1535" w:type="dxa"/>
            <w:tcBorders>
              <w:bottom w:val="single" w:sz="12" w:space="0" w:color="000000"/>
            </w:tcBorders>
            <w:shd w:fill="CCEEFF" w:val="clear"/>
            <w:vAlign w:val="center"/>
          </w:tcPr>
          <w:p>
            <w:pPr>
              <w:pStyle w:val="TableContents"/>
              <w:bidi w:val="0"/>
              <w:spacing w:before="0" w:after="283"/>
              <w:jc w:val="right"/>
              <w:rPr/>
            </w:pPr>
            <w:r>
              <w:rPr/>
              <w:t>3,009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140,991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90"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980" w:type="dxa"/>
            <w:tcBorders>
              <w:bottom w:val="double" w:sz="10" w:space="0" w:color="000000"/>
            </w:tcBorders>
            <w:shd w:fill="FFFFFF" w:val="clear"/>
            <w:vAlign w:val="center"/>
          </w:tcPr>
          <w:p>
            <w:pPr>
              <w:pStyle w:val="TableContents"/>
              <w:bidi w:val="0"/>
              <w:spacing w:before="0" w:after="283"/>
              <w:jc w:val="right"/>
              <w:rPr/>
            </w:pPr>
            <w:r>
              <w:rPr/>
              <w:t>4,342,296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7" w:type="dxa"/>
            <w:tcBorders>
              <w:bottom w:val="double" w:sz="10" w:space="0" w:color="000000"/>
            </w:tcBorders>
            <w:shd w:fill="FFFFFF" w:val="clear"/>
            <w:vAlign w:val="center"/>
          </w:tcPr>
          <w:p>
            <w:pPr>
              <w:pStyle w:val="TableContents"/>
              <w:bidi w:val="0"/>
              <w:spacing w:before="0" w:after="283"/>
              <w:jc w:val="left"/>
              <w:rPr/>
            </w:pPr>
            <w:r>
              <w:rPr/>
              <w:t>$</w:t>
            </w:r>
          </w:p>
        </w:tc>
        <w:tc>
          <w:tcPr>
            <w:tcW w:w="1297" w:type="dxa"/>
            <w:tcBorders>
              <w:bottom w:val="double" w:sz="10" w:space="0" w:color="000000"/>
            </w:tcBorders>
            <w:shd w:fill="FFFFFF" w:val="clear"/>
            <w:vAlign w:val="center"/>
          </w:tcPr>
          <w:p>
            <w:pPr>
              <w:pStyle w:val="TableContents"/>
              <w:bidi w:val="0"/>
              <w:spacing w:before="0" w:after="283"/>
              <w:jc w:val="right"/>
              <w:rPr/>
            </w:pPr>
            <w:r>
              <w:rPr/>
              <w:t>634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4" w:type="dxa"/>
            <w:tcBorders>
              <w:bottom w:val="double" w:sz="10" w:space="0" w:color="000000"/>
            </w:tcBorders>
            <w:shd w:fill="FFFFFF" w:val="clear"/>
            <w:vAlign w:val="center"/>
          </w:tcPr>
          <w:p>
            <w:pPr>
              <w:pStyle w:val="TableContents"/>
              <w:bidi w:val="0"/>
              <w:spacing w:before="0" w:after="283"/>
              <w:jc w:val="left"/>
              <w:rPr/>
            </w:pPr>
            <w:r>
              <w:rPr/>
              <w:t>$</w:t>
            </w:r>
          </w:p>
        </w:tc>
        <w:tc>
          <w:tcPr>
            <w:tcW w:w="1535" w:type="dxa"/>
            <w:tcBorders>
              <w:bottom w:val="double" w:sz="10" w:space="0" w:color="000000"/>
            </w:tcBorders>
            <w:shd w:fill="FFFFFF" w:val="clear"/>
            <w:vAlign w:val="center"/>
          </w:tcPr>
          <w:p>
            <w:pPr>
              <w:pStyle w:val="TableContents"/>
              <w:bidi w:val="0"/>
              <w:spacing w:before="0" w:after="283"/>
              <w:jc w:val="right"/>
              <w:rPr/>
            </w:pPr>
            <w:r>
              <w:rPr/>
              <w:t>35,327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980" w:type="dxa"/>
            <w:tcBorders>
              <w:bottom w:val="double" w:sz="10" w:space="0" w:color="000000"/>
            </w:tcBorders>
            <w:shd w:fill="FFFFFF" w:val="clear"/>
            <w:vAlign w:val="center"/>
          </w:tcPr>
          <w:p>
            <w:pPr>
              <w:pStyle w:val="TableContents"/>
              <w:bidi w:val="0"/>
              <w:spacing w:before="0" w:after="283"/>
              <w:jc w:val="right"/>
              <w:rPr/>
            </w:pPr>
            <w:r>
              <w:rPr/>
              <w:t>4,307,603</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ind w:left="0" w:right="0" w:firstLine="1800"/>
        <w:jc w:val="left"/>
        <w:rPr/>
      </w:pPr>
      <w:r>
        <w:rPr/>
        <w:t> </w:t>
      </w:r>
    </w:p>
    <w:tbl>
      <w:tblPr>
        <w:tblW w:w="8448" w:type="dxa"/>
        <w:jc w:val="left"/>
        <w:tblInd w:w="0" w:type="dxa"/>
        <w:tblLayout w:type="fixed"/>
        <w:tblCellMar>
          <w:top w:w="0" w:type="dxa"/>
          <w:left w:w="0" w:type="dxa"/>
          <w:bottom w:w="28" w:type="dxa"/>
          <w:right w:w="0" w:type="dxa"/>
        </w:tblCellMar>
      </w:tblPr>
      <w:tblGrid>
        <w:gridCol w:w="2090"/>
        <w:gridCol w:w="60"/>
        <w:gridCol w:w="140"/>
        <w:gridCol w:w="980"/>
        <w:gridCol w:w="60"/>
        <w:gridCol w:w="60"/>
        <w:gridCol w:w="248"/>
        <w:gridCol w:w="1526"/>
        <w:gridCol w:w="60"/>
        <w:gridCol w:w="60"/>
        <w:gridCol w:w="314"/>
        <w:gridCol w:w="1535"/>
        <w:gridCol w:w="60"/>
        <w:gridCol w:w="60"/>
        <w:gridCol w:w="140"/>
        <w:gridCol w:w="980"/>
        <w:gridCol w:w="75"/>
      </w:tblGrid>
      <w:tr>
        <w:trPr/>
        <w:tc>
          <w:tcPr>
            <w:tcW w:w="2090" w:type="dxa"/>
            <w:tcBorders>
              <w:bottom w:val="single" w:sz="12" w:space="0" w:color="000000"/>
            </w:tcBorders>
            <w:vAlign w:val="center"/>
          </w:tcPr>
          <w:p>
            <w:pPr>
              <w:pStyle w:val="TableContents"/>
              <w:bidi w:val="0"/>
              <w:spacing w:before="0" w:after="283"/>
              <w:jc w:val="left"/>
              <w:rPr>
                <w:b/>
              </w:rPr>
            </w:pPr>
            <w:r>
              <w:rPr>
                <w:b/>
              </w:rPr>
              <w:t>December 31, 2022</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Amortized</w:t>
              <w:br/>
              <w:t>Cost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74" w:type="dxa"/>
            <w:gridSpan w:val="2"/>
            <w:tcBorders>
              <w:bottom w:val="single" w:sz="12" w:space="0" w:color="000000"/>
            </w:tcBorders>
            <w:vAlign w:val="center"/>
          </w:tcPr>
          <w:p>
            <w:pPr>
              <w:pStyle w:val="TableContents"/>
              <w:bidi w:val="0"/>
              <w:spacing w:before="0" w:after="283"/>
              <w:jc w:val="center"/>
              <w:rPr>
                <w:b/>
              </w:rPr>
            </w:pPr>
            <w:r>
              <w:rPr>
                <w:b/>
              </w:rPr>
              <w:t>Gross</w:t>
              <w:br/>
              <w:t>Unrealized Gains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849" w:type="dxa"/>
            <w:gridSpan w:val="2"/>
            <w:tcBorders>
              <w:bottom w:val="single" w:sz="12" w:space="0" w:color="000000"/>
            </w:tcBorders>
            <w:vAlign w:val="center"/>
          </w:tcPr>
          <w:p>
            <w:pPr>
              <w:pStyle w:val="TableContents"/>
              <w:bidi w:val="0"/>
              <w:spacing w:before="0" w:after="283"/>
              <w:jc w:val="center"/>
              <w:rPr>
                <w:b/>
              </w:rPr>
            </w:pPr>
            <w:r>
              <w:rPr>
                <w:b/>
              </w:rPr>
              <w:t>Gross</w:t>
              <w:br/>
              <w:t>Unrealized Losses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Fair Value</w:t>
            </w:r>
          </w:p>
        </w:tc>
        <w:tc>
          <w:tcPr>
            <w:tcW w:w="75" w:type="dxa"/>
            <w:tcBorders/>
            <w:tcMar>
              <w:bottom w:w="0" w:type="dxa"/>
            </w:tcMar>
            <w:vAlign w:val="center"/>
          </w:tcPr>
          <w:p>
            <w:pPr>
              <w:pStyle w:val="TableContents"/>
              <w:bidi w:val="0"/>
              <w:spacing w:before="0" w:after="283"/>
              <w:jc w:val="center"/>
              <w:rPr/>
            </w:pPr>
            <w:r>
              <w:rPr/>
              <w:t> </w:t>
            </w:r>
          </w:p>
        </w:tc>
      </w:tr>
      <w:tr>
        <w:trPr/>
        <w:tc>
          <w:tcPr>
            <w:tcW w:w="2090" w:type="dxa"/>
            <w:tcBorders/>
            <w:shd w:fill="CCEEFF" w:val="clear"/>
            <w:tcMar>
              <w:bottom w:w="0" w:type="dxa"/>
            </w:tcMar>
            <w:vAlign w:val="center"/>
          </w:tcPr>
          <w:p>
            <w:pPr>
              <w:pStyle w:val="TableContents"/>
              <w:bidi w:val="0"/>
              <w:spacing w:before="0" w:after="283"/>
              <w:jc w:val="left"/>
              <w:rPr/>
            </w:pPr>
            <w:r>
              <w:rPr/>
              <w:t>Bonds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3,386,767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jc w:val="left"/>
              <w:rPr/>
            </w:pPr>
            <w:r>
              <w:rPr/>
              <w:t>$</w:t>
            </w:r>
          </w:p>
        </w:tc>
        <w:tc>
          <w:tcPr>
            <w:tcW w:w="152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 w:type="dxa"/>
            <w:tcBorders/>
            <w:shd w:fill="CCEEFF" w:val="clear"/>
            <w:tcMar>
              <w:bottom w:w="0" w:type="dxa"/>
            </w:tcMar>
            <w:vAlign w:val="center"/>
          </w:tcPr>
          <w:p>
            <w:pPr>
              <w:pStyle w:val="TableContents"/>
              <w:bidi w:val="0"/>
              <w:spacing w:before="0" w:after="283"/>
              <w:jc w:val="left"/>
              <w:rPr/>
            </w:pPr>
            <w:r>
              <w:rPr/>
              <w:t>$</w:t>
            </w:r>
          </w:p>
        </w:tc>
        <w:tc>
          <w:tcPr>
            <w:tcW w:w="1535" w:type="dxa"/>
            <w:tcBorders/>
            <w:shd w:fill="CCEEFF" w:val="clear"/>
            <w:tcMar>
              <w:bottom w:w="0" w:type="dxa"/>
            </w:tcMar>
            <w:vAlign w:val="center"/>
          </w:tcPr>
          <w:p>
            <w:pPr>
              <w:pStyle w:val="TableContents"/>
              <w:bidi w:val="0"/>
              <w:spacing w:before="0" w:after="283"/>
              <w:jc w:val="right"/>
              <w:rPr/>
            </w:pPr>
            <w:r>
              <w:rPr/>
              <w:t>35,149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3,351,618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90" w:type="dxa"/>
            <w:tcBorders/>
            <w:shd w:fill="FFFFFF" w:val="clear"/>
            <w:tcMar>
              <w:bottom w:w="0" w:type="dxa"/>
            </w:tcMar>
            <w:vAlign w:val="center"/>
          </w:tcPr>
          <w:p>
            <w:pPr>
              <w:pStyle w:val="TableContents"/>
              <w:bidi w:val="0"/>
              <w:spacing w:before="0" w:after="283"/>
              <w:jc w:val="left"/>
              <w:rPr/>
            </w:pPr>
            <w:r>
              <w:rPr/>
              <w:t>Treasury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550,336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1526"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4"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right"/>
              <w:rPr/>
            </w:pPr>
            <w:r>
              <w:rPr/>
              <w:t>2,264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548,072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90" w:type="dxa"/>
            <w:tcBorders/>
            <w:shd w:fill="CCEEFF" w:val="clear"/>
            <w:tcMar>
              <w:bottom w:w="0" w:type="dxa"/>
            </w:tcMar>
            <w:vAlign w:val="center"/>
          </w:tcPr>
          <w:p>
            <w:pPr>
              <w:pStyle w:val="TableContents"/>
              <w:bidi w:val="0"/>
              <w:spacing w:before="0" w:after="283"/>
              <w:jc w:val="left"/>
              <w:rPr/>
            </w:pPr>
            <w:r>
              <w:rPr/>
              <w:t>Certificates of deposit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144,000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bottom w:val="single" w:sz="12" w:space="0" w:color="000000"/>
            </w:tcBorders>
            <w:shd w:fill="CCEEFF" w:val="clear"/>
            <w:vAlign w:val="center"/>
          </w:tcPr>
          <w:p>
            <w:pPr>
              <w:pStyle w:val="TableContents"/>
              <w:bidi w:val="0"/>
              <w:spacing w:before="0" w:after="283"/>
              <w:jc w:val="left"/>
              <w:rPr/>
            </w:pPr>
            <w:r>
              <w:rPr/>
              <w:t> </w:t>
            </w:r>
          </w:p>
        </w:tc>
        <w:tc>
          <w:tcPr>
            <w:tcW w:w="1526"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 w:type="dxa"/>
            <w:tcBorders>
              <w:bottom w:val="single" w:sz="12" w:space="0" w:color="000000"/>
            </w:tcBorders>
            <w:shd w:fill="CCEEFF" w:val="clear"/>
            <w:vAlign w:val="center"/>
          </w:tcPr>
          <w:p>
            <w:pPr>
              <w:pStyle w:val="TableContents"/>
              <w:bidi w:val="0"/>
              <w:spacing w:before="0" w:after="283"/>
              <w:jc w:val="left"/>
              <w:rPr/>
            </w:pPr>
            <w:r>
              <w:rPr/>
              <w:t> </w:t>
            </w:r>
          </w:p>
        </w:tc>
        <w:tc>
          <w:tcPr>
            <w:tcW w:w="1535" w:type="dxa"/>
            <w:tcBorders>
              <w:bottom w:val="single" w:sz="12" w:space="0" w:color="000000"/>
            </w:tcBorders>
            <w:shd w:fill="CCEEFF" w:val="clear"/>
            <w:vAlign w:val="center"/>
          </w:tcPr>
          <w:p>
            <w:pPr>
              <w:pStyle w:val="TableContents"/>
              <w:bidi w:val="0"/>
              <w:spacing w:before="0" w:after="283"/>
              <w:jc w:val="right"/>
              <w:rPr/>
            </w:pPr>
            <w:r>
              <w:rPr/>
              <w:t>543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143,457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90"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980" w:type="dxa"/>
            <w:tcBorders>
              <w:bottom w:val="double" w:sz="10" w:space="0" w:color="000000"/>
            </w:tcBorders>
            <w:shd w:fill="FFFFFF" w:val="clear"/>
            <w:vAlign w:val="center"/>
          </w:tcPr>
          <w:p>
            <w:pPr>
              <w:pStyle w:val="TableContents"/>
              <w:bidi w:val="0"/>
              <w:spacing w:before="0" w:after="283"/>
              <w:jc w:val="right"/>
              <w:rPr/>
            </w:pPr>
            <w:r>
              <w:rPr/>
              <w:t>4,081,103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bottom w:val="double" w:sz="10" w:space="0" w:color="000000"/>
            </w:tcBorders>
            <w:shd w:fill="FFFFFF" w:val="clear"/>
            <w:vAlign w:val="center"/>
          </w:tcPr>
          <w:p>
            <w:pPr>
              <w:pStyle w:val="TableContents"/>
              <w:bidi w:val="0"/>
              <w:spacing w:before="0" w:after="283"/>
              <w:jc w:val="left"/>
              <w:rPr/>
            </w:pPr>
            <w:r>
              <w:rPr/>
              <w:t>$</w:t>
            </w:r>
          </w:p>
        </w:tc>
        <w:tc>
          <w:tcPr>
            <w:tcW w:w="1526" w:type="dxa"/>
            <w:tcBorders>
              <w:bottom w:val="double" w:sz="10"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4" w:type="dxa"/>
            <w:tcBorders>
              <w:bottom w:val="double" w:sz="10" w:space="0" w:color="000000"/>
            </w:tcBorders>
            <w:shd w:fill="FFFFFF" w:val="clear"/>
            <w:vAlign w:val="center"/>
          </w:tcPr>
          <w:p>
            <w:pPr>
              <w:pStyle w:val="TableContents"/>
              <w:bidi w:val="0"/>
              <w:spacing w:before="0" w:after="283"/>
              <w:jc w:val="left"/>
              <w:rPr/>
            </w:pPr>
            <w:r>
              <w:rPr/>
              <w:t>$</w:t>
            </w:r>
          </w:p>
        </w:tc>
        <w:tc>
          <w:tcPr>
            <w:tcW w:w="1535" w:type="dxa"/>
            <w:tcBorders>
              <w:bottom w:val="double" w:sz="10" w:space="0" w:color="000000"/>
            </w:tcBorders>
            <w:shd w:fill="FFFFFF" w:val="clear"/>
            <w:vAlign w:val="center"/>
          </w:tcPr>
          <w:p>
            <w:pPr>
              <w:pStyle w:val="TableContents"/>
              <w:bidi w:val="0"/>
              <w:spacing w:before="0" w:after="283"/>
              <w:jc w:val="right"/>
              <w:rPr/>
            </w:pPr>
            <w:r>
              <w:rPr/>
              <w:t>37,956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980" w:type="dxa"/>
            <w:tcBorders>
              <w:bottom w:val="double" w:sz="10" w:space="0" w:color="000000"/>
            </w:tcBorders>
            <w:shd w:fill="FFFFFF" w:val="clear"/>
            <w:vAlign w:val="center"/>
          </w:tcPr>
          <w:p>
            <w:pPr>
              <w:pStyle w:val="TableContents"/>
              <w:bidi w:val="0"/>
              <w:spacing w:before="0" w:after="283"/>
              <w:jc w:val="right"/>
              <w:rPr/>
            </w:pPr>
            <w:r>
              <w:rPr/>
              <w:t>4,043,147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During the six months ended June 30, 2023 and 2022, we had operating leases for office space in one multi tenant facilities in Scottsdale, Arizona. We also had a vehicle lease which expires January 2024. The Company also had a storage space lease in New York,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Lease-related assets, or right-of-use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Amortization of the right of use assets is recognized as non-cash lease expense on a straight-line basis over the lease term, while variable lease payments are expensed as incurred. Short term lease costs include month to month leases and occasional rent for transient meeting and office spaces in shared office space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(UNAUDITED)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 LEASES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 was $27,920 and $55,840 for the three and six month periods ended June 30, 2023, respectively, and is included in operating expenses within the Company’s statements of income. Operating lease cost was $30,520 and $62,340 for the three and six month periods ending June 30,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future minimum lease payments to be made under operating leases as of June 30, 2023:</w:t>
      </w:r>
    </w:p>
    <w:p>
      <w:pPr>
        <w:pStyle w:val="TextBody"/>
        <w:bidi w:val="0"/>
        <w:spacing w:before="0" w:after="0"/>
        <w:ind w:left="0" w:right="0" w:hanging="0"/>
        <w:jc w:val="both"/>
        <w:rPr>
          <w:caps w:val="false"/>
          <w:smallCaps w:val="false"/>
        </w:rPr>
      </w:pPr>
      <w:r>
        <w:rPr>
          <w:caps w:val="false"/>
          <w:smallCaps w:val="false"/>
        </w:rPr>
        <w:t> </w:t>
      </w:r>
    </w:p>
    <w:tbl>
      <w:tblPr>
        <w:tblW w:w="3125" w:type="dxa"/>
        <w:jc w:val="left"/>
        <w:tblInd w:w="0" w:type="dxa"/>
        <w:tblLayout w:type="fixed"/>
        <w:tblCellMar>
          <w:top w:w="0" w:type="dxa"/>
          <w:left w:w="0" w:type="dxa"/>
          <w:bottom w:w="28" w:type="dxa"/>
          <w:right w:w="0" w:type="dxa"/>
        </w:tblCellMar>
      </w:tblPr>
      <w:tblGrid>
        <w:gridCol w:w="2015"/>
        <w:gridCol w:w="60"/>
        <w:gridCol w:w="140"/>
        <w:gridCol w:w="800"/>
        <w:gridCol w:w="110"/>
      </w:tblGrid>
      <w:tr>
        <w:trPr/>
        <w:tc>
          <w:tcPr>
            <w:tcW w:w="2015" w:type="dxa"/>
            <w:tcBorders>
              <w:bottom w:val="single" w:sz="12" w:space="0" w:color="000000"/>
            </w:tcBorders>
            <w:vAlign w:val="center"/>
          </w:tcPr>
          <w:p>
            <w:pPr>
              <w:pStyle w:val="TableContents"/>
              <w:bidi w:val="0"/>
              <w:spacing w:before="0" w:after="283"/>
              <w:jc w:val="left"/>
              <w:rPr>
                <w:b/>
              </w:rPr>
            </w:pPr>
            <w:r>
              <w:rPr>
                <w:b/>
              </w:rPr>
              <w:t>As of June 30, 2023</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61,723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116,651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38,908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30" w:type="dxa"/>
            </w:tcMar>
            <w:vAlign w:val="center"/>
          </w:tcPr>
          <w:p>
            <w:pPr>
              <w:pStyle w:val="TableContents"/>
              <w:bidi w:val="0"/>
              <w:spacing w:before="0" w:after="283"/>
              <w:jc w:val="right"/>
              <w:rPr/>
            </w:pPr>
            <w:r>
              <w:rPr/>
              <w:t>217,282</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pPr>
            <w:r>
              <w:rPr/>
              <w:t>Less: discount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(8,268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015" w:type="dxa"/>
            <w:tcBorders/>
            <w:shd w:fill="FFFFFF" w:val="clear"/>
            <w:tcMar>
              <w:bottom w:w="0" w:type="dxa"/>
            </w:tcMar>
            <w:vAlign w:val="center"/>
          </w:tcPr>
          <w:p>
            <w:pPr>
              <w:pStyle w:val="TableContents"/>
              <w:bidi w:val="0"/>
              <w:spacing w:before="0" w:after="283"/>
              <w:jc w:val="left"/>
              <w:rPr/>
            </w:pPr>
            <w:r>
              <w:rPr/>
              <w:t>Total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800" w:type="dxa"/>
            <w:tcBorders>
              <w:bottom w:val="double" w:sz="10" w:space="0" w:color="000000"/>
            </w:tcBorders>
            <w:shd w:fill="FFFFFF" w:val="clear"/>
            <w:vAlign w:val="center"/>
          </w:tcPr>
          <w:p>
            <w:pPr>
              <w:pStyle w:val="TableContents"/>
              <w:bidi w:val="0"/>
              <w:spacing w:before="0" w:after="283"/>
              <w:jc w:val="right"/>
              <w:rPr/>
            </w:pPr>
            <w:r>
              <w:rPr/>
              <w:t>209,014</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 at June 30, 2023 for operating leases is 1.74 years and the weighted average discount rate used in calculating the operating lease asset and liability is 4.48%. Cash paid for amounts included in the measurement of lease liabilities was $60,878 and $38,831 for the six months ended June 30, 2023 and 2022, respectively, and amortization on the right of use assets was $50,690 and $54,980,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5 –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we record revenue when earned, rather than when billed. From time to time, we may record revenue based on our revenue recognition policies in advance of being able to invoice the customer, or we may invoice the customer prior to being able to recognize the revenue. Amounts billed in advance of revenue recognition are presented as deferred revenue on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several signed contracts with customers for the distribution of messaging, or other services, which include payment in advance. The payments are not recorded as revenue until the revenue is earned under its revenue recognition policy. Deferred revenue was $160,331 and $270,000 as of June 30, 2023 and December 31, 2022, respectively. The contracts are all short term in nature and all revenue is expected to be recognized within 12 months, or less. Following is a summary of activity for the deferred revenue account for each of the six months ended June 30, 2023 and 2022.</w:t>
      </w:r>
    </w:p>
    <w:p>
      <w:pPr>
        <w:pStyle w:val="TextBody"/>
        <w:bidi w:val="0"/>
        <w:spacing w:before="0" w:after="0"/>
        <w:ind w:left="0" w:right="0" w:hanging="0"/>
        <w:jc w:val="both"/>
        <w:rPr>
          <w:caps w:val="false"/>
          <w:smallCaps w:val="false"/>
        </w:rPr>
      </w:pPr>
      <w:r>
        <w:rPr>
          <w:caps w:val="false"/>
          <w:smallCaps w:val="false"/>
        </w:rPr>
        <w:t> </w:t>
      </w:r>
    </w:p>
    <w:tbl>
      <w:tblPr>
        <w:tblW w:w="4325" w:type="dxa"/>
        <w:jc w:val="left"/>
        <w:tblInd w:w="0" w:type="dxa"/>
        <w:tblLayout w:type="fixed"/>
        <w:tblCellMar>
          <w:top w:w="0" w:type="dxa"/>
          <w:left w:w="0" w:type="dxa"/>
          <w:bottom w:w="0" w:type="dxa"/>
          <w:right w:w="0" w:type="dxa"/>
        </w:tblCellMar>
      </w:tblPr>
      <w:tblGrid>
        <w:gridCol w:w="1970"/>
        <w:gridCol w:w="60"/>
        <w:gridCol w:w="140"/>
        <w:gridCol w:w="875"/>
        <w:gridCol w:w="95"/>
        <w:gridCol w:w="60"/>
        <w:gridCol w:w="140"/>
        <w:gridCol w:w="875"/>
        <w:gridCol w:w="110"/>
      </w:tblGrid>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Balance January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270,000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101,771</w:t>
            </w:r>
          </w:p>
        </w:tc>
        <w:tc>
          <w:tcPr>
            <w:tcW w:w="11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Revenue recognized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(439,357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(202,684</w:t>
            </w:r>
          </w:p>
        </w:tc>
        <w:tc>
          <w:tcPr>
            <w:tcW w:w="110" w:type="dxa"/>
            <w:tcBorders/>
            <w:shd w:fill="FFFFFF" w:val="clear"/>
            <w:vAlign w:val="center"/>
          </w:tcPr>
          <w:p>
            <w:pPr>
              <w:pStyle w:val="TableContents"/>
              <w:bidi w:val="0"/>
              <w:spacing w:before="0" w:after="283"/>
              <w:jc w:val="left"/>
              <w:rPr/>
            </w:pPr>
            <w:r>
              <w:rPr/>
              <w:t>)</w:t>
            </w:r>
          </w:p>
        </w:tc>
      </w:tr>
      <w:tr>
        <w:trPr/>
        <w:tc>
          <w:tcPr>
            <w:tcW w:w="1970" w:type="dxa"/>
            <w:tcBorders/>
            <w:shd w:fill="CCEEFF" w:val="clear"/>
            <w:vAlign w:val="center"/>
          </w:tcPr>
          <w:p>
            <w:pPr>
              <w:pStyle w:val="TableContents"/>
              <w:bidi w:val="0"/>
              <w:spacing w:before="0" w:after="283"/>
              <w:jc w:val="left"/>
              <w:rPr/>
            </w:pPr>
            <w:r>
              <w:rPr/>
              <w:t>Amount collected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329,688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307,117</w:t>
            </w:r>
          </w:p>
        </w:tc>
        <w:tc>
          <w:tcPr>
            <w:tcW w:w="11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Balance June 30</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160,331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206,204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6 –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Series A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authorized and issued 166,667 shares of Series A Convertible Preferred Stock during 2015, at $1.50 per share for a total of $250,000. The shares have a par value of $0.001 per share. The stock accrues dividends at 6% per annum, paid quarterly for the first two years. Thereafter, the dividends will accrue and will be payable in preference to any dividends paid on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OFFERS,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FINANCIAL STATEMENTS (UNAUDITED)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6 – STOCKHOLDERS’ EQUITY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Convertible Preferred Stock is convertible at the option of the holder into one share of common stock. Upon any liquidation, dissolution, or winding up of the Company, after all creditors are paid in full and before any liquidation distribution is made to the holders of common stock, each holder of Series A Convertible preferred will be entitled to receive a liquidation preference equal to $2.25 per share, plus accrued and unpaid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dividends of $1,999,985 and $1,000,000 during the six months ended June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authorized the issuance of 20,000,000 shares, $0.001 par value per share, of which 9,975,000 were issued in connection with a tax-free reorganization and exercise of stock options. During 2019, 25,000 shares were repurchased for $50,000 and are maintained as treasury stock as of June 30, 2023 and December 31,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7 – STOCK 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expense related to options for the three and six months ended June 30, 2023 was $127,354 and $203,698, respectively. The Compensation expense related to options for the three and six months ended June 30, 2022 was $91,978 and $165,173, respectively. The fair value of these instruments was calculated using the Black-Scholes option pricing model. There is $1,462,236 of remaining expense related to unvested options to be recognized in the future over a weighted average period of 1.6 years. During the six months ended June 30, 2022, 1,000 stock options were exercised in exchange for 1,000 shares of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8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contracts with various media channel and data partners. From time to time the Company enters into arrangements with a partner to acquire minimum amounts of media or data. As of June 30, 2023 the Company had commitments totaling $11.7 million through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currently involved in any material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9 –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tax expense of $471,669 and $244,307 at effective tax rates of 27.75% and 23.81% for the three months ended June 30, 2023 and 2022, respectively. The effective tax rate for the three months ended June 30, 2023 and 2022, respectively reflect the impact of certain permanent differences that are not deductible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tax expense of $804,019 and $426,624 at effective tax rates of 27.75% and 23.81% for the six months ended June 30, 2023 and 2022, respectively. The effective tax rate for the six months ended June 30, 2023 and 2022, respectively reflect the impact of certain permanent differences that are not deductible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10 – RELATED-PARTY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2018, the Company entered into a new data licensing agreement with the related party which expires July 2023. The agreement requires payments based on prescription claims data that range from $750,000 to $950,000 per year. The related party also provided ad hoc data reporting to the Company which was contracted on an individual program basis. During the three and six month periods ended June 30, 2023, the Company incurred expenses of approximately $388,500 and $851,000, respectively. During the three and six month periods ended June 30, 2022, the Company incurred expenses of approximately $418,500 and $695,000, respectively. The Company had balances due to the related party totaling $786,082 and $699,526 at June 30, 2023 and December 31, 2022, respectively, which were included in accrued expenses on the accompanying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11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OptimizeRx Corporation acquired 100% of the outstanding shares of Healthy Offers, Inc. (d/b/a Medicx Health), a Nevada corporation. On October 24, 2023, a newly formed wholly-owned subsidiary of OptimizeRx Corporation consummated the merger with and into Medicx Health, with Medicx Health continuing as the surviving company and a wholly-owned subsidiary of OptimizeRx Corporation (the "Merger"). The aggregate merger consideration the Company paid to the securityholders of Medicx at the closing was $95,000,000, subject to certain customary post-acquisition purchase price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2" w:name="ea191205ex99-4_optimizerx.htm"/>
      <w:bookmarkStart w:id="43" w:name="ksea191205ex994_optimizerx"/>
      <w:bookmarkEnd w:id="42"/>
      <w:bookmarkEnd w:id="43"/>
      <w:r>
        <w:rPr>
          <w:rFonts w:ascii="Times New Roman;Times;Serif" w:hAnsi="Times New Roman;Times;Serif"/>
          <w:b/>
          <w:i w:val="false"/>
          <w:caps w:val="false"/>
          <w:smallCaps w:val="false"/>
          <w:sz w:val="20"/>
        </w:rPr>
        <w:t>Exhibit 99.4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otherwise requires, the “Company” refers to OptimizeRx Corporation, a Nevada Corporation and “Medicx” refers to Healthy Offers, Inc., a Nevada corporation d/b/a Medicx Health.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Description of the Business Combination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2023, as a result of the previously announced Agreement and Plan of Merger (the “Merger Agreement”) dated October 11, 2023, the Company’s newly created subsidiary (“Merger Sub”) was merged into Medicx, with Medicx remaining as the surviving entity and a wholly-owned subsidiary of the Company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each share of Medicx stock, both preferred and common, issued and outstanding prior to the Merger was automatically cancelled and extinguished and converted into the right to receive a portion of the merger consideration. In addition each vested Medicx option was cancelled and automatically converted into the right to receive a cash payment equal to (i) the excess of the per-share merger consideration over the applicable exercise price of such option, multiplied by (ii) the number of shares of Medicx common stock subject to such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is considered to be the accounting acquirer, as further discussed in “Note 1 — Basis of Presentation” of this unaudited pro forma condensed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are presented for informational purposes only, in accordance with Article 11 of Regulation S-X and are not intended to represent or to be indicative of the income or financial position that the Company would have reported had the Merger been completed as of the dates set forth in the unaudited pro forma condensed combined financial statements due to various factors. The unaudited pro forma condensed combined statement of financial position does not purport to represent the future financial position of the Company and the unaudited pro forma condensed combined statements of operations do not purport to represent the future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June 30, 2023 combines the historical unaudited condensed balance sheet of the Company as of June 30, 2023 and the historical unaudited balance sheet of Medicx as of June 30, 2023 on a pro forma basis as if the Merger had been consummated on June 30, 2023. The unaudited pro forma condensed combined statement of operations for the six months ended June 30, 2023 and the unaudited pro forma condensed statement of operations for the year ended December 31, 2022 combines the historical condensed statement of operations of the Company for the six months ended June 30, 2023 and the year ended December 31, 2022 and the historical statement of operations of Medicx for the same periods on a pro forma basis as if the Merger had been consummated on January 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give effect to any anticipated synergies, operating efficiencies, tax savings, or cost savings that may be associated with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presented to illustrate the estimated effects of the Merger, and should be read in conjunction with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audited financial statements of the Company included in its annual report, on Form 10-K, for the year ended December 31, 2022, filed with the Commission on March 10, 2023.</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unaudited financial statements for the six months ended June 30, 2023, included in the Company’s quarterly report, on Form 10-Q, for the quarter ending June 30, 2023, filed with the Commission on </w:t>
            </w:r>
            <w:r>
              <w:rPr>
                <w:rFonts w:ascii="Times New Roman;Times;Serif" w:hAnsi="Times New Roman;Times;Serif"/>
                <w:sz w:val="20"/>
                <w:shd w:fill="FFFFFF" w:val="clear"/>
              </w:rPr>
              <w:t>August 14, 2023</w:t>
            </w:r>
            <w:r>
              <w:rPr>
                <w:rFonts w:ascii="Times New Roman;Times;Serif" w:hAnsi="Times New Roman;Times;Serif"/>
                <w:sz w:val="20"/>
              </w:rPr>
              <w: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audited financial statements of Medicx as of and for the year ended December 31, 2022 and the unaudited financial statements as of and for the six months ended June 30, 2023, included in this Form 8-K/A.</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entitled “Management’s Discussion and Analysis of Financial Condition and Results of Operations” included in the Company’s annual report, on Form 10-K, for the year ended December 31, 2022, and quarterly report, on Form 10-Q, for the quarter ended June 30, 2023, filed with the Commission on March 10, 2023 and Augu</w:t>
            </w:r>
            <w:r>
              <w:rPr>
                <w:rFonts w:ascii="Times New Roman;Times;Serif" w:hAnsi="Times New Roman;Times;Serif"/>
                <w:sz w:val="20"/>
                <w:shd w:fill="FFFFFF" w:val="clear"/>
              </w:rPr>
              <w:t>st 14, 2023</w:t>
            </w:r>
            <w:r>
              <w:rPr>
                <w:rFonts w:ascii="Times New Roman;Times;Serif" w:hAnsi="Times New Roman;Times;Serif"/>
                <w:sz w:val="20"/>
              </w:rPr>
              <w:t>, respectively.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Management Investor Shares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As previously disclosed, certain members of Medicx’s management team (“Management Investors”) agreed to use a portion of the consideration received to purchase, in the aggregate, approximately $10.5 million of the Company’s common stock. On October 24, 2023, at the closing of the Merger, each Management Investor executed a common stock purchase agreement (the “Subscription Agreement”). Pursuant to the Subscription Agreement, the Company issued 1,444,581 shares of its common stock in the aggregate to the Management Investors.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fair value of these shares, $12.1 million, based on the quoted market price as of the date of the Merger, has been included in the calculation of the fair value of the consideration transferred in connection with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portion of the cash purchase price was funded through debt financing. The financing agreement provides for a term loan in the aggregate principal amount of $40,000,000. The term loan is repayable in quarterly installments on the last business day of each fiscal quarter commencing on December 31, 2023 in an amount equal to 1.25% of the principal amount. The outstanding unpaid principal amount of the term loan, and all accrued and unpaid interest thereon, shall be due and payable on the earliest of (i) the fourth (4th) anniversary of the closing of the financing agreement and funding of the term loan and (ii) the date on which the term loan is declared due and payable pursuant to the terms of the financing agreement. The term loan bears a variable interest rate which is currently priced at 14.12%.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debt issuance costs of $2.1 million in connection with the term loan. These costs are being amortized as interest expense on a straight line basis over the life of the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 AS OF JUNE 30,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89"/>
        <w:gridCol w:w="60"/>
        <w:gridCol w:w="148"/>
        <w:gridCol w:w="1290"/>
        <w:gridCol w:w="95"/>
        <w:gridCol w:w="60"/>
        <w:gridCol w:w="145"/>
        <w:gridCol w:w="1147"/>
        <w:gridCol w:w="95"/>
        <w:gridCol w:w="60"/>
        <w:gridCol w:w="158"/>
        <w:gridCol w:w="1384"/>
        <w:gridCol w:w="95"/>
        <w:gridCol w:w="60"/>
        <w:gridCol w:w="136"/>
        <w:gridCol w:w="454"/>
        <w:gridCol w:w="60"/>
        <w:gridCol w:w="60"/>
        <w:gridCol w:w="146"/>
        <w:gridCol w:w="1280"/>
        <w:gridCol w:w="83"/>
      </w:tblGrid>
      <w:tr>
        <w:trPr/>
        <w:tc>
          <w:tcPr>
            <w:tcW w:w="318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OptimizeRx (Historical)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Medicx (Historical)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Accounting 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 Combined</w:t>
            </w:r>
          </w:p>
        </w:tc>
        <w:tc>
          <w:tcPr>
            <w:tcW w:w="83" w:type="dxa"/>
            <w:tcBorders/>
            <w:vAlign w:val="center"/>
          </w:tcPr>
          <w:p>
            <w:pPr>
              <w:pStyle w:val="TableContents"/>
              <w:bidi w:val="0"/>
              <w:spacing w:before="0" w:after="283"/>
              <w:jc w:val="left"/>
              <w:rPr/>
            </w:pPr>
            <w:r>
              <w:rPr/>
              <w:t> </w:t>
            </w:r>
          </w:p>
        </w:tc>
      </w:tr>
      <w:tr>
        <w:trPr/>
        <w:tc>
          <w:tcPr>
            <w:tcW w:w="10205" w:type="dxa"/>
            <w:gridSpan w:val="21"/>
            <w:tcBorders/>
            <w:vAlign w:val="center"/>
          </w:tcPr>
          <w:p>
            <w:pPr>
              <w:pStyle w:val="TableContents"/>
              <w:bidi w:val="0"/>
              <w:spacing w:before="0" w:after="283"/>
              <w:ind w:left="0" w:right="0" w:hanging="180"/>
              <w:jc w:val="left"/>
              <w:rPr/>
            </w:pPr>
            <w:r>
              <w:rPr/>
              <w:t> </w:t>
            </w:r>
          </w:p>
        </w:tc>
      </w:tr>
      <w:tr>
        <w:trPr/>
        <w:tc>
          <w:tcPr>
            <w:tcW w:w="3189" w:type="dxa"/>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rPr/>
            </w:pPr>
            <w:r>
              <w:rPr/>
              <w:t> </w:t>
            </w:r>
          </w:p>
        </w:tc>
        <w:tc>
          <w:tcPr>
            <w:tcW w:w="143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6" w:type="dxa"/>
            <w:gridSpan w:val="2"/>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180"/>
              <w:jc w:val="left"/>
              <w:rPr/>
            </w:pPr>
            <w:r>
              <w:rPr/>
              <w:t> </w:t>
            </w:r>
          </w:p>
        </w:tc>
      </w:tr>
      <w:tr>
        <w:trPr/>
        <w:tc>
          <w:tcPr>
            <w:tcW w:w="3189"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43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2"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2"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6" w:type="dxa"/>
            <w:gridSpan w:val="2"/>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0" w:type="dxa"/>
            <w:tcBorders/>
            <w:shd w:fill="CCEEFF" w:val="clear"/>
            <w:vAlign w:val="center"/>
          </w:tcPr>
          <w:p>
            <w:pPr>
              <w:pStyle w:val="TableContents"/>
              <w:bidi w:val="0"/>
              <w:spacing w:before="0" w:after="283"/>
              <w:jc w:val="right"/>
              <w:rPr/>
            </w:pPr>
            <w:r>
              <w:rPr/>
              <w:t>9,808,330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147" w:type="dxa"/>
            <w:tcBorders/>
            <w:shd w:fill="CCEEFF" w:val="clear"/>
            <w:vAlign w:val="center"/>
          </w:tcPr>
          <w:p>
            <w:pPr>
              <w:pStyle w:val="TableContents"/>
              <w:bidi w:val="0"/>
              <w:spacing w:before="0" w:after="283"/>
              <w:jc w:val="right"/>
              <w:rPr/>
            </w:pPr>
            <w:r>
              <w:rPr/>
              <w:t>2,940,782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384" w:type="dxa"/>
            <w:tcBorders/>
            <w:shd w:fill="CCEEFF" w:val="clear"/>
            <w:vAlign w:val="center"/>
          </w:tcPr>
          <w:p>
            <w:pPr>
              <w:pStyle w:val="TableContents"/>
              <w:bidi w:val="0"/>
              <w:spacing w:before="0" w:after="283"/>
              <w:jc w:val="right"/>
              <w:rPr/>
            </w:pPr>
            <w:r>
              <w:rPr/>
              <w:t>37,895,000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16,552,547</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(31,150,783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(2,940,782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52,931,831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(52,931,831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Investments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2,583,272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(2,583,272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18,281,133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6,696,242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24,977,375</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Prepaid expenses and other</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4,052,729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519,097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4,571,826</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Employee retention credit receivables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212,251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212,251</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Income tax receivable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256,890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256,890</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12" w:space="0" w:color="000000"/>
            </w:tcBorders>
            <w:shd w:fill="FFFFFF" w:val="clear"/>
            <w:tcMar>
              <w:bottom w:w="28" w:type="dxa"/>
            </w:tcMar>
            <w:vAlign w:val="center"/>
          </w:tcPr>
          <w:p>
            <w:pPr>
              <w:pStyle w:val="TableContents"/>
              <w:bidi w:val="0"/>
              <w:spacing w:before="0" w:after="283"/>
              <w:jc w:val="right"/>
              <w:rPr/>
            </w:pPr>
            <w:r>
              <w:rPr/>
              <w:t>85,074,023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FFFFFF" w:val="clear"/>
            <w:tcMar>
              <w:bottom w:w="28" w:type="dxa"/>
            </w:tcMar>
            <w:vAlign w:val="center"/>
          </w:tcPr>
          <w:p>
            <w:pPr>
              <w:pStyle w:val="TableContents"/>
              <w:bidi w:val="0"/>
              <w:spacing w:before="0" w:after="283"/>
              <w:jc w:val="right"/>
              <w:rPr/>
            </w:pPr>
            <w:r>
              <w:rPr/>
              <w:t>13,208,534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4" w:type="dxa"/>
            <w:tcBorders>
              <w:bottom w:val="single" w:sz="12" w:space="0" w:color="000000"/>
            </w:tcBorders>
            <w:shd w:fill="FFFFFF" w:val="clear"/>
            <w:tcMar>
              <w:bottom w:w="28" w:type="dxa"/>
            </w:tcMar>
            <w:vAlign w:val="center"/>
          </w:tcPr>
          <w:p>
            <w:pPr>
              <w:pStyle w:val="TableContents"/>
              <w:bidi w:val="0"/>
              <w:spacing w:before="0" w:after="283"/>
              <w:jc w:val="right"/>
              <w:rPr/>
            </w:pPr>
            <w:r>
              <w:rPr/>
              <w:t>(51,711,668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46,570,889</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single" w:sz="12" w:space="0" w:color="000000"/>
            </w:tcBorders>
            <w:shd w:fill="CCEEFF" w:val="clear"/>
            <w:tcMar>
              <w:bottom w:w="28" w:type="dxa"/>
            </w:tcMar>
            <w:vAlign w:val="center"/>
          </w:tcPr>
          <w:p>
            <w:pPr>
              <w:pStyle w:val="TableContents"/>
              <w:bidi w:val="0"/>
              <w:spacing w:before="0" w:after="283"/>
              <w:jc w:val="right"/>
              <w:rPr/>
            </w:pPr>
            <w:r>
              <w:rPr/>
              <w:t>140,968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38,683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179,651</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22,673,820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53,871,208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76,545,028</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34,800,000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34,800,000</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Technology assets,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8,366,375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1,268,146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200,000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8,566,375</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(1,268,146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Patent rights,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1,831,839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9,300,000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11,131,839</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Operating right-of-use assets, net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14,544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184,254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198,798</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Other intangible assets,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3,223,305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6,100,000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9,323,305</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Net deferred tax asset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567,652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(567,652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Investments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1,759,024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(1,759,024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FFFFFF" w:val="clear"/>
            <w:tcMar>
              <w:bottom w:w="28" w:type="dxa"/>
            </w:tcMar>
            <w:vAlign w:val="center"/>
          </w:tcPr>
          <w:p>
            <w:pPr>
              <w:pStyle w:val="TableContents"/>
              <w:bidi w:val="0"/>
              <w:spacing w:before="0" w:after="283"/>
              <w:jc w:val="right"/>
              <w:rPr/>
            </w:pPr>
            <w:r>
              <w:rPr/>
              <w:t>9,728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9,728</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Total other assets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single" w:sz="12" w:space="0" w:color="000000"/>
            </w:tcBorders>
            <w:shd w:fill="CCEEFF" w:val="clear"/>
            <w:tcMar>
              <w:bottom w:w="28" w:type="dxa"/>
            </w:tcMar>
            <w:vAlign w:val="center"/>
          </w:tcPr>
          <w:p>
            <w:pPr>
              <w:pStyle w:val="TableContents"/>
              <w:bidi w:val="0"/>
              <w:spacing w:before="0" w:after="283"/>
              <w:jc w:val="right"/>
              <w:rPr/>
            </w:pPr>
            <w:r>
              <w:rPr/>
              <w:t>36,109,883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3,788,804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4" w:type="dxa"/>
            <w:tcBorders>
              <w:bottom w:val="single" w:sz="12" w:space="0" w:color="000000"/>
            </w:tcBorders>
            <w:shd w:fill="CCEEFF" w:val="clear"/>
            <w:tcMar>
              <w:bottom w:w="28" w:type="dxa"/>
            </w:tcMar>
            <w:vAlign w:val="center"/>
          </w:tcPr>
          <w:p>
            <w:pPr>
              <w:pStyle w:val="TableContents"/>
              <w:bidi w:val="0"/>
              <w:spacing w:before="0" w:after="283"/>
              <w:jc w:val="right"/>
              <w:rPr/>
            </w:pPr>
            <w:r>
              <w:rPr/>
              <w:t>100,676,386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140,575,073</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0" w:type="dxa"/>
            <w:tcBorders>
              <w:bottom w:val="double" w:sz="10" w:space="0" w:color="000000"/>
            </w:tcBorders>
            <w:shd w:fill="FFFFFF" w:val="clear"/>
            <w:tcMar>
              <w:bottom w:w="28" w:type="dxa"/>
            </w:tcMar>
            <w:vAlign w:val="center"/>
          </w:tcPr>
          <w:p>
            <w:pPr>
              <w:pStyle w:val="TableContents"/>
              <w:bidi w:val="0"/>
              <w:spacing w:before="0" w:after="283"/>
              <w:jc w:val="right"/>
              <w:rPr/>
            </w:pPr>
            <w:r>
              <w:rPr/>
              <w:t>121,324,874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47" w:type="dxa"/>
            <w:tcBorders>
              <w:bottom w:val="double" w:sz="10" w:space="0" w:color="000000"/>
            </w:tcBorders>
            <w:shd w:fill="FFFFFF" w:val="clear"/>
            <w:tcMar>
              <w:bottom w:w="28" w:type="dxa"/>
            </w:tcMar>
            <w:vAlign w:val="center"/>
          </w:tcPr>
          <w:p>
            <w:pPr>
              <w:pStyle w:val="TableContents"/>
              <w:bidi w:val="0"/>
              <w:spacing w:before="0" w:after="283"/>
              <w:jc w:val="right"/>
              <w:rPr/>
            </w:pPr>
            <w:r>
              <w:rPr/>
              <w:t>17,036,021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84" w:type="dxa"/>
            <w:tcBorders>
              <w:bottom w:val="double" w:sz="10" w:space="0" w:color="000000"/>
            </w:tcBorders>
            <w:shd w:fill="FFFFFF" w:val="clear"/>
            <w:tcMar>
              <w:bottom w:w="28" w:type="dxa"/>
            </w:tcMar>
            <w:vAlign w:val="center"/>
          </w:tcPr>
          <w:p>
            <w:pPr>
              <w:pStyle w:val="TableContents"/>
              <w:bidi w:val="0"/>
              <w:spacing w:before="0" w:after="283"/>
              <w:jc w:val="right"/>
              <w:rPr/>
            </w:pPr>
            <w:r>
              <w:rPr/>
              <w:t>48,964,718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80" w:type="dxa"/>
            <w:tcBorders>
              <w:bottom w:val="double" w:sz="10" w:space="0" w:color="000000"/>
            </w:tcBorders>
            <w:shd w:fill="FFFFFF" w:val="clear"/>
            <w:tcMar>
              <w:bottom w:w="28" w:type="dxa"/>
            </w:tcMar>
            <w:vAlign w:val="center"/>
          </w:tcPr>
          <w:p>
            <w:pPr>
              <w:pStyle w:val="TableContents"/>
              <w:bidi w:val="0"/>
              <w:spacing w:before="0" w:after="283"/>
              <w:jc w:val="right"/>
              <w:rPr/>
            </w:pPr>
            <w:r>
              <w:rPr/>
              <w:t>187,325,613</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center"/>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2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14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1384" w:type="dxa"/>
            <w:tcBorders/>
            <w:shd w:fill="FFFFFF" w:val="clear"/>
            <w:vAlign w:val="center"/>
          </w:tcPr>
          <w:p>
            <w:pPr>
              <w:pStyle w:val="TableContents"/>
              <w:bidi w:val="0"/>
              <w:spacing w:before="0" w:after="283"/>
              <w:jc w:val="right"/>
              <w:rPr/>
            </w:pPr>
            <w:r>
              <w:rPr/>
              <w:t>2,000,000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280" w:type="dxa"/>
            <w:tcBorders/>
            <w:shd w:fill="FFFFFF" w:val="clear"/>
            <w:vAlign w:val="center"/>
          </w:tcPr>
          <w:p>
            <w:pPr>
              <w:pStyle w:val="TableContents"/>
              <w:bidi w:val="0"/>
              <w:spacing w:before="0" w:after="283"/>
              <w:jc w:val="right"/>
              <w:rPr/>
            </w:pPr>
            <w:r>
              <w:rPr/>
              <w:t>2,000,000</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Accounts payable – trade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817,779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1,242,672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2,060,451</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1,503,477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2,753,214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4,256,691</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Revenue share payable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2,722,127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2,722,127</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Current portion of lease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14,545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113,384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127,929</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single" w:sz="12" w:space="0" w:color="000000"/>
            </w:tcBorders>
            <w:shd w:fill="CCEEFF" w:val="clear"/>
            <w:tcMar>
              <w:bottom w:w="28" w:type="dxa"/>
            </w:tcMar>
            <w:vAlign w:val="center"/>
          </w:tcPr>
          <w:p>
            <w:pPr>
              <w:pStyle w:val="TableContents"/>
              <w:bidi w:val="0"/>
              <w:spacing w:before="0" w:after="283"/>
              <w:jc w:val="right"/>
              <w:rPr/>
            </w:pPr>
            <w:r>
              <w:rPr/>
              <w:t>451,787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160,331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612,118</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12" w:space="0" w:color="000000"/>
            </w:tcBorders>
            <w:shd w:fill="FFFFFF" w:val="clear"/>
            <w:tcMar>
              <w:bottom w:w="28" w:type="dxa"/>
            </w:tcMar>
            <w:vAlign w:val="center"/>
          </w:tcPr>
          <w:p>
            <w:pPr>
              <w:pStyle w:val="TableContents"/>
              <w:bidi w:val="0"/>
              <w:spacing w:before="0" w:after="283"/>
              <w:jc w:val="right"/>
              <w:rPr/>
            </w:pPr>
            <w:r>
              <w:rPr/>
              <w:t>5,509,715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FFFFFF" w:val="clear"/>
            <w:tcMar>
              <w:bottom w:w="28" w:type="dxa"/>
            </w:tcMar>
            <w:vAlign w:val="center"/>
          </w:tcPr>
          <w:p>
            <w:pPr>
              <w:pStyle w:val="TableContents"/>
              <w:bidi w:val="0"/>
              <w:spacing w:before="0" w:after="283"/>
              <w:jc w:val="right"/>
              <w:rPr/>
            </w:pPr>
            <w:r>
              <w:rPr/>
              <w:t>4,269,601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4" w:type="dxa"/>
            <w:tcBorders>
              <w:bottom w:val="single" w:sz="12" w:space="0" w:color="000000"/>
            </w:tcBorders>
            <w:shd w:fill="FFFFFF" w:val="clear"/>
            <w:tcMar>
              <w:bottom w:w="28" w:type="dxa"/>
            </w:tcMar>
            <w:vAlign w:val="center"/>
          </w:tcPr>
          <w:p>
            <w:pPr>
              <w:pStyle w:val="TableContents"/>
              <w:bidi w:val="0"/>
              <w:spacing w:before="0" w:after="283"/>
              <w:jc w:val="right"/>
              <w:rPr/>
            </w:pPr>
            <w:r>
              <w:rPr/>
              <w:t>2,000,000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11,779,316</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Long-term debt, less current portion</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35,895,000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35,895,000</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11,649,382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11,649,382</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FFFFFF" w:val="clear"/>
            <w:tcMar>
              <w:bottom w:w="28" w:type="dxa"/>
            </w:tcMar>
            <w:vAlign w:val="center"/>
          </w:tcPr>
          <w:p>
            <w:pPr>
              <w:pStyle w:val="TableContents"/>
              <w:bidi w:val="0"/>
              <w:spacing w:before="0" w:after="283"/>
              <w:jc w:val="right"/>
              <w:rPr/>
            </w:pPr>
            <w:r>
              <w:rPr/>
              <w:t>95,630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95,630</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single" w:sz="12" w:space="0" w:color="000000"/>
            </w:tcBorders>
            <w:shd w:fill="CCEEFF" w:val="clear"/>
            <w:tcMar>
              <w:bottom w:w="28" w:type="dxa"/>
            </w:tcMar>
            <w:vAlign w:val="center"/>
          </w:tcPr>
          <w:p>
            <w:pPr>
              <w:pStyle w:val="TableContents"/>
              <w:bidi w:val="0"/>
              <w:spacing w:before="0" w:after="283"/>
              <w:jc w:val="right"/>
              <w:rPr/>
            </w:pPr>
            <w:r>
              <w:rPr/>
              <w:t>5,509,715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4,365,231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4" w:type="dxa"/>
            <w:tcBorders>
              <w:bottom w:val="single" w:sz="12" w:space="0" w:color="000000"/>
            </w:tcBorders>
            <w:shd w:fill="CCEEFF" w:val="clear"/>
            <w:tcMar>
              <w:bottom w:w="28" w:type="dxa"/>
            </w:tcMar>
            <w:vAlign w:val="center"/>
          </w:tcPr>
          <w:p>
            <w:pPr>
              <w:pStyle w:val="TableContents"/>
              <w:bidi w:val="0"/>
              <w:spacing w:before="0" w:after="283"/>
              <w:jc w:val="right"/>
              <w:rPr/>
            </w:pPr>
            <w:r>
              <w:rPr/>
              <w:t>49,544,382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59,419,328</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Preferred Stock, Series A Convertible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(250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Preferred stock, $0.001 par value, 10,000,000 shares authorized, none issued and outstanding OptimizeRx (Historical) and Pro Forma Combined</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Common stock, $0.001 par value, 166,666,667 shares authorized, 18,376,771 and 19,821,352 shares issued OptimizeRx (Historical) and Pro Forma Combined, respectively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18,377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9,951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(9,951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19,822</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1,445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Treasury stock, $0.001 par value, 1,741,397 and 1,214,398 shares held OptimizeRx (Historical) and Pro Forma Combined, respectively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(1,741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(1,741</w:t>
            </w:r>
          </w:p>
        </w:tc>
        <w:tc>
          <w:tcPr>
            <w:tcW w:w="83" w:type="dxa"/>
            <w:tcBorders/>
            <w:shd w:fill="FFFFFF" w:val="clear"/>
            <w:vAlign w:val="center"/>
          </w:tcPr>
          <w:p>
            <w:pPr>
              <w:pStyle w:val="TableContents"/>
              <w:bidi w:val="0"/>
              <w:spacing w:before="0" w:after="283"/>
              <w:ind w:left="0" w:right="0" w:hanging="180"/>
              <w:jc w:val="left"/>
              <w:rPr/>
            </w:pPr>
            <w:r>
              <w:rPr/>
              <w:t>)</w:t>
            </w:r>
          </w:p>
        </w:tc>
      </w:tr>
      <w:tr>
        <w:trPr/>
        <w:tc>
          <w:tcPr>
            <w:tcW w:w="3189" w:type="dxa"/>
            <w:tcBorders/>
            <w:shd w:fill="CCEEFF" w:val="clear"/>
            <w:vAlign w:val="center"/>
          </w:tcPr>
          <w:p>
            <w:pPr>
              <w:pStyle w:val="TableContents"/>
              <w:bidi w:val="0"/>
              <w:spacing w:before="0" w:after="283"/>
              <w:jc w:val="left"/>
              <w:rPr/>
            </w:pPr>
            <w:r>
              <w:rPr/>
              <w:t>Additional paid-in-capital</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173,049,784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3,099,627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84" w:type="dxa"/>
            <w:tcBorders/>
            <w:shd w:fill="CCEEFF" w:val="clear"/>
            <w:vAlign w:val="center"/>
          </w:tcPr>
          <w:p>
            <w:pPr>
              <w:pStyle w:val="TableContents"/>
              <w:bidi w:val="0"/>
              <w:spacing w:before="0" w:after="283"/>
              <w:jc w:val="right"/>
              <w:rPr/>
            </w:pPr>
            <w:r>
              <w:rPr/>
              <w:t>12,089,681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185,139,465</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31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84" w:type="dxa"/>
            <w:tcBorders/>
            <w:shd w:fill="FFFFFF" w:val="clear"/>
            <w:vAlign w:val="center"/>
          </w:tcPr>
          <w:p>
            <w:pPr>
              <w:pStyle w:val="TableContents"/>
              <w:bidi w:val="0"/>
              <w:spacing w:before="0" w:after="283"/>
              <w:jc w:val="right"/>
              <w:rPr/>
            </w:pPr>
            <w:r>
              <w:rPr/>
              <w:t>(3,099,627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0" w:type="dxa"/>
            <w:tcBorders>
              <w:bottom w:val="single" w:sz="12" w:space="0" w:color="000000"/>
            </w:tcBorders>
            <w:shd w:fill="CCEEFF" w:val="clear"/>
            <w:tcMar>
              <w:bottom w:w="28" w:type="dxa"/>
            </w:tcMar>
            <w:vAlign w:val="center"/>
          </w:tcPr>
          <w:p>
            <w:pPr>
              <w:pStyle w:val="TableContents"/>
              <w:bidi w:val="0"/>
              <w:spacing w:before="0" w:after="283"/>
              <w:jc w:val="right"/>
              <w:rPr/>
            </w:pPr>
            <w:r>
              <w:rPr/>
              <w:t>(57,251,261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9,560,987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4" w:type="dxa"/>
            <w:tcBorders>
              <w:bottom w:val="single" w:sz="12" w:space="0" w:color="000000"/>
            </w:tcBorders>
            <w:shd w:fill="CCEEFF" w:val="clear"/>
            <w:tcMar>
              <w:bottom w:w="28" w:type="dxa"/>
            </w:tcMar>
            <w:vAlign w:val="center"/>
          </w:tcPr>
          <w:p>
            <w:pPr>
              <w:pStyle w:val="TableContents"/>
              <w:bidi w:val="0"/>
              <w:spacing w:before="0" w:after="283"/>
              <w:jc w:val="right"/>
              <w:rPr/>
            </w:pPr>
            <w:r>
              <w:rPr/>
              <w:t>(9,560,987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(57,251,261</w:t>
            </w:r>
          </w:p>
        </w:tc>
        <w:tc>
          <w:tcPr>
            <w:tcW w:w="83" w:type="dxa"/>
            <w:tcBorders/>
            <w:shd w:fill="CCEEFF" w:val="clear"/>
            <w:vAlign w:val="center"/>
          </w:tcPr>
          <w:p>
            <w:pPr>
              <w:pStyle w:val="TableContents"/>
              <w:bidi w:val="0"/>
              <w:spacing w:before="0" w:after="283"/>
              <w:ind w:left="0" w:right="0" w:hanging="180"/>
              <w:jc w:val="left"/>
              <w:rPr/>
            </w:pPr>
            <w:r>
              <w:rPr/>
              <w:t>)</w:t>
            </w:r>
          </w:p>
        </w:tc>
      </w:tr>
      <w:tr>
        <w:trPr/>
        <w:tc>
          <w:tcPr>
            <w:tcW w:w="3189"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0" w:type="dxa"/>
            <w:tcBorders>
              <w:bottom w:val="single" w:sz="12" w:space="0" w:color="000000"/>
            </w:tcBorders>
            <w:shd w:fill="FFFFFF" w:val="clear"/>
            <w:tcMar>
              <w:bottom w:w="28" w:type="dxa"/>
            </w:tcMar>
            <w:vAlign w:val="center"/>
          </w:tcPr>
          <w:p>
            <w:pPr>
              <w:pStyle w:val="TableContents"/>
              <w:bidi w:val="0"/>
              <w:spacing w:before="0" w:after="283"/>
              <w:jc w:val="right"/>
              <w:rPr/>
            </w:pPr>
            <w:r>
              <w:rPr/>
              <w:t>115,815,159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FFFFFF" w:val="clear"/>
            <w:tcMar>
              <w:bottom w:w="28" w:type="dxa"/>
            </w:tcMar>
            <w:vAlign w:val="center"/>
          </w:tcPr>
          <w:p>
            <w:pPr>
              <w:pStyle w:val="TableContents"/>
              <w:bidi w:val="0"/>
              <w:spacing w:before="0" w:after="283"/>
              <w:jc w:val="right"/>
              <w:rPr/>
            </w:pPr>
            <w:r>
              <w:rPr/>
              <w:t>12,670,790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4" w:type="dxa"/>
            <w:tcBorders>
              <w:bottom w:val="single" w:sz="12" w:space="0" w:color="000000"/>
            </w:tcBorders>
            <w:shd w:fill="FFFFFF" w:val="clear"/>
            <w:tcMar>
              <w:bottom w:w="28" w:type="dxa"/>
            </w:tcMar>
            <w:vAlign w:val="center"/>
          </w:tcPr>
          <w:p>
            <w:pPr>
              <w:pStyle w:val="TableContents"/>
              <w:bidi w:val="0"/>
              <w:spacing w:before="0" w:after="283"/>
              <w:jc w:val="right"/>
              <w:rPr/>
            </w:pPr>
            <w:r>
              <w:rPr/>
              <w:t>(579,664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127,906,285</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3189"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90" w:type="dxa"/>
            <w:tcBorders>
              <w:bottom w:val="double" w:sz="10" w:space="0" w:color="000000"/>
            </w:tcBorders>
            <w:shd w:fill="CCEEFF" w:val="clear"/>
            <w:tcMar>
              <w:bottom w:w="28" w:type="dxa"/>
            </w:tcMar>
            <w:vAlign w:val="center"/>
          </w:tcPr>
          <w:p>
            <w:pPr>
              <w:pStyle w:val="TableContents"/>
              <w:bidi w:val="0"/>
              <w:spacing w:before="0" w:after="283"/>
              <w:jc w:val="right"/>
              <w:rPr/>
            </w:pPr>
            <w:r>
              <w:rPr/>
              <w:t>121,324,874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47" w:type="dxa"/>
            <w:tcBorders>
              <w:bottom w:val="double" w:sz="10" w:space="0" w:color="000000"/>
            </w:tcBorders>
            <w:shd w:fill="CCEEFF" w:val="clear"/>
            <w:tcMar>
              <w:bottom w:w="28" w:type="dxa"/>
            </w:tcMar>
            <w:vAlign w:val="center"/>
          </w:tcPr>
          <w:p>
            <w:pPr>
              <w:pStyle w:val="TableContents"/>
              <w:bidi w:val="0"/>
              <w:spacing w:before="0" w:after="283"/>
              <w:jc w:val="right"/>
              <w:rPr/>
            </w:pPr>
            <w:r>
              <w:rPr/>
              <w:t>17,036,021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84" w:type="dxa"/>
            <w:tcBorders>
              <w:bottom w:val="double" w:sz="10" w:space="0" w:color="000000"/>
            </w:tcBorders>
            <w:shd w:fill="CCEEFF" w:val="clear"/>
            <w:tcMar>
              <w:bottom w:w="28" w:type="dxa"/>
            </w:tcMar>
            <w:vAlign w:val="center"/>
          </w:tcPr>
          <w:p>
            <w:pPr>
              <w:pStyle w:val="TableContents"/>
              <w:bidi w:val="0"/>
              <w:spacing w:before="0" w:after="283"/>
              <w:jc w:val="right"/>
              <w:rPr/>
            </w:pPr>
            <w:r>
              <w:rPr/>
              <w:t>48,964,718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10" w:space="0" w:color="000000"/>
            </w:tcBorders>
            <w:shd w:fill="CCEEFF" w:val="clear"/>
            <w:tcMar>
              <w:bottom w:w="28" w:type="dxa"/>
            </w:tcMar>
            <w:vAlign w:val="center"/>
          </w:tcPr>
          <w:p>
            <w:pPr>
              <w:pStyle w:val="TableContents"/>
              <w:bidi w:val="0"/>
              <w:spacing w:before="0" w:after="283"/>
              <w:jc w:val="right"/>
              <w:rPr/>
            </w:pPr>
            <w:r>
              <w:rPr/>
              <w:t>187,325,613</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 FOR THE SIX MONTHS ENDED JUNE 30,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19"/>
        <w:gridCol w:w="60"/>
        <w:gridCol w:w="172"/>
        <w:gridCol w:w="1452"/>
        <w:gridCol w:w="95"/>
        <w:gridCol w:w="60"/>
        <w:gridCol w:w="162"/>
        <w:gridCol w:w="1278"/>
        <w:gridCol w:w="60"/>
        <w:gridCol w:w="60"/>
        <w:gridCol w:w="140"/>
        <w:gridCol w:w="1055"/>
        <w:gridCol w:w="95"/>
        <w:gridCol w:w="60"/>
        <w:gridCol w:w="89"/>
        <w:gridCol w:w="501"/>
        <w:gridCol w:w="60"/>
        <w:gridCol w:w="60"/>
        <w:gridCol w:w="140"/>
        <w:gridCol w:w="1175"/>
        <w:gridCol w:w="112"/>
      </w:tblGrid>
      <w:tr>
        <w:trPr/>
        <w:tc>
          <w:tcPr>
            <w:tcW w:w="331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OptimizeRx (Historical)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Medicx (Historical)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Combined</w:t>
            </w:r>
          </w:p>
        </w:tc>
        <w:tc>
          <w:tcPr>
            <w:tcW w:w="112" w:type="dxa"/>
            <w:tcBorders/>
            <w:vAlign w:val="center"/>
          </w:tcPr>
          <w:p>
            <w:pPr>
              <w:pStyle w:val="TableContents"/>
              <w:bidi w:val="0"/>
              <w:spacing w:before="0" w:after="283"/>
              <w:jc w:val="left"/>
              <w:rPr/>
            </w:pPr>
            <w:r>
              <w:rPr/>
              <w:t> </w:t>
            </w:r>
          </w:p>
        </w:tc>
      </w:tr>
      <w:tr>
        <w:trPr/>
        <w:tc>
          <w:tcPr>
            <w:tcW w:w="10205" w:type="dxa"/>
            <w:gridSpan w:val="21"/>
            <w:tcBorders/>
            <w:vAlign w:val="center"/>
          </w:tcPr>
          <w:p>
            <w:pPr>
              <w:pStyle w:val="TableContents"/>
              <w:bidi w:val="0"/>
              <w:spacing w:before="0" w:after="283"/>
              <w:ind w:left="0" w:right="0" w:hanging="180"/>
              <w:jc w:val="left"/>
              <w:rPr/>
            </w:pPr>
            <w:r>
              <w:rPr/>
              <w:t> </w:t>
            </w:r>
          </w:p>
        </w:tc>
      </w:tr>
      <w:tr>
        <w:trPr/>
        <w:tc>
          <w:tcPr>
            <w:tcW w:w="3319"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452" w:type="dxa"/>
            <w:tcBorders/>
            <w:shd w:fill="CCEEFF" w:val="clear"/>
            <w:vAlign w:val="center"/>
          </w:tcPr>
          <w:p>
            <w:pPr>
              <w:pStyle w:val="TableContents"/>
              <w:bidi w:val="0"/>
              <w:spacing w:before="0" w:after="283"/>
              <w:jc w:val="right"/>
              <w:rPr/>
            </w:pPr>
            <w:r>
              <w:rPr/>
              <w:t>26,821,076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78" w:type="dxa"/>
            <w:tcBorders/>
            <w:shd w:fill="CCEEFF" w:val="clear"/>
            <w:vAlign w:val="center"/>
          </w:tcPr>
          <w:p>
            <w:pPr>
              <w:pStyle w:val="TableContents"/>
              <w:bidi w:val="0"/>
              <w:spacing w:before="0" w:after="283"/>
              <w:jc w:val="right"/>
              <w:rPr/>
            </w:pPr>
            <w:r>
              <w:rPr/>
              <w:t>16,618,317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43,439,393</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319" w:type="dxa"/>
            <w:tcBorders/>
            <w:shd w:fill="FFFFFF" w:val="clear"/>
            <w:vAlign w:val="center"/>
          </w:tcPr>
          <w:p>
            <w:pPr>
              <w:pStyle w:val="TableContents"/>
              <w:bidi w:val="0"/>
              <w:spacing w:before="0" w:after="283"/>
              <w:jc w:val="left"/>
              <w:rPr/>
            </w:pPr>
            <w:r>
              <w:rPr/>
              <w:t>Cost of revenues, exclusive of depreciation and amortization presented separately below</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52" w:type="dxa"/>
            <w:tcBorders>
              <w:bottom w:val="single" w:sz="12" w:space="0" w:color="000000"/>
            </w:tcBorders>
            <w:shd w:fill="FFFFFF" w:val="clear"/>
            <w:tcMar>
              <w:bottom w:w="28" w:type="dxa"/>
            </w:tcMar>
            <w:vAlign w:val="center"/>
          </w:tcPr>
          <w:p>
            <w:pPr>
              <w:pStyle w:val="TableContents"/>
              <w:bidi w:val="0"/>
              <w:spacing w:before="0" w:after="283"/>
              <w:jc w:val="right"/>
              <w:rPr/>
            </w:pPr>
            <w:r>
              <w:rPr/>
              <w:t>11,562,766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7,308,166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18,870,932</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319"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2" w:type="dxa"/>
            <w:tcBorders>
              <w:bottom w:val="single" w:sz="12" w:space="0" w:color="000000"/>
            </w:tcBorders>
            <w:shd w:fill="CCEEFF" w:val="clear"/>
            <w:tcMar>
              <w:bottom w:w="28" w:type="dxa"/>
            </w:tcMar>
            <w:vAlign w:val="center"/>
          </w:tcPr>
          <w:p>
            <w:pPr>
              <w:pStyle w:val="TableContents"/>
              <w:bidi w:val="0"/>
              <w:spacing w:before="0" w:after="283"/>
              <w:jc w:val="right"/>
              <w:rPr/>
            </w:pPr>
            <w:r>
              <w:rPr/>
              <w:t>15,258,310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CCEEFF" w:val="clear"/>
            <w:tcMar>
              <w:bottom w:w="28" w:type="dxa"/>
            </w:tcMar>
            <w:vAlign w:val="center"/>
          </w:tcPr>
          <w:p>
            <w:pPr>
              <w:pStyle w:val="TableContents"/>
              <w:bidi w:val="0"/>
              <w:spacing w:before="0" w:after="283"/>
              <w:jc w:val="right"/>
              <w:rPr/>
            </w:pPr>
            <w:r>
              <w:rPr/>
              <w:t>9,310,151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24,568,461</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3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319"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319"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26,274,669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6,357,180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32,631,849</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319" w:type="dxa"/>
            <w:tcBorders/>
            <w:shd w:fill="CCEEFF" w:val="clear"/>
            <w:vAlign w:val="center"/>
          </w:tcPr>
          <w:p>
            <w:pPr>
              <w:pStyle w:val="TableContents"/>
              <w:bidi w:val="0"/>
              <w:spacing w:before="0" w:after="283"/>
              <w:jc w:val="left"/>
              <w:rPr/>
            </w:pPr>
            <w:r>
              <w:rPr/>
              <w:t>Depreciation, amortization and noncash lease expense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928,695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196,739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2,892,668</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3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5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(182,766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319"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2" w:type="dxa"/>
            <w:tcBorders>
              <w:bottom w:val="single" w:sz="12" w:space="0" w:color="000000"/>
            </w:tcBorders>
            <w:shd w:fill="CCEEFF" w:val="clear"/>
            <w:tcMar>
              <w:bottom w:w="28" w:type="dxa"/>
            </w:tcMar>
            <w:vAlign w:val="center"/>
          </w:tcPr>
          <w:p>
            <w:pPr>
              <w:pStyle w:val="TableContents"/>
              <w:bidi w:val="0"/>
              <w:spacing w:before="0" w:after="283"/>
              <w:jc w:val="right"/>
              <w:rPr/>
            </w:pPr>
            <w:r>
              <w:rPr/>
              <w:t>27,203,364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CCEEFF" w:val="clear"/>
            <w:tcMar>
              <w:bottom w:w="28" w:type="dxa"/>
            </w:tcMar>
            <w:vAlign w:val="center"/>
          </w:tcPr>
          <w:p>
            <w:pPr>
              <w:pStyle w:val="TableContents"/>
              <w:bidi w:val="0"/>
              <w:spacing w:before="0" w:after="283"/>
              <w:jc w:val="right"/>
              <w:rPr/>
            </w:pPr>
            <w:r>
              <w:rPr/>
              <w:t>6,553,919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1,767,234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35,524,517</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319" w:type="dxa"/>
            <w:tcBorders/>
            <w:shd w:fill="FFFFFF" w:val="clear"/>
            <w:vAlign w:val="center"/>
          </w:tcPr>
          <w:p>
            <w:pPr>
              <w:pStyle w:val="TableContents"/>
              <w:bidi w:val="0"/>
              <w:spacing w:before="0" w:after="283"/>
              <w:jc w:val="left"/>
              <w:rPr/>
            </w:pPr>
            <w:r>
              <w:rPr/>
              <w:t>Income (loss) from operations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(11,945,054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2,756,232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(1,767,234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(10,956,056</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3319"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319"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(3,175,527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(3,175,527</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3319"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2" w:type="dxa"/>
            <w:tcBorders>
              <w:bottom w:val="single" w:sz="12" w:space="0" w:color="000000"/>
            </w:tcBorders>
            <w:shd w:fill="CCEEFF" w:val="clear"/>
            <w:tcMar>
              <w:bottom w:w="28" w:type="dxa"/>
            </w:tcMar>
            <w:vAlign w:val="center"/>
          </w:tcPr>
          <w:p>
            <w:pPr>
              <w:pStyle w:val="TableContents"/>
              <w:bidi w:val="0"/>
              <w:spacing w:before="0" w:after="283"/>
              <w:jc w:val="right"/>
              <w:rPr/>
            </w:pPr>
            <w:r>
              <w:rPr/>
              <w:t>1,385,891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CCEEFF" w:val="clear"/>
            <w:tcMar>
              <w:bottom w:w="28" w:type="dxa"/>
            </w:tcMar>
            <w:vAlign w:val="center"/>
          </w:tcPr>
          <w:p>
            <w:pPr>
              <w:pStyle w:val="TableContents"/>
              <w:bidi w:val="0"/>
              <w:spacing w:before="0" w:after="283"/>
              <w:jc w:val="right"/>
              <w:rPr/>
            </w:pPr>
            <w:r>
              <w:rPr/>
              <w:t>141,552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(141,552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1,385,891</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319" w:type="dxa"/>
            <w:tcBorders/>
            <w:shd w:fill="FFFFFF" w:val="clear"/>
            <w:vAlign w:val="center"/>
          </w:tcPr>
          <w:p>
            <w:pPr>
              <w:pStyle w:val="TableContents"/>
              <w:bidi w:val="0"/>
              <w:spacing w:before="0" w:after="283"/>
              <w:jc w:val="left"/>
              <w:rPr/>
            </w:pPr>
            <w:r>
              <w:rPr/>
              <w:t>Income (loss) before provision for income taxes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452" w:type="dxa"/>
            <w:tcBorders/>
            <w:shd w:fill="FFFFFF" w:val="clear"/>
            <w:vAlign w:val="center"/>
          </w:tcPr>
          <w:p>
            <w:pPr>
              <w:pStyle w:val="TableContents"/>
              <w:bidi w:val="0"/>
              <w:spacing w:before="0" w:after="283"/>
              <w:jc w:val="right"/>
              <w:rPr/>
            </w:pPr>
            <w:r>
              <w:rPr/>
              <w:t>(10,559,163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2,897,784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(5,084,313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(12,745,692</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3319"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CCEEFF" w:val="clear"/>
            <w:tcMar>
              <w:bottom w:w="28" w:type="dxa"/>
            </w:tcMar>
            <w:vAlign w:val="center"/>
          </w:tcPr>
          <w:p>
            <w:pPr>
              <w:pStyle w:val="TableContents"/>
              <w:bidi w:val="0"/>
              <w:spacing w:before="0" w:after="283"/>
              <w:jc w:val="right"/>
              <w:rPr/>
            </w:pPr>
            <w:r>
              <w:rPr/>
              <w:t>804,019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(804,019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319"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452" w:type="dxa"/>
            <w:tcBorders>
              <w:bottom w:val="single" w:sz="12" w:space="0" w:color="000000"/>
            </w:tcBorders>
            <w:shd w:fill="FFFFFF" w:val="clear"/>
            <w:tcMar>
              <w:bottom w:w="28" w:type="dxa"/>
            </w:tcMar>
            <w:vAlign w:val="center"/>
          </w:tcPr>
          <w:p>
            <w:pPr>
              <w:pStyle w:val="TableContents"/>
              <w:bidi w:val="0"/>
              <w:spacing w:before="0" w:after="283"/>
              <w:jc w:val="right"/>
              <w:rPr/>
            </w:pPr>
            <w:r>
              <w:rPr/>
              <w:t>(10,559,163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2,093,765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(4,280,294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(12,745,692</w:t>
            </w:r>
          </w:p>
        </w:tc>
        <w:tc>
          <w:tcPr>
            <w:tcW w:w="112" w:type="dxa"/>
            <w:tcBorders/>
            <w:shd w:fill="FFFFFF" w:val="clear"/>
            <w:vAlign w:val="center"/>
          </w:tcPr>
          <w:p>
            <w:pPr>
              <w:pStyle w:val="TableContents"/>
              <w:bidi w:val="0"/>
              <w:spacing w:before="0" w:after="283"/>
              <w:ind w:left="0" w:right="0" w:hanging="180"/>
              <w:jc w:val="left"/>
              <w:rPr/>
            </w:pPr>
            <w:r>
              <w:rPr/>
              <w:t>)</w:t>
            </w:r>
          </w:p>
        </w:tc>
      </w:tr>
      <w:tr>
        <w:trPr/>
        <w:tc>
          <w:tcPr>
            <w:tcW w:w="3319" w:type="dxa"/>
            <w:tcBorders/>
            <w:shd w:fill="CCEEFF" w:val="clear"/>
            <w:vAlign w:val="center"/>
          </w:tcPr>
          <w:p>
            <w:pPr>
              <w:pStyle w:val="TableContents"/>
              <w:bidi w:val="0"/>
              <w:spacing w:before="0" w:after="283"/>
              <w:jc w:val="left"/>
              <w:rPr/>
            </w:pPr>
            <w:r>
              <w:rPr/>
              <w:t>Weighted average number of shares outstanding – basic</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52" w:type="dxa"/>
            <w:tcBorders>
              <w:bottom w:val="single" w:sz="12" w:space="0" w:color="000000"/>
            </w:tcBorders>
            <w:shd w:fill="CCEEFF" w:val="clear"/>
            <w:tcMar>
              <w:bottom w:w="28" w:type="dxa"/>
            </w:tcMar>
            <w:vAlign w:val="center"/>
          </w:tcPr>
          <w:p>
            <w:pPr>
              <w:pStyle w:val="TableContents"/>
              <w:bidi w:val="0"/>
              <w:spacing w:before="0" w:after="283"/>
              <w:jc w:val="right"/>
              <w:rPr/>
            </w:pPr>
            <w:r>
              <w:rPr/>
              <w:t>17,043,793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1,444,581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18,488,374</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3319" w:type="dxa"/>
            <w:tcBorders/>
            <w:shd w:fill="FFFFFF" w:val="clear"/>
            <w:vAlign w:val="center"/>
          </w:tcPr>
          <w:p>
            <w:pPr>
              <w:pStyle w:val="TableContents"/>
              <w:bidi w:val="0"/>
              <w:spacing w:before="0" w:after="283"/>
              <w:jc w:val="left"/>
              <w:rPr/>
            </w:pPr>
            <w:r>
              <w:rPr/>
              <w:t>Weighted average number of shares outstanding – diluted</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52" w:type="dxa"/>
            <w:tcBorders>
              <w:bottom w:val="single" w:sz="12" w:space="0" w:color="000000"/>
            </w:tcBorders>
            <w:shd w:fill="FFFFFF" w:val="clear"/>
            <w:tcMar>
              <w:bottom w:w="28" w:type="dxa"/>
            </w:tcMar>
            <w:vAlign w:val="center"/>
          </w:tcPr>
          <w:p>
            <w:pPr>
              <w:pStyle w:val="TableContents"/>
              <w:bidi w:val="0"/>
              <w:spacing w:before="0" w:after="283"/>
              <w:jc w:val="right"/>
              <w:rPr/>
            </w:pPr>
            <w:r>
              <w:rPr/>
              <w:t>17,043,793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1,444,581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18,488,374</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3319" w:type="dxa"/>
            <w:tcBorders/>
            <w:shd w:fill="CCEEFF" w:val="clear"/>
            <w:vAlign w:val="center"/>
          </w:tcPr>
          <w:p>
            <w:pPr>
              <w:pStyle w:val="TableContents"/>
              <w:bidi w:val="0"/>
              <w:spacing w:before="0" w:after="283"/>
              <w:jc w:val="left"/>
              <w:rPr/>
            </w:pPr>
            <w:r>
              <w:rPr/>
              <w:t>Loss per share – basic</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452" w:type="dxa"/>
            <w:tcBorders>
              <w:bottom w:val="single" w:sz="12" w:space="0" w:color="000000"/>
            </w:tcBorders>
            <w:shd w:fill="CCEEFF" w:val="clear"/>
            <w:tcMar>
              <w:bottom w:w="28" w:type="dxa"/>
            </w:tcMar>
            <w:vAlign w:val="center"/>
          </w:tcPr>
          <w:p>
            <w:pPr>
              <w:pStyle w:val="TableContents"/>
              <w:bidi w:val="0"/>
              <w:spacing w:before="0" w:after="283"/>
              <w:jc w:val="right"/>
              <w:rPr/>
            </w:pPr>
            <w:r>
              <w:rPr/>
              <w:t>(0.62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(0.69</w:t>
            </w:r>
          </w:p>
        </w:tc>
        <w:tc>
          <w:tcPr>
            <w:tcW w:w="112" w:type="dxa"/>
            <w:tcBorders/>
            <w:shd w:fill="CCEEFF" w:val="clear"/>
            <w:vAlign w:val="center"/>
          </w:tcPr>
          <w:p>
            <w:pPr>
              <w:pStyle w:val="TableContents"/>
              <w:bidi w:val="0"/>
              <w:spacing w:before="0" w:after="283"/>
              <w:ind w:left="0" w:right="0" w:hanging="180"/>
              <w:jc w:val="left"/>
              <w:rPr/>
            </w:pPr>
            <w:r>
              <w:rPr/>
              <w:t>)</w:t>
            </w:r>
          </w:p>
        </w:tc>
      </w:tr>
      <w:tr>
        <w:trPr/>
        <w:tc>
          <w:tcPr>
            <w:tcW w:w="3319" w:type="dxa"/>
            <w:tcBorders/>
            <w:shd w:fill="FFFFFF" w:val="clear"/>
            <w:vAlign w:val="center"/>
          </w:tcPr>
          <w:p>
            <w:pPr>
              <w:pStyle w:val="TableContents"/>
              <w:bidi w:val="0"/>
              <w:spacing w:before="0" w:after="283"/>
              <w:jc w:val="left"/>
              <w:rPr/>
            </w:pPr>
            <w:r>
              <w:rPr/>
              <w:t>Loss per share – diluted</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52" w:type="dxa"/>
            <w:tcBorders>
              <w:bottom w:val="double" w:sz="10" w:space="0" w:color="000000"/>
            </w:tcBorders>
            <w:shd w:fill="FFFFFF" w:val="clear"/>
            <w:tcMar>
              <w:bottom w:w="28" w:type="dxa"/>
            </w:tcMar>
            <w:vAlign w:val="center"/>
          </w:tcPr>
          <w:p>
            <w:pPr>
              <w:pStyle w:val="TableContents"/>
              <w:bidi w:val="0"/>
              <w:spacing w:before="0" w:after="283"/>
              <w:jc w:val="right"/>
              <w:rPr/>
            </w:pPr>
            <w:r>
              <w:rPr/>
              <w:t>(0.62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7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(0.69</w:t>
            </w:r>
          </w:p>
        </w:tc>
        <w:tc>
          <w:tcPr>
            <w:tcW w:w="11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 FOR THE YEAR ENDED DECEMBER 31, 2022</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43"/>
        <w:gridCol w:w="60"/>
        <w:gridCol w:w="171"/>
        <w:gridCol w:w="1441"/>
        <w:gridCol w:w="95"/>
        <w:gridCol w:w="60"/>
        <w:gridCol w:w="161"/>
        <w:gridCol w:w="1271"/>
        <w:gridCol w:w="95"/>
        <w:gridCol w:w="60"/>
        <w:gridCol w:w="140"/>
        <w:gridCol w:w="1175"/>
        <w:gridCol w:w="95"/>
        <w:gridCol w:w="60"/>
        <w:gridCol w:w="590"/>
        <w:gridCol w:w="60"/>
        <w:gridCol w:w="140"/>
        <w:gridCol w:w="1175"/>
        <w:gridCol w:w="113"/>
      </w:tblGrid>
      <w:tr>
        <w:trPr/>
        <w:tc>
          <w:tcPr>
            <w:tcW w:w="324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6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OptimizeRx (Historical)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Medicx (Historical)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Combined</w:t>
            </w:r>
          </w:p>
        </w:tc>
        <w:tc>
          <w:tcPr>
            <w:tcW w:w="113" w:type="dxa"/>
            <w:tcBorders/>
            <w:vAlign w:val="center"/>
          </w:tcPr>
          <w:p>
            <w:pPr>
              <w:pStyle w:val="TableContents"/>
              <w:bidi w:val="0"/>
              <w:spacing w:before="0" w:after="283"/>
              <w:jc w:val="left"/>
              <w:rPr/>
            </w:pPr>
            <w:r>
              <w:rPr/>
              <w:t> </w:t>
            </w:r>
          </w:p>
        </w:tc>
      </w:tr>
      <w:tr>
        <w:trPr/>
        <w:tc>
          <w:tcPr>
            <w:tcW w:w="10205" w:type="dxa"/>
            <w:gridSpan w:val="19"/>
            <w:tcBorders/>
            <w:vAlign w:val="center"/>
          </w:tcPr>
          <w:p>
            <w:pPr>
              <w:pStyle w:val="TableContents"/>
              <w:bidi w:val="0"/>
              <w:spacing w:before="0" w:after="283"/>
              <w:ind w:left="0" w:right="0" w:hanging="180"/>
              <w:jc w:val="left"/>
              <w:rPr/>
            </w:pPr>
            <w:r>
              <w:rPr/>
              <w:t> </w:t>
            </w:r>
          </w:p>
        </w:tc>
      </w:tr>
      <w:tr>
        <w:trPr/>
        <w:tc>
          <w:tcPr>
            <w:tcW w:w="3243"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441" w:type="dxa"/>
            <w:tcBorders/>
            <w:shd w:fill="CCEEFF" w:val="clear"/>
            <w:vAlign w:val="center"/>
          </w:tcPr>
          <w:p>
            <w:pPr>
              <w:pStyle w:val="TableContents"/>
              <w:bidi w:val="0"/>
              <w:spacing w:before="0" w:after="283"/>
              <w:jc w:val="right"/>
              <w:rPr/>
            </w:pPr>
            <w:r>
              <w:rPr/>
              <w:t>62,450,156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28,071,080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90,521,236</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3243" w:type="dxa"/>
            <w:tcBorders/>
            <w:shd w:fill="FFFFFF" w:val="clear"/>
            <w:vAlign w:val="center"/>
          </w:tcPr>
          <w:p>
            <w:pPr>
              <w:pStyle w:val="TableContents"/>
              <w:bidi w:val="0"/>
              <w:spacing w:before="0" w:after="283"/>
              <w:jc w:val="left"/>
              <w:rPr/>
            </w:pPr>
            <w:r>
              <w:rPr/>
              <w:t>Cost of revenues, exclusive of depreciation and amortization presented separately below</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41" w:type="dxa"/>
            <w:tcBorders>
              <w:bottom w:val="single" w:sz="12" w:space="0" w:color="000000"/>
            </w:tcBorders>
            <w:shd w:fill="FFFFFF" w:val="clear"/>
            <w:tcMar>
              <w:bottom w:w="28" w:type="dxa"/>
            </w:tcMar>
            <w:vAlign w:val="center"/>
          </w:tcPr>
          <w:p>
            <w:pPr>
              <w:pStyle w:val="TableContents"/>
              <w:bidi w:val="0"/>
              <w:spacing w:before="0" w:after="283"/>
              <w:jc w:val="right"/>
              <w:rPr/>
            </w:pPr>
            <w:r>
              <w:rPr/>
              <w:t>23,483,336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12,172,546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35,655,882</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3243"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1" w:type="dxa"/>
            <w:tcBorders>
              <w:bottom w:val="single" w:sz="12" w:space="0" w:color="000000"/>
            </w:tcBorders>
            <w:shd w:fill="CCEEFF" w:val="clear"/>
            <w:tcMar>
              <w:bottom w:w="28" w:type="dxa"/>
            </w:tcMar>
            <w:vAlign w:val="center"/>
          </w:tcPr>
          <w:p>
            <w:pPr>
              <w:pStyle w:val="TableContents"/>
              <w:bidi w:val="0"/>
              <w:spacing w:before="0" w:after="283"/>
              <w:jc w:val="right"/>
              <w:rPr/>
            </w:pPr>
            <w:r>
              <w:rPr/>
              <w:t>38,966,820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15,898,534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54,865,354</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3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3243"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3243"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pPr>
            <w:r>
              <w:rPr/>
              <w:t>49,235,529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10,520,437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59,755,966</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3243" w:type="dxa"/>
            <w:tcBorders/>
            <w:shd w:fill="CCEEFF" w:val="clear"/>
            <w:vAlign w:val="center"/>
          </w:tcPr>
          <w:p>
            <w:pPr>
              <w:pStyle w:val="TableContents"/>
              <w:bidi w:val="0"/>
              <w:spacing w:before="0" w:after="283"/>
              <w:jc w:val="left"/>
              <w:rPr/>
            </w:pPr>
            <w:r>
              <w:rPr/>
              <w:t>Depreciation, amortization and noncash lease expense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2,022,029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298,735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3,900,000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AB.</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5,947,031</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3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4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(273,733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AC.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3243"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1" w:type="dxa"/>
            <w:tcBorders>
              <w:bottom w:val="single" w:sz="12" w:space="0" w:color="000000"/>
            </w:tcBorders>
            <w:shd w:fill="CCEEFF" w:val="clear"/>
            <w:tcMar>
              <w:bottom w:w="28" w:type="dxa"/>
            </w:tcMar>
            <w:vAlign w:val="center"/>
          </w:tcPr>
          <w:p>
            <w:pPr>
              <w:pStyle w:val="TableContents"/>
              <w:bidi w:val="0"/>
              <w:spacing w:before="0" w:after="283"/>
              <w:jc w:val="right"/>
              <w:rPr/>
            </w:pPr>
            <w:r>
              <w:rPr/>
              <w:t>51,257,558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10,819,172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3,626,267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65,702,997</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3243" w:type="dxa"/>
            <w:tcBorders/>
            <w:shd w:fill="FFFFFF" w:val="clear"/>
            <w:vAlign w:val="center"/>
          </w:tcPr>
          <w:p>
            <w:pPr>
              <w:pStyle w:val="TableContents"/>
              <w:bidi w:val="0"/>
              <w:spacing w:before="0" w:after="283"/>
              <w:jc w:val="left"/>
              <w:rPr/>
            </w:pPr>
            <w:r>
              <w:rPr/>
              <w:t>Income (loss) from operations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pPr>
            <w:r>
              <w:rPr/>
              <w:t>(12,290,738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5,079,362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(3,626,267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(10,837,643</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3243"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3243"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(26,461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(6,351,054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AA.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(6,377,515</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3243"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852,298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33,789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(33,789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AD.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852,298</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3243"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4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726,000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726,000</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3243" w:type="dxa"/>
            <w:tcBorders/>
            <w:shd w:fill="CCEEFF" w:val="clear"/>
            <w:vAlign w:val="center"/>
          </w:tcPr>
          <w:p>
            <w:pPr>
              <w:pStyle w:val="TableContents"/>
              <w:bidi w:val="0"/>
              <w:spacing w:before="0" w:after="283"/>
              <w:jc w:val="left"/>
              <w:rPr/>
            </w:pPr>
            <w:r>
              <w:rPr/>
              <w:t>Total other income (expense)</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1" w:type="dxa"/>
            <w:tcBorders>
              <w:bottom w:val="single" w:sz="12" w:space="0" w:color="000000"/>
            </w:tcBorders>
            <w:shd w:fill="CCEEFF" w:val="clear"/>
            <w:tcMar>
              <w:bottom w:w="28" w:type="dxa"/>
            </w:tcMar>
            <w:vAlign w:val="center"/>
          </w:tcPr>
          <w:p>
            <w:pPr>
              <w:pStyle w:val="TableContents"/>
              <w:bidi w:val="0"/>
              <w:spacing w:before="0" w:after="283"/>
              <w:jc w:val="right"/>
              <w:rPr/>
            </w:pPr>
            <w:r>
              <w:rPr/>
              <w:t>852,298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733,328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(6,384,843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(4,799,217</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3243" w:type="dxa"/>
            <w:tcBorders/>
            <w:shd w:fill="FFFFFF" w:val="clear"/>
            <w:vAlign w:val="center"/>
          </w:tcPr>
          <w:p>
            <w:pPr>
              <w:pStyle w:val="TableContents"/>
              <w:bidi w:val="0"/>
              <w:spacing w:before="0" w:after="283"/>
              <w:jc w:val="left"/>
              <w:rPr/>
            </w:pPr>
            <w:r>
              <w:rPr/>
              <w:t>Loss before provision for income taxes</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pPr>
            <w:r>
              <w:rPr/>
              <w:t>(11,438,440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271" w:type="dxa"/>
            <w:tcBorders/>
            <w:shd w:fill="FFFFFF" w:val="clear"/>
            <w:vAlign w:val="center"/>
          </w:tcPr>
          <w:p>
            <w:pPr>
              <w:pStyle w:val="TableContents"/>
              <w:bidi w:val="0"/>
              <w:spacing w:before="0" w:after="283"/>
              <w:jc w:val="right"/>
              <w:rPr/>
            </w:pPr>
            <w:r>
              <w:rPr/>
              <w:t>5,812,690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(10,011,110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(15,636,860</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3243"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1,350,329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(1,350,329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r>
              <w:rPr/>
              <w:t>AE.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3243"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441" w:type="dxa"/>
            <w:tcBorders>
              <w:bottom w:val="single" w:sz="12" w:space="0" w:color="000000"/>
            </w:tcBorders>
            <w:shd w:fill="FFFFFF" w:val="clear"/>
            <w:tcMar>
              <w:bottom w:w="28" w:type="dxa"/>
            </w:tcMar>
            <w:vAlign w:val="center"/>
          </w:tcPr>
          <w:p>
            <w:pPr>
              <w:pStyle w:val="TableContents"/>
              <w:bidi w:val="0"/>
              <w:spacing w:before="0" w:after="283"/>
              <w:jc w:val="right"/>
              <w:rPr/>
            </w:pPr>
            <w:r>
              <w:rPr/>
              <w:t>(11,438,440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4,462,361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(8,660,781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(15,636,860</w:t>
            </w:r>
          </w:p>
        </w:tc>
        <w:tc>
          <w:tcPr>
            <w:tcW w:w="113" w:type="dxa"/>
            <w:tcBorders/>
            <w:shd w:fill="FFFFFF" w:val="clear"/>
            <w:vAlign w:val="center"/>
          </w:tcPr>
          <w:p>
            <w:pPr>
              <w:pStyle w:val="TableContents"/>
              <w:bidi w:val="0"/>
              <w:spacing w:before="0" w:after="283"/>
              <w:ind w:left="0" w:right="0" w:hanging="180"/>
              <w:jc w:val="left"/>
              <w:rPr/>
            </w:pPr>
            <w:r>
              <w:rPr/>
              <w:t>)</w:t>
            </w:r>
          </w:p>
        </w:tc>
      </w:tr>
      <w:tr>
        <w:trPr/>
        <w:tc>
          <w:tcPr>
            <w:tcW w:w="3243" w:type="dxa"/>
            <w:tcBorders/>
            <w:shd w:fill="CCEEFF" w:val="clear"/>
            <w:vAlign w:val="center"/>
          </w:tcPr>
          <w:p>
            <w:pPr>
              <w:pStyle w:val="TableContents"/>
              <w:bidi w:val="0"/>
              <w:spacing w:before="0" w:after="283"/>
              <w:jc w:val="left"/>
              <w:rPr/>
            </w:pPr>
            <w:r>
              <w:rPr/>
              <w:t>Weighted average number of shares outstanding – basic</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41" w:type="dxa"/>
            <w:tcBorders>
              <w:bottom w:val="single" w:sz="12" w:space="0" w:color="000000"/>
            </w:tcBorders>
            <w:shd w:fill="CCEEFF" w:val="clear"/>
            <w:tcMar>
              <w:bottom w:w="28" w:type="dxa"/>
            </w:tcMar>
            <w:vAlign w:val="center"/>
          </w:tcPr>
          <w:p>
            <w:pPr>
              <w:pStyle w:val="TableContents"/>
              <w:bidi w:val="0"/>
              <w:spacing w:before="0" w:after="283"/>
              <w:jc w:val="right"/>
              <w:rPr/>
            </w:pPr>
            <w:r>
              <w:rPr/>
              <w:t>17,783,992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1,444,581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19,228,573</w:t>
            </w:r>
          </w:p>
        </w:tc>
        <w:tc>
          <w:tcPr>
            <w:tcW w:w="113" w:type="dxa"/>
            <w:tcBorders/>
            <w:shd w:fill="CCEEFF" w:val="clear"/>
            <w:vAlign w:val="center"/>
          </w:tcPr>
          <w:p>
            <w:pPr>
              <w:pStyle w:val="TableContents"/>
              <w:bidi w:val="0"/>
              <w:spacing w:before="0" w:after="283"/>
              <w:ind w:left="0" w:right="0" w:hanging="180"/>
              <w:jc w:val="left"/>
              <w:rPr/>
            </w:pPr>
            <w:r>
              <w:rPr/>
              <w:t> </w:t>
            </w:r>
          </w:p>
        </w:tc>
      </w:tr>
      <w:tr>
        <w:trPr/>
        <w:tc>
          <w:tcPr>
            <w:tcW w:w="3243" w:type="dxa"/>
            <w:tcBorders/>
            <w:shd w:fill="FFFFFF" w:val="clear"/>
            <w:vAlign w:val="center"/>
          </w:tcPr>
          <w:p>
            <w:pPr>
              <w:pStyle w:val="TableContents"/>
              <w:bidi w:val="0"/>
              <w:spacing w:before="0" w:after="283"/>
              <w:jc w:val="left"/>
              <w:rPr/>
            </w:pPr>
            <w:r>
              <w:rPr/>
              <w:t>Weighted average number of shares outstanding – diluted</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41" w:type="dxa"/>
            <w:tcBorders>
              <w:bottom w:val="single" w:sz="12" w:space="0" w:color="000000"/>
            </w:tcBorders>
            <w:shd w:fill="FFFFFF" w:val="clear"/>
            <w:tcMar>
              <w:bottom w:w="28" w:type="dxa"/>
            </w:tcMar>
            <w:vAlign w:val="center"/>
          </w:tcPr>
          <w:p>
            <w:pPr>
              <w:pStyle w:val="TableContents"/>
              <w:bidi w:val="0"/>
              <w:spacing w:before="0" w:after="283"/>
              <w:jc w:val="right"/>
              <w:rPr/>
            </w:pPr>
            <w:r>
              <w:rPr/>
              <w:t>17,783,992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1,444,581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19,228,573</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3243" w:type="dxa"/>
            <w:tcBorders/>
            <w:shd w:fill="CCEEFF" w:val="clear"/>
            <w:vAlign w:val="center"/>
          </w:tcPr>
          <w:p>
            <w:pPr>
              <w:pStyle w:val="TableContents"/>
              <w:bidi w:val="0"/>
              <w:spacing w:before="0" w:after="283"/>
              <w:jc w:val="left"/>
              <w:rPr/>
            </w:pPr>
            <w:r>
              <w:rPr/>
              <w:t>Loss per share – basic</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441" w:type="dxa"/>
            <w:tcBorders>
              <w:bottom w:val="single" w:sz="12" w:space="0" w:color="000000"/>
            </w:tcBorders>
            <w:shd w:fill="CCEEFF" w:val="clear"/>
            <w:tcMar>
              <w:bottom w:w="28" w:type="dxa"/>
            </w:tcMar>
            <w:vAlign w:val="center"/>
          </w:tcPr>
          <w:p>
            <w:pPr>
              <w:pStyle w:val="TableContents"/>
              <w:bidi w:val="0"/>
              <w:spacing w:before="0" w:after="283"/>
              <w:jc w:val="right"/>
              <w:rPr/>
            </w:pPr>
            <w:r>
              <w:rPr/>
              <w:t>(0.64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(0.81</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3243" w:type="dxa"/>
            <w:tcBorders/>
            <w:shd w:fill="FFFFFF" w:val="clear"/>
            <w:vAlign w:val="center"/>
          </w:tcPr>
          <w:p>
            <w:pPr>
              <w:pStyle w:val="TableContents"/>
              <w:bidi w:val="0"/>
              <w:spacing w:before="0" w:after="283"/>
              <w:jc w:val="left"/>
              <w:rPr/>
            </w:pPr>
            <w:r>
              <w:rPr/>
              <w:t>Loss per share – diluted</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41" w:type="dxa"/>
            <w:tcBorders>
              <w:bottom w:val="double" w:sz="10" w:space="0" w:color="000000"/>
            </w:tcBorders>
            <w:shd w:fill="FFFFFF" w:val="clear"/>
            <w:tcMar>
              <w:bottom w:w="28" w:type="dxa"/>
            </w:tcMar>
            <w:vAlign w:val="center"/>
          </w:tcPr>
          <w:p>
            <w:pPr>
              <w:pStyle w:val="TableContents"/>
              <w:bidi w:val="0"/>
              <w:spacing w:before="0" w:after="283"/>
              <w:jc w:val="right"/>
              <w:rPr/>
            </w:pPr>
            <w:r>
              <w:rPr/>
              <w:t>(0.64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(0.81</w:t>
            </w:r>
          </w:p>
        </w:tc>
        <w:tc>
          <w:tcPr>
            <w:tcW w:w="113"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805 - Business Combination, the Company will be considered as the acquirer for financial reporting purposes. Accordingly, for accounting purposes, the Company will record the assets and, identifiable intangibles acquired and liabilities assumed in the Merger at their fair values at the date of acquisition. Any remaining purchase price not allocated to these items will be recorded as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June 30, 2023, gives pro forma effect to the Merger as if it had occurred on June 30, 2023. The unaudited pro forma condensed combined statement of operations for the six months ended June 30, 2023, and for the year ended December 31, 2022, gives pro forma effect to the Merger as if it had been completed on January 1, 2022. These periods are presented on the basis of the Company as the accounting acquirer.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reflecting the consummation of the Merger and related transactions are based on certain currently available information and certain assumptions and methodologies that the Company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differences may be material. The Company believes that its assumptions and methodologies provide a reasonable basis for presenting all of the significant effects of the Merger and related transactions based on information available to management at the time and that the pro forma adjustments give appropriate effect to those assumptions and are properly applied in the unaudited pro forma condensed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give effect to any anticipated synergies, operating efficiencies, tax savings, or cost savings that may be associated with the Merger. The unaudited pro forma condensed combined financial information is not necessarily indicative of what the actual results of operations and financial position would have been had the Merger and related transactions taken place on the dates indicated, nor are they indicative of the future consolidated results of operations or financial position of the Company. They should be read in conjunction with the historical financial statements and notes thereto of the Company and Medicx.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consummation of the Merger, management is performing a comprehensive review of the two entities’ accounting policies. As a result of the review, management may identify differences between the accounting policies of the two entities which, when conformed, could have a material impact on the financial statements of the Company.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Preliminary Purchase Price Allocation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components of the purchase consideration.</w:t>
      </w:r>
    </w:p>
    <w:p>
      <w:pPr>
        <w:pStyle w:val="TextBody"/>
        <w:bidi w:val="0"/>
        <w:spacing w:before="0" w:after="0"/>
        <w:ind w:left="0" w:right="0" w:hanging="0"/>
        <w:jc w:val="both"/>
        <w:rPr>
          <w:caps w:val="false"/>
          <w:smallCaps w:val="false"/>
        </w:rPr>
      </w:pPr>
      <w:r>
        <w:rPr>
          <w:caps w:val="false"/>
          <w:smallCaps w:val="false"/>
        </w:rPr>
        <w:t> </w:t>
      </w:r>
    </w:p>
    <w:tbl>
      <w:tblPr>
        <w:tblW w:w="5510" w:type="dxa"/>
        <w:jc w:val="left"/>
        <w:tblInd w:w="0" w:type="dxa"/>
        <w:tblLayout w:type="fixed"/>
        <w:tblCellMar>
          <w:top w:w="0" w:type="dxa"/>
          <w:left w:w="0" w:type="dxa"/>
          <w:bottom w:w="0" w:type="dxa"/>
          <w:right w:w="0" w:type="dxa"/>
        </w:tblCellMar>
      </w:tblPr>
      <w:tblGrid>
        <w:gridCol w:w="4025"/>
        <w:gridCol w:w="60"/>
        <w:gridCol w:w="140"/>
        <w:gridCol w:w="1175"/>
        <w:gridCol w:w="110"/>
      </w:tblGrid>
      <w:tr>
        <w:trPr/>
        <w:tc>
          <w:tcPr>
            <w:tcW w:w="4025" w:type="dxa"/>
            <w:tcBorders/>
            <w:shd w:fill="CCEEFF" w:val="clear"/>
            <w:vAlign w:val="center"/>
          </w:tcPr>
          <w:p>
            <w:pPr>
              <w:pStyle w:val="TableContents"/>
              <w:bidi w:val="0"/>
              <w:spacing w:before="0" w:after="283"/>
              <w:jc w:val="left"/>
              <w:rPr/>
            </w:pPr>
            <w:r>
              <w:rPr/>
              <w:t>Base purchase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95,000,000</w:t>
            </w:r>
          </w:p>
        </w:tc>
        <w:tc>
          <w:tcPr>
            <w:tcW w:w="11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Cash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950,000</w:t>
            </w:r>
          </w:p>
        </w:tc>
        <w:tc>
          <w:tcPr>
            <w:tcW w:w="11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Working capital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(1,433,193</w:t>
            </w:r>
          </w:p>
        </w:tc>
        <w:tc>
          <w:tcPr>
            <w:tcW w:w="110" w:type="dxa"/>
            <w:tcBorders/>
            <w:shd w:fill="CCEEFF" w:val="clear"/>
            <w:vAlign w:val="center"/>
          </w:tcPr>
          <w:p>
            <w:pPr>
              <w:pStyle w:val="TableContents"/>
              <w:bidi w:val="0"/>
              <w:spacing w:before="0" w:after="283"/>
              <w:jc w:val="left"/>
              <w:rPr/>
            </w:pPr>
            <w:r>
              <w:rPr/>
              <w:t>)</w:t>
            </w:r>
          </w:p>
        </w:tc>
      </w:tr>
      <w:tr>
        <w:trPr/>
        <w:tc>
          <w:tcPr>
            <w:tcW w:w="4025" w:type="dxa"/>
            <w:tcBorders/>
            <w:shd w:fill="FFFFFF" w:val="clear"/>
            <w:vAlign w:val="center"/>
          </w:tcPr>
          <w:p>
            <w:pPr>
              <w:pStyle w:val="TableContents"/>
              <w:bidi w:val="0"/>
              <w:spacing w:before="0" w:after="283"/>
              <w:jc w:val="left"/>
              <w:rPr/>
            </w:pPr>
            <w:r>
              <w:rPr/>
              <w:t>Management investment in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(10,434,193</w:t>
            </w:r>
          </w:p>
        </w:tc>
        <w:tc>
          <w:tcPr>
            <w:tcW w:w="110" w:type="dxa"/>
            <w:tcBorders/>
            <w:shd w:fill="FFFFFF" w:val="clear"/>
            <w:vAlign w:val="center"/>
          </w:tcPr>
          <w:p>
            <w:pPr>
              <w:pStyle w:val="TableContents"/>
              <w:bidi w:val="0"/>
              <w:spacing w:before="0" w:after="283"/>
              <w:jc w:val="left"/>
              <w:rPr/>
            </w:pPr>
            <w:r>
              <w:rPr/>
              <w:t>)</w:t>
            </w:r>
          </w:p>
        </w:tc>
      </w:tr>
      <w:tr>
        <w:trPr/>
        <w:tc>
          <w:tcPr>
            <w:tcW w:w="4025" w:type="dxa"/>
            <w:tcBorders/>
            <w:shd w:fill="CCEEFF" w:val="clear"/>
            <w:vAlign w:val="center"/>
          </w:tcPr>
          <w:p>
            <w:pPr>
              <w:pStyle w:val="TableContents"/>
              <w:bidi w:val="0"/>
              <w:spacing w:before="0" w:after="283"/>
              <w:jc w:val="left"/>
              <w:rPr/>
            </w:pPr>
            <w:r>
              <w:rPr/>
              <w:t>Net cash transferred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84,082,614</w:t>
            </w:r>
          </w:p>
        </w:tc>
        <w:tc>
          <w:tcPr>
            <w:tcW w:w="11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pPr>
            <w:r>
              <w:rPr/>
              <w:t>Fair value of common stock transferred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12,091,126</w:t>
            </w:r>
          </w:p>
        </w:tc>
        <w:tc>
          <w:tcPr>
            <w:tcW w:w="11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Fair value of consideration transferred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96,173,740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preliminary allocation of the purchase consideration to the estimated fair value of the assets acquired and liabilities assumed by the Company in connection with the Merger is as follows:</w:t>
      </w:r>
    </w:p>
    <w:p>
      <w:pPr>
        <w:pStyle w:val="TextBody"/>
        <w:bidi w:val="0"/>
        <w:spacing w:before="0" w:after="0"/>
        <w:ind w:left="0" w:right="0" w:hanging="0"/>
        <w:jc w:val="both"/>
        <w:rPr>
          <w:caps w:val="false"/>
          <w:smallCaps w:val="false"/>
        </w:rPr>
      </w:pPr>
      <w:r>
        <w:rPr>
          <w:caps w:val="false"/>
          <w:smallCaps w:val="false"/>
        </w:rPr>
        <w:t> </w:t>
      </w:r>
    </w:p>
    <w:tbl>
      <w:tblPr>
        <w:tblW w:w="7889" w:type="dxa"/>
        <w:jc w:val="left"/>
        <w:tblInd w:w="0" w:type="dxa"/>
        <w:tblLayout w:type="fixed"/>
        <w:tblCellMar>
          <w:top w:w="0" w:type="dxa"/>
          <w:left w:w="0" w:type="dxa"/>
          <w:bottom w:w="0" w:type="dxa"/>
          <w:right w:w="0" w:type="dxa"/>
        </w:tblCellMar>
      </w:tblPr>
      <w:tblGrid>
        <w:gridCol w:w="3620"/>
        <w:gridCol w:w="60"/>
        <w:gridCol w:w="220"/>
        <w:gridCol w:w="1734"/>
        <w:gridCol w:w="60"/>
        <w:gridCol w:w="60"/>
        <w:gridCol w:w="2060"/>
        <w:gridCol w:w="75"/>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Medicx (Historical)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0" w:type="dxa"/>
            <w:tcBorders>
              <w:bottom w:val="single" w:sz="12" w:space="0" w:color="000000"/>
            </w:tcBorders>
            <w:tcMar>
              <w:bottom w:w="28" w:type="dxa"/>
            </w:tcMar>
            <w:vAlign w:val="center"/>
          </w:tcPr>
          <w:p>
            <w:pPr>
              <w:pStyle w:val="TableContents"/>
              <w:bidi w:val="0"/>
              <w:spacing w:before="0" w:after="283"/>
              <w:jc w:val="center"/>
              <w:rPr>
                <w:b/>
              </w:rPr>
            </w:pPr>
            <w:r>
              <w:rPr>
                <w:b/>
              </w:rPr>
              <w:t>Estimated useful life</w:t>
            </w:r>
          </w:p>
        </w:tc>
        <w:tc>
          <w:tcPr>
            <w:tcW w:w="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Assets Acquired</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734" w:type="dxa"/>
            <w:tcBorders/>
            <w:shd w:fill="CCEEFF" w:val="clear"/>
            <w:vAlign w:val="center"/>
          </w:tcPr>
          <w:p>
            <w:pPr>
              <w:pStyle w:val="TableContents"/>
              <w:bidi w:val="0"/>
              <w:spacing w:before="0" w:after="283"/>
              <w:jc w:val="right"/>
              <w:rPr/>
            </w:pPr>
            <w:r>
              <w:rPr/>
              <w:t>6,696,242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Prepaid expenses and other</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988,238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38,683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Right of use assets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184,254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Customer relationship intangible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34,800,000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 years</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Patent intangible</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9,300,000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Trademark intangible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6,100,000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Technology intangible</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34" w:type="dxa"/>
            <w:tcBorders>
              <w:bottom w:val="single" w:sz="12" w:space="0" w:color="000000"/>
            </w:tcBorders>
            <w:shd w:fill="CCEEFF" w:val="clear"/>
            <w:tcMar>
              <w:bottom w:w="28" w:type="dxa"/>
            </w:tcMar>
            <w:vAlign w:val="center"/>
          </w:tcPr>
          <w:p>
            <w:pPr>
              <w:pStyle w:val="TableContents"/>
              <w:bidi w:val="0"/>
              <w:spacing w:before="0" w:after="283"/>
              <w:jc w:val="right"/>
              <w:rPr/>
            </w:pPr>
            <w:r>
              <w:rPr/>
              <w:t>9,728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34" w:type="dxa"/>
            <w:tcBorders>
              <w:bottom w:val="single" w:sz="12" w:space="0" w:color="000000"/>
            </w:tcBorders>
            <w:shd w:fill="FFFFFF" w:val="clear"/>
            <w:tcMar>
              <w:bottom w:w="28" w:type="dxa"/>
            </w:tcMar>
            <w:vAlign w:val="center"/>
          </w:tcPr>
          <w:p>
            <w:pPr>
              <w:pStyle w:val="TableContents"/>
              <w:bidi w:val="0"/>
              <w:spacing w:before="0" w:after="283"/>
              <w:jc w:val="right"/>
              <w:rPr/>
            </w:pPr>
            <w:r>
              <w:rPr/>
              <w:t>58,317,145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Liabilities Assumed</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1,242,672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2,753,214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209,014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pPr>
            <w:r>
              <w:rPr/>
              <w:t>160,331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34" w:type="dxa"/>
            <w:tcBorders>
              <w:bottom w:val="single" w:sz="12" w:space="0" w:color="000000"/>
            </w:tcBorders>
            <w:shd w:fill="FFFFFF" w:val="clear"/>
            <w:tcMar>
              <w:bottom w:w="28" w:type="dxa"/>
            </w:tcMar>
            <w:vAlign w:val="center"/>
          </w:tcPr>
          <w:p>
            <w:pPr>
              <w:pStyle w:val="TableContents"/>
              <w:bidi w:val="0"/>
              <w:spacing w:before="0" w:after="283"/>
              <w:jc w:val="right"/>
              <w:rPr/>
            </w:pPr>
            <w:r>
              <w:rPr/>
              <w:t>11,649,382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34" w:type="dxa"/>
            <w:tcBorders>
              <w:bottom w:val="single" w:sz="12" w:space="0" w:color="000000"/>
            </w:tcBorders>
            <w:shd w:fill="CCEEFF" w:val="clear"/>
            <w:tcMar>
              <w:bottom w:w="28" w:type="dxa"/>
            </w:tcMar>
            <w:vAlign w:val="center"/>
          </w:tcPr>
          <w:p>
            <w:pPr>
              <w:pStyle w:val="TableContents"/>
              <w:bidi w:val="0"/>
              <w:spacing w:before="0" w:after="283"/>
              <w:jc w:val="right"/>
              <w:rPr/>
            </w:pPr>
            <w:r>
              <w:rPr/>
              <w:t>16,014,613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r>
              <w:rPr/>
              <w:t>53,871,208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Fair value of consideration transferred</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734" w:type="dxa"/>
            <w:tcBorders>
              <w:bottom w:val="double" w:sz="10" w:space="0" w:color="000000"/>
            </w:tcBorders>
            <w:shd w:fill="CCEEFF" w:val="clear"/>
            <w:tcMar>
              <w:bottom w:w="28" w:type="dxa"/>
            </w:tcMar>
            <w:vAlign w:val="center"/>
          </w:tcPr>
          <w:p>
            <w:pPr>
              <w:pStyle w:val="TableContents"/>
              <w:bidi w:val="0"/>
              <w:spacing w:before="0" w:after="283"/>
              <w:jc w:val="right"/>
              <w:rPr/>
            </w:pPr>
            <w:r>
              <w:rPr/>
              <w:t>96,173,740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pro-forma purchase price allocation presented above is preliminary and, as a result, the amounts presented could change materially when the purchase price allocation is finalized.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Adjustments to Unaudited Pro Forma Condensed Combined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adjustments included in the unaudited pro forma condensed combined balance sheet as of June 30, 2023, are as follows: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Reflects the issuance of the $40 million term loan, net of debt issuance costs of $2.1 million.</w:t>
            </w:r>
          </w:p>
        </w:tc>
      </w:tr>
      <w:tr>
        <w:trPr/>
        <w:tc>
          <w:tcPr>
            <w:tcW w:w="215"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the net cash payment of $84.1 million and issuance of 1,444,581 shares of the Company’s common stock in connection with the Merger and the agreement with the Management Investors to u</w:t>
            </w:r>
            <w:r>
              <w:rPr>
                <w:rFonts w:ascii="Times New Roman;Times;Serif" w:hAnsi="Times New Roman;Times;Serif"/>
                <w:sz w:val="20"/>
                <w:shd w:fill="FFFFFF" w:val="clear"/>
              </w:rPr>
              <w:t>se a portion of the Merger consideration received to purchase, in the aggregate, approximately $10.4 million of the Company’s common stock</w:t>
            </w:r>
            <w:r>
              <w:rPr>
                <w:rFonts w:ascii="Times New Roman;Times;Serif" w:hAnsi="Times New Roman;Times;Serif"/>
                <w:sz w:val="20"/>
              </w:rPr>
              <w:t>.</w:t>
            </w:r>
          </w:p>
        </w:tc>
      </w:tr>
      <w:tr>
        <w:trPr/>
        <w:tc>
          <w:tcPr>
            <w:tcW w:w="215"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Reflects preliminary purchase price allocation and elimination of Medicx’s historical shareholders’ equity.</w:t>
            </w:r>
          </w:p>
        </w:tc>
      </w:tr>
      <w:tr>
        <w:trPr/>
        <w:tc>
          <w:tcPr>
            <w:tcW w:w="215" w:type="dxa"/>
            <w:tcBorders/>
            <w:vAlign w:val="center"/>
          </w:tcPr>
          <w:p>
            <w:pPr>
              <w:pStyle w:val="TableContents"/>
              <w:bidi w:val="0"/>
              <w:spacing w:before="0" w:after="283"/>
              <w:jc w:val="both"/>
              <w:rPr/>
            </w:pPr>
            <w:r>
              <w:rPr/>
              <w:t> </w:t>
            </w:r>
          </w:p>
        </w:tc>
        <w:tc>
          <w:tcPr>
            <w:tcW w:w="999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Reflects elimination of assets not included in the Merger and elimination of historical balance of Medicx intangibles, which were recorded at fair value in C. above.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included in the unaudited pro forma condensed combined statement of operations for year ended December 31, 2022 and for the six month period ended June 30, 2023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Represents interest payable on the term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Represents the amortization of the identifiable intangibles acquired in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Represents elimination of the amortization of Medicx’s historical intangibles.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 Represents elimination of interest income as Medicx’s historical cash and investments balances did not transfer in the Merger.</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 Represents the reversal of Medicx’s historical tax provision due to the combined net loss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net deferred tax assets as of June 30, 2023, are subject to a full valuation allowance, therefore the Condensed Combined Statements of Operation do not reflect any income tax benefit that may arise from the adjustments in AA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per share was calculated using the Company’s historical weighted average basic and diluted shares outstanding for the periods ended December 31, 2022, and June 30, 2023, adjusted for the impact of 1,444,581 shares issued to the Management Investors in connection with the Merger, assuming the shares were outstanding since January 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Merger related transactions are being reflected as if they had occurred at the beginning of the periods presented, the calculation of weighted average shares outstanding for basic and diluted loss per share assumes that the shares issuable to the Management Investors have been outstanding for the entirety of all periods presented.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TextBody"/>
        <w:bidi w:val="0"/>
        <w:spacing w:before="0" w:after="283"/>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48431/000101376223006625/ea187250ex99-1_optimizerx.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16090</Words>
  <Characters>90418</Characters>
  <CharactersWithSpaces>109378</CharactersWithSpaces>
  <Paragraphs>7839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