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19,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40" w:type="dxa"/>
            <w:vAlign w:val="bottom"/>
            <w:gridSpan w:val="3"/>
          </w:tcPr>
          <w:p>
            <w:pPr>
              <w:jc w:val="center"/>
              <w:ind w:right="760"/>
              <w:spacing w:after="0"/>
              <w:rPr>
                <w:sz w:val="20"/>
                <w:szCs w:val="20"/>
                <w:color w:val="auto"/>
              </w:rPr>
            </w:pPr>
            <w:r>
              <w:rPr>
                <w:rFonts w:ascii="Arial" w:cs="Arial" w:eastAsia="Arial" w:hAnsi="Arial"/>
                <w:sz w:val="18"/>
                <w:szCs w:val="18"/>
                <w:color w:val="auto"/>
                <w:w w:val="86"/>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100" w:type="dxa"/>
            <w:vAlign w:val="bottom"/>
          </w:tcPr>
          <w:p>
            <w:pPr>
              <w:spacing w:after="0"/>
              <w:rPr>
                <w:sz w:val="20"/>
                <w:szCs w:val="20"/>
                <w:color w:val="auto"/>
              </w:rPr>
            </w:pPr>
          </w:p>
        </w:tc>
        <w:tc>
          <w:tcPr>
            <w:tcW w:w="376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02"/>
        </w:trPr>
        <w:tc>
          <w:tcPr>
            <w:tcW w:w="3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760" w:type="dxa"/>
            <w:vAlign w:val="bottom"/>
            <w:tcBorders>
              <w:top w:val="single" w:sz="8" w:color="auto"/>
            </w:tcBorders>
          </w:tcPr>
          <w:p>
            <w:pPr>
              <w:ind w:left="580"/>
              <w:spacing w:after="0" w:line="201"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4540" w:type="dxa"/>
            <w:vAlign w:val="bottom"/>
            <w:gridSpan w:val="3"/>
          </w:tcPr>
          <w:p>
            <w:pPr>
              <w:jc w:val="center"/>
              <w:ind w:right="760"/>
              <w:spacing w:after="0"/>
              <w:rPr>
                <w:sz w:val="20"/>
                <w:szCs w:val="20"/>
                <w:color w:val="auto"/>
              </w:rPr>
            </w:pPr>
            <w:r>
              <w:rPr>
                <w:rFonts w:ascii="Arial" w:cs="Arial" w:eastAsia="Arial" w:hAnsi="Arial"/>
                <w:sz w:val="18"/>
                <w:szCs w:val="18"/>
                <w:color w:val="auto"/>
                <w:w w:val="92"/>
              </w:rPr>
              <w:t>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ind w:left="56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323850</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00" w:type="dxa"/>
            <w:vAlign w:val="bottom"/>
            <w:gridSpan w:val="4"/>
          </w:tcPr>
          <w:p>
            <w:pPr>
              <w:spacing w:after="0"/>
              <w:rPr>
                <w:sz w:val="20"/>
                <w:szCs w:val="20"/>
                <w:color w:val="auto"/>
              </w:rPr>
            </w:pPr>
            <w:r>
              <w:rPr>
                <w:rFonts w:ascii="Arial" w:cs="Arial" w:eastAsia="Arial" w:hAnsi="Arial"/>
                <w:sz w:val="18"/>
                <w:szCs w:val="18"/>
                <w:color w:val="auto"/>
                <w:w w:val="92"/>
              </w:rPr>
              <w:t>revised financial accounting standards provided pursuant to Section 13(a) of the Exchange Act.</w:t>
            </w:r>
          </w:p>
        </w:tc>
        <w:tc>
          <w:tcPr>
            <w:tcW w:w="442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9"/>
        </w:trPr>
        <w:tc>
          <w:tcPr>
            <w:tcW w:w="46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6"/>
              </w:rPr>
              <w:t>Title of each class</w:t>
            </w:r>
          </w:p>
        </w:tc>
        <w:tc>
          <w:tcPr>
            <w:tcW w:w="2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Trading symbol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3"/>
              </w:rPr>
              <w:t>OPRX</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486"/>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r>
        <w:trPr>
          <w:trHeight w:val="28"/>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358"/>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February 19, 2020, we issued a press release announcing the details of our earnings conference call, to be held on Thursday, February 27, 2020 at 4:30 p.m. Eastern time.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19, 2020</w:t>
        </w:r>
      </w:hyperlink>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226060</wp:posOffset>
            </wp:positionV>
            <wp:extent cx="2546985"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69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line="272" w:lineRule="auto"/>
        <w:rPr>
          <w:sz w:val="20"/>
          <w:szCs w:val="20"/>
          <w:color w:val="auto"/>
        </w:rPr>
      </w:pPr>
      <w:r>
        <w:rPr>
          <w:rFonts w:ascii="Arial" w:cs="Arial" w:eastAsia="Arial" w:hAnsi="Arial"/>
          <w:sz w:val="32"/>
          <w:szCs w:val="32"/>
          <w:b w:val="1"/>
          <w:bCs w:val="1"/>
          <w:color w:val="auto"/>
        </w:rPr>
        <w:t>OptimizeRx Sets Fourth Quarter and Full Year 2019 Conference Call for Thursday, February 27, 2020 at 4:30 p.m. ET</w:t>
      </w:r>
    </w:p>
    <w:p>
      <w:pPr>
        <w:spacing w:after="0" w:line="310"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ROCHESTER, Mich. – February 19,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payers, will hold a conference call on Thursday, February 27, 2020 at 4:30 p.m. Eastern time to discuss results for the fourth quarter and full year ended December 31, 2019.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Thursday, February 27,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1-888-220-8451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2951536</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A replay of the call will be available after 7:30 p.m. Eastern time on the same day through March 19, 2020, as well as available for replay via the Investors section of the OptimizeRx website at </w:t>
      </w:r>
      <w:r>
        <w:rPr>
          <w:rFonts w:ascii="Arial" w:cs="Arial" w:eastAsia="Arial" w:hAnsi="Arial"/>
          <w:sz w:val="18"/>
          <w:szCs w:val="18"/>
          <w:u w:val="single" w:color="auto"/>
          <w:color w:val="auto"/>
        </w:rPr>
        <w:t>optimizerx.com/investors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2951536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directly to patients.</w:t>
      </w:r>
    </w:p>
    <w:p>
      <w:pPr>
        <w:spacing w:after="0" w:line="19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digital care management platform.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 LinkedIn or visit www.OptimizeRx.com.</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2020-02-19T16:12:27Z</dcterms:created>
  <dcterms:modified xsi:type="dcterms:W3CDTF">2020-02-19T16:12:27Z</dcterms:modified>
</cp:coreProperties>
</file>