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6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6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4980" w:type="dxa"/>
            <w:vAlign w:val="bottom"/>
            <w:gridSpan w:val="9"/>
          </w:tcPr>
          <w:p>
            <w:pPr>
              <w:jc w:val="center"/>
              <w:ind w:left="110"/>
              <w:spacing w:after="0"/>
              <w:rPr>
                <w:sz w:val="20"/>
                <w:szCs w:val="20"/>
                <w:color w:val="auto"/>
              </w:rPr>
            </w:pPr>
            <w:r>
              <w:rPr>
                <w:rFonts w:ascii="Arial" w:cs="Arial" w:eastAsia="Arial" w:hAnsi="Arial"/>
                <w:sz w:val="18"/>
                <w:szCs w:val="18"/>
                <w:color w:val="auto"/>
                <w:w w:val="91"/>
              </w:rPr>
              <w:t>Date of Report (Date of earliest event reported): August 4, 2021</w:t>
            </w:r>
          </w:p>
        </w:tc>
        <w:tc>
          <w:tcPr>
            <w:tcW w:w="3220" w:type="dxa"/>
            <w:vAlign w:val="bottom"/>
          </w:tcPr>
          <w:p>
            <w:pPr>
              <w:spacing w:after="0"/>
              <w:rPr>
                <w:sz w:val="24"/>
                <w:szCs w:val="24"/>
                <w:color w:val="auto"/>
              </w:rPr>
            </w:pPr>
          </w:p>
        </w:tc>
      </w:tr>
      <w:tr>
        <w:trPr>
          <w:trHeight w:val="391"/>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OptimizeRx Corporation</w:t>
            </w:r>
          </w:p>
        </w:tc>
        <w:tc>
          <w:tcPr>
            <w:tcW w:w="142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40" w:type="dxa"/>
            <w:vAlign w:val="bottom"/>
          </w:tcPr>
          <w:p>
            <w:pPr>
              <w:jc w:val="center"/>
              <w:ind w:left="490"/>
              <w:spacing w:after="0"/>
              <w:rPr>
                <w:sz w:val="20"/>
                <w:szCs w:val="20"/>
                <w:color w:val="auto"/>
              </w:rPr>
            </w:pPr>
            <w:r>
              <w:rPr>
                <w:rFonts w:ascii="Arial" w:cs="Arial" w:eastAsia="Arial" w:hAnsi="Arial"/>
                <w:sz w:val="18"/>
                <w:szCs w:val="18"/>
                <w:color w:val="auto"/>
                <w:w w:val="86"/>
              </w:rPr>
              <w:t>Nevada</w:t>
            </w:r>
          </w:p>
        </w:tc>
        <w:tc>
          <w:tcPr>
            <w:tcW w:w="3560" w:type="dxa"/>
            <w:vAlign w:val="bottom"/>
            <w:gridSpan w:val="6"/>
          </w:tcPr>
          <w:p>
            <w:pPr>
              <w:jc w:val="center"/>
              <w:ind w:left="1530"/>
              <w:spacing w:after="0"/>
              <w:rPr>
                <w:sz w:val="20"/>
                <w:szCs w:val="20"/>
                <w:color w:val="auto"/>
              </w:rPr>
            </w:pPr>
            <w:r>
              <w:rPr>
                <w:rFonts w:ascii="Arial" w:cs="Arial" w:eastAsia="Arial" w:hAnsi="Arial"/>
                <w:sz w:val="18"/>
                <w:szCs w:val="18"/>
                <w:color w:val="auto"/>
                <w:w w:val="90"/>
              </w:rPr>
              <w:t>001-38543</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490"/>
              <w:spacing w:after="0"/>
              <w:rPr>
                <w:sz w:val="20"/>
                <w:szCs w:val="20"/>
                <w:color w:val="auto"/>
              </w:rPr>
            </w:pPr>
            <w:r>
              <w:rPr>
                <w:rFonts w:ascii="Arial" w:cs="Arial" w:eastAsia="Arial" w:hAnsi="Arial"/>
                <w:sz w:val="18"/>
                <w:szCs w:val="18"/>
                <w:color w:val="auto"/>
                <w:w w:val="93"/>
              </w:rPr>
              <w:t>of 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020" w:type="dxa"/>
            <w:vAlign w:val="bottom"/>
            <w:gridSpan w:val="10"/>
          </w:tcPr>
          <w:p>
            <w:pPr>
              <w:jc w:val="center"/>
              <w:ind w:right="2500"/>
              <w:spacing w:after="0"/>
              <w:rPr>
                <w:sz w:val="20"/>
                <w:szCs w:val="20"/>
                <w:color w:val="auto"/>
              </w:rPr>
            </w:pPr>
            <w:r>
              <w:rPr>
                <w:rFonts w:ascii="Arial" w:cs="Arial" w:eastAsia="Arial" w:hAnsi="Arial"/>
                <w:sz w:val="18"/>
                <w:szCs w:val="18"/>
                <w:color w:val="auto"/>
                <w:w w:val="89"/>
              </w:rPr>
              <w:t>400 Water Street, Suite 200, Rochester, MI</w:t>
            </w:r>
          </w:p>
        </w:tc>
        <w:tc>
          <w:tcPr>
            <w:tcW w:w="322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288925</wp:posOffset>
            </wp:positionV>
            <wp:extent cx="4277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5"/>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59"/>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6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Trading symbol</w:t>
            </w:r>
          </w:p>
        </w:tc>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4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28"/>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682"/>
        </w:trPr>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August 4, 2021, we issued a press release announcing the results of operations for the quarter ended June 30, 2021 and other matters. The press release is furnished with this Current Report on Form 8-K as Exhibit 99.1.</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4, 2021</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154305</wp:posOffset>
            </wp:positionV>
            <wp:extent cx="2143125" cy="50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OptimizeRx Reports Second Quarter 2021 Financial Results, Revenue Up 55% as Leading Pharma Brands Aggressively Seek Improved ROI Through Technology Adoption</w:t>
      </w:r>
    </w:p>
    <w:p>
      <w:pPr>
        <w:spacing w:after="0" w:line="166" w:lineRule="exact"/>
        <w:rPr>
          <w:sz w:val="20"/>
          <w:szCs w:val="20"/>
          <w:color w:val="auto"/>
        </w:rPr>
      </w:pPr>
    </w:p>
    <w:p>
      <w:pPr>
        <w:ind w:left="3180" w:hanging="97"/>
        <w:spacing w:after="0"/>
        <w:tabs>
          <w:tab w:leader="none" w:pos="3180" w:val="left"/>
        </w:tabs>
        <w:numPr>
          <w:ilvl w:val="3"/>
          <w:numId w:val="2"/>
        </w:numPr>
        <w:rPr>
          <w:rFonts w:ascii="Arial" w:cs="Arial" w:eastAsia="Arial" w:hAnsi="Arial"/>
          <w:sz w:val="18"/>
          <w:szCs w:val="18"/>
          <w:color w:val="auto"/>
        </w:rPr>
      </w:pPr>
      <w:r>
        <w:rPr>
          <w:rFonts w:ascii="Arial" w:cs="Arial" w:eastAsia="Arial" w:hAnsi="Arial"/>
          <w:sz w:val="18"/>
          <w:szCs w:val="18"/>
          <w:color w:val="auto"/>
        </w:rPr>
        <w:t>Revenue Up 55% to $13.6 million, closing on 19 enterprise contracts</w:t>
      </w:r>
    </w:p>
    <w:p>
      <w:pPr>
        <w:spacing w:after="0" w:line="23" w:lineRule="exact"/>
        <w:rPr>
          <w:rFonts w:ascii="Arial" w:cs="Arial" w:eastAsia="Arial" w:hAnsi="Arial"/>
          <w:sz w:val="18"/>
          <w:szCs w:val="18"/>
          <w:color w:val="auto"/>
        </w:rPr>
      </w:pPr>
    </w:p>
    <w:p>
      <w:pPr>
        <w:ind w:left="4040" w:hanging="115"/>
        <w:spacing w:after="0"/>
        <w:tabs>
          <w:tab w:leader="none" w:pos="4040" w:val="left"/>
        </w:tabs>
        <w:numPr>
          <w:ilvl w:val="4"/>
          <w:numId w:val="2"/>
        </w:numPr>
        <w:rPr>
          <w:rFonts w:ascii="Arial" w:cs="Arial" w:eastAsia="Arial" w:hAnsi="Arial"/>
          <w:sz w:val="18"/>
          <w:szCs w:val="18"/>
          <w:color w:val="auto"/>
        </w:rPr>
      </w:pPr>
      <w:r>
        <w:rPr>
          <w:rFonts w:ascii="Arial" w:cs="Arial" w:eastAsia="Arial" w:hAnsi="Arial"/>
          <w:sz w:val="18"/>
          <w:szCs w:val="18"/>
          <w:color w:val="auto"/>
        </w:rPr>
        <w:t>Enterprise deals pipeline grows from 46 to 63</w:t>
      </w:r>
    </w:p>
    <w:p>
      <w:pPr>
        <w:spacing w:after="0" w:line="9" w:lineRule="exact"/>
        <w:rPr>
          <w:rFonts w:ascii="Arial" w:cs="Arial" w:eastAsia="Arial" w:hAnsi="Arial"/>
          <w:sz w:val="18"/>
          <w:szCs w:val="18"/>
          <w:color w:val="auto"/>
        </w:rPr>
      </w:pPr>
    </w:p>
    <w:p>
      <w:pPr>
        <w:ind w:left="2620" w:hanging="109"/>
        <w:spacing w:after="0"/>
        <w:tabs>
          <w:tab w:leader="none" w:pos="2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Brands adopting OptimizeRx solutions increases to 140 from 80 in the past 6 months</w:t>
      </w:r>
    </w:p>
    <w:p>
      <w:pPr>
        <w:spacing w:after="0" w:line="9" w:lineRule="exact"/>
        <w:rPr>
          <w:rFonts w:ascii="Arial" w:cs="Arial" w:eastAsia="Arial" w:hAnsi="Arial"/>
          <w:sz w:val="18"/>
          <w:szCs w:val="18"/>
          <w:color w:val="auto"/>
        </w:rPr>
      </w:pPr>
    </w:p>
    <w:p>
      <w:pPr>
        <w:ind w:left="160" w:hanging="102"/>
        <w:spacing w:after="0"/>
        <w:tabs>
          <w:tab w:leader="none" w:pos="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Successful implementation of evidence-based provider engagement programs, driven by real-world evidence (“RWE”), anchored by sales from 2 leading</w:t>
      </w:r>
    </w:p>
    <w:p>
      <w:pPr>
        <w:spacing w:after="0" w:line="32" w:lineRule="exact"/>
        <w:rPr>
          <w:rFonts w:ascii="Arial" w:cs="Arial" w:eastAsia="Arial" w:hAnsi="Arial"/>
          <w:sz w:val="16"/>
          <w:szCs w:val="16"/>
          <w:color w:val="auto"/>
        </w:rPr>
      </w:pPr>
    </w:p>
    <w:p>
      <w:pPr>
        <w:ind w:left="5380"/>
        <w:spacing w:after="0"/>
        <w:rPr>
          <w:rFonts w:ascii="Arial" w:cs="Arial" w:eastAsia="Arial" w:hAnsi="Arial"/>
          <w:sz w:val="16"/>
          <w:szCs w:val="16"/>
          <w:color w:val="auto"/>
        </w:rPr>
      </w:pPr>
      <w:r>
        <w:rPr>
          <w:rFonts w:ascii="Arial" w:cs="Arial" w:eastAsia="Arial" w:hAnsi="Arial"/>
          <w:sz w:val="18"/>
          <w:szCs w:val="18"/>
          <w:color w:val="auto"/>
        </w:rPr>
        <w:t>brands</w:t>
      </w:r>
    </w:p>
    <w:p>
      <w:pPr>
        <w:spacing w:after="0" w:line="9" w:lineRule="exact"/>
        <w:rPr>
          <w:rFonts w:ascii="Arial" w:cs="Arial" w:eastAsia="Arial" w:hAnsi="Arial"/>
          <w:sz w:val="16"/>
          <w:szCs w:val="16"/>
          <w:color w:val="auto"/>
        </w:rPr>
      </w:pPr>
    </w:p>
    <w:p>
      <w:pPr>
        <w:ind w:left="2780" w:hanging="109"/>
        <w:spacing w:after="0"/>
        <w:tabs>
          <w:tab w:leader="none" w:pos="2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Cash flow positive from operations of $1.9 million in the first half of fiscal 2021</w:t>
      </w:r>
    </w:p>
    <w:p>
      <w:pPr>
        <w:spacing w:after="0" w:line="207"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ROCHESTER, Mich. – August 4, 2021 – </w:t>
      </w:r>
      <w:r>
        <w:rPr>
          <w:rFonts w:ascii="Arial" w:cs="Arial" w:eastAsia="Arial" w:hAnsi="Arial"/>
          <w:sz w:val="18"/>
          <w:szCs w:val="18"/>
          <w:color w:val="auto"/>
        </w:rPr>
        <w:t>OptimizeRx Corp. (the “Company”) (Nasdaq: OPRX), 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companies, physicians and patients, reported results for the three months ended June 30, 2021. Quarterly comparisons are to the same year-ago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in the second quarter of 2021 increased 55% to a record $13.6 million, from $8.8 million as compared to the same year-ago period.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 the second quarter of 2021 increased 56% to $8.0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in the second quarter of 2021 increased to 59% from 58.6%.</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income totaled $0.4 million or $0.02 per basic and diluted share in the second quarter as compared to a net loss of $1.1 million or $0.07 per basic and fully diluted share in the year ago period.</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in the second quarter totaled $1.8 million or $0.10 per basic and fully diluted share respectively (see definition of this non-GAAP measure and reconciliation to GAAP, below). Cash and cash equivalents totaled $83.9 million as of June 30, 2021 as compared to $82.3 million as of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Highlights</w:t>
      </w:r>
    </w:p>
    <w:p>
      <w:pPr>
        <w:spacing w:after="0" w:line="229" w:lineRule="exact"/>
        <w:rPr>
          <w:sz w:val="20"/>
          <w:szCs w:val="20"/>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implementation of evidence-based provider engagement programs, driven by real-world evidence (“RWE”), anchored by sales from 2 leading brands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Including agreement with a top 5 pharmaceutical manufacturer in solving lapse in medical coverage barrier for patients</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several new health information technology (HIT) partnerships to further connect the digital channels used by healthcare professionals (HCPs) within the care setting, expanding reach to over 50% of oncologists.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Management Commentary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pioneering leader in digital health technology, we are delighted to report another record quarter of strong revenue growth, preceding what is expected to be a remarkable year for OptimizeRx. We could not be more pleased with the continuous adoption of our technology platform by leading brands while also closing on 19 enterprise deals in our sales pipeline for the quarter. Total enterprise deals since last quarter have also grown to 63 deals in pipeline from 46 with an average ACV of $1.1 million. We also continue to support pharma’s engagement across fast-growing specialty areas which has doubled to more than 50% from last year,” said OptimizeRx CEO, Will Febbo.</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successfully implemented evidence-based provider engagement programs using the innovative RWE platform enhancement we launched at the end of 2020. We are both humbled and proud of the connectivity that OptimizeRx’s digital health and communications platform has generated between the stakeholders that we serve, consisting of healthcare providers, patients and drug manufacturers,” continued Mr. Febbo. “With a focus on providing digital connectivity at point-of-care, our wide network reach and unique platform strategies are working seamlessly to raise awareness among providers about treatments and life sciences support. In doing so we are also helping patients to better afford and adhere to treatment regiments, by offering innovative, effective ways for life sciences to remain actively engaged throughout the patient care journey.”</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our clients are benefitting and are seeing an average ROI of 8:1 with some as high as 20:1. The power of third-party measurement has been a key differentiator and is allowing us to accurately measure the value we deliver to our clients. As evidence of this, we have seen the number of brands adopting our technology jump from 80 to 140 in the last 6 months,” concluded Mr. Febbo.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Q2’2021 Financial Summary</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reported for the three months ended June 30, 2021 was approximately $13.6 million, an increase of over 55% over the approximately $8.8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from the same period in 2020. The increased revenue resulted from increases in sales in all our solutions.</w:t>
      </w:r>
    </w:p>
    <w:p>
      <w:pPr>
        <w:spacing w:after="0" w:line="162"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b w:val="1"/>
          <w:bCs w:val="1"/>
          <w:color w:val="auto"/>
        </w:rPr>
        <w:t xml:space="preserve">Gross margin </w:t>
      </w:r>
      <w:r>
        <w:rPr>
          <w:rFonts w:ascii="Arial" w:cs="Arial" w:eastAsia="Arial" w:hAnsi="Arial"/>
          <w:sz w:val="17"/>
          <w:szCs w:val="17"/>
          <w:color w:val="auto"/>
        </w:rPr>
        <w:t>was 59%, which increased slightly from the year-ago quarter. Gross margin is expected to improve on a quarter over quarter basis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balance of the year as our RWE solution expands and we continue to launch new solutions that have higher margins.</w:t>
      </w:r>
    </w:p>
    <w:p>
      <w:pPr>
        <w:spacing w:after="0" w:line="14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increased to $7.7 million as compared to $6.2 million in the same year-ago quarter. The increase was due to the Company’s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expand its solutions and build out its organization for future growth.</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right="20"/>
        <w:spacing w:after="0" w:line="282"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on a GAAP basis was approximately $0.4 million or $0.02 per basic and diluted share, as compared to a net loss of $1.1 million or $(0.07) per</w:t>
      </w:r>
      <w:r>
        <w:rPr>
          <w:rFonts w:ascii="Arial" w:cs="Arial" w:eastAsia="Arial" w:hAnsi="Arial"/>
          <w:sz w:val="18"/>
          <w:szCs w:val="18"/>
          <w:b w:val="1"/>
          <w:bCs w:val="1"/>
          <w:color w:val="auto"/>
        </w:rPr>
        <w:t xml:space="preserve"> </w:t>
      </w:r>
      <w:r>
        <w:rPr>
          <w:rFonts w:ascii="Arial" w:cs="Arial" w:eastAsia="Arial" w:hAnsi="Arial"/>
          <w:sz w:val="18"/>
          <w:szCs w:val="18"/>
          <w:color w:val="auto"/>
        </w:rPr>
        <w:t>basic and fully diluted share in the second quarter of 2020.</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 xml:space="preserve">Non-GAAP net income </w:t>
      </w:r>
      <w:r>
        <w:rPr>
          <w:rFonts w:ascii="Arial" w:cs="Arial" w:eastAsia="Arial" w:hAnsi="Arial"/>
          <w:sz w:val="17"/>
          <w:szCs w:val="17"/>
          <w:color w:val="auto"/>
        </w:rPr>
        <w:t>was $1.8 million or $0.10 per basic and $0.10 per fully diluted share, compared to non-GAAP net income of $0.3 million or $0.02</w:t>
      </w:r>
      <w:r>
        <w:rPr>
          <w:rFonts w:ascii="Arial" w:cs="Arial" w:eastAsia="Arial" w:hAnsi="Arial"/>
          <w:sz w:val="17"/>
          <w:szCs w:val="17"/>
          <w:b w:val="1"/>
          <w:bCs w:val="1"/>
          <w:color w:val="auto"/>
        </w:rPr>
        <w:t xml:space="preserve"> </w:t>
      </w:r>
      <w:r>
        <w:rPr>
          <w:rFonts w:ascii="Arial" w:cs="Arial" w:eastAsia="Arial" w:hAnsi="Arial"/>
          <w:sz w:val="17"/>
          <w:szCs w:val="17"/>
          <w:color w:val="auto"/>
        </w:rPr>
        <w:t>per basic and fully diluted share in the same year-ago period (see definition of this non-GAAP measure and reconciliation to GAAP,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$83.9 million as of June 30, 2021, as compared to $82.3 million as of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question-and-answer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August 4,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access: http://public.viavid.com/index.php?id=146009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1-800-430-8332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1-323-289-6576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2901587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conference telephone number five minutes prior to the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remain available for 12 months via the Investors section of the OptimizeRx website at www.optimizerx.com/investors.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earnings release includes a presentation of non-GAAP net income (loss) and non-GAAP earnings (loss) per share or non-GAAP EPS, both of which are non-GAAP financial measures.</w:t>
      </w:r>
    </w:p>
    <w:p>
      <w:pPr>
        <w:spacing w:after="0" w:line="170" w:lineRule="exact"/>
        <w:rPr>
          <w:sz w:val="20"/>
          <w:szCs w:val="20"/>
          <w:color w:val="auto"/>
        </w:rPr>
      </w:pPr>
    </w:p>
    <w:p>
      <w:pPr>
        <w:jc w:val="both"/>
        <w:ind w:right="280"/>
        <w:spacing w:after="0" w:line="275" w:lineRule="auto"/>
        <w:rPr>
          <w:sz w:val="20"/>
          <w:szCs w:val="20"/>
          <w:color w:val="auto"/>
        </w:rPr>
      </w:pPr>
      <w:r>
        <w:rPr>
          <w:rFonts w:ascii="Arial" w:cs="Arial" w:eastAsia="Arial" w:hAnsi="Arial"/>
          <w:sz w:val="17"/>
          <w:szCs w:val="17"/>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right="40"/>
        <w:spacing w:after="0" w:line="301"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below, provides a reconciliation of non-GAAP net income (loss) and non-GAAP EPS for the three months ended March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contains forward-looking statements within the definition of Section 27A of the Securities Act of 1933, as amended, and such as in section 21E of the Securities and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June 30,</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83,923,455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10,516,776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17,933,926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17,885,705</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3,124,479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4,456,611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104,981,860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32,859,092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137,813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14,740,031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Technology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4,896,016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5,251,822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2,258,542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2,349,570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4,203,777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4,519,552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392,482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445,974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assets and deposits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12,859</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12,859</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26,503,707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27,319,808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131,623,380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805,461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618,250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2,088,651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2,420,361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3,341,312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4,969,868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obligations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110,271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123,220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1,610,813</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319,609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285,795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6,665,304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10,028,307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282,934</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325,533</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6,948,238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10,353,840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Preferred stock, $0.001 par value, 10,000,000 shares authorized, no issued and outstanding at June 30, 2021 or</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$0.001 par value, 500,000,000 shares authorized, 17,495,429 and 15,223,340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at June 30, 2021 and December 31, 2020,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17,495</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15,223</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160,574,661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85,590,428</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(35,917,014)</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(35,631,737)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124,675,142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49,973,914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131,623,380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For the Three Months Ended</w:t>
            </w:r>
          </w:p>
        </w:tc>
        <w:tc>
          <w:tcPr>
            <w:tcW w:w="140" w:type="dxa"/>
            <w:vAlign w:val="bottom"/>
          </w:tcPr>
          <w:p>
            <w:pPr>
              <w:spacing w:after="0"/>
              <w:rPr>
                <w:sz w:val="19"/>
                <w:szCs w:val="19"/>
                <w:color w:val="auto"/>
              </w:rPr>
            </w:pPr>
          </w:p>
        </w:tc>
        <w:tc>
          <w:tcPr>
            <w:tcW w:w="240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3"/>
              </w:rPr>
              <w:t>For the 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13,625,639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8,783,230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24,854,850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16,367,832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5,580,964</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3,639,016</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10,685,567</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6,880,779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8,044,675</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5,144,214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14,169,283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9,487,053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7,704,536</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6,200,027</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14,467,452</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12,802,118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340,139</w:t>
            </w:r>
          </w:p>
        </w:tc>
        <w:tc>
          <w:tcPr>
            <w:tcW w:w="2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(1,055,813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(298,169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(3,315,065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8,345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12,892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63,666</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11,961</w:t>
            </w:r>
          </w:p>
        </w:tc>
        <w:tc>
          <w:tcPr>
            <w:tcW w:w="26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(21,655)</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12,892</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33,666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INCOME(LOSS) BEFORE PROVISION FOR INCOME TAXES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352,100</w:t>
            </w:r>
          </w:p>
        </w:tc>
        <w:tc>
          <w:tcPr>
            <w:tcW w:w="2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(1,077,468)</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(285,277)</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(3,281,399)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352,100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(1,077,468</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(285,277</w:t>
            </w:r>
          </w:p>
        </w:tc>
        <w:tc>
          <w:tcPr>
            <w:tcW w:w="22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(3,281,399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AVERGE SHARES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17,347,096</w:t>
            </w:r>
          </w:p>
        </w:tc>
        <w:tc>
          <w:tcPr>
            <w:tcW w:w="26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w w:val="93"/>
              </w:rPr>
              <w:t>14,667,216</w:t>
            </w:r>
          </w:p>
        </w:tc>
        <w:tc>
          <w:tcPr>
            <w:tcW w:w="14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16,720,114</w:t>
            </w:r>
          </w:p>
        </w:tc>
        <w:tc>
          <w:tcPr>
            <w:tcW w:w="260" w:type="dxa"/>
            <w:vAlign w:val="bottom"/>
          </w:tcPr>
          <w:p>
            <w:pPr>
              <w:spacing w:after="0"/>
              <w:rPr>
                <w:sz w:val="24"/>
                <w:szCs w:val="24"/>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14,638,359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18,104,807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14,667,216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16,720,114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14,638,359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(0.07</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(0.22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For the Six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(285,277)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(3,281,399)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amortization, and non-cash lease expense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1,054,138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1,354,106</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1,435,156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issued for board services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250,085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Provision for loss on accounts receivable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(88,221)</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(3.427,166)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1,332,132</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(1,785,422)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187,211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(1,628,556)</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1,878,051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(393,778)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33,814</w:t>
            </w:r>
          </w:p>
        </w:tc>
        <w:tc>
          <w:tcPr>
            <w:tcW w:w="26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68,678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1,855,654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(3,611,183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equipment</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(43,654)</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(24,998)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(176,822)</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(220,476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(24,998</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public offering of common stock, net of commission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70,671,536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exercise of options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2,710,778</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286,983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(1,610,813)</w:t>
            </w: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(1,389,188)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71,771,501</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(1,102,205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73,406,679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(4,738,386)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10,516,776</w:t>
            </w:r>
          </w:p>
        </w:tc>
        <w:tc>
          <w:tcPr>
            <w:tcW w:w="2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18,852,680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83,923,455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14,114,294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non-GAAP to GAAP Financial Measures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right="460"/>
        <w:spacing w:after="0" w:line="323" w:lineRule="auto"/>
        <w:rPr>
          <w:sz w:val="20"/>
          <w:szCs w:val="20"/>
          <w:color w:val="auto"/>
        </w:rPr>
      </w:pPr>
      <w:r>
        <w:rPr>
          <w:rFonts w:ascii="Arial" w:cs="Arial" w:eastAsia="Arial" w:hAnsi="Arial"/>
          <w:sz w:val="18"/>
          <w:szCs w:val="18"/>
          <w:color w:val="auto"/>
        </w:rPr>
        <w:t>Income or loss related to the fair value of contingent consideration Non-GAAP net income (loss)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For the Three Months Ended</w:t>
            </w:r>
          </w:p>
        </w:tc>
        <w:tc>
          <w:tcPr>
            <w:tcW w:w="2500" w:type="dxa"/>
            <w:vAlign w:val="bottom"/>
            <w:gridSpan w:val="6"/>
          </w:tcPr>
          <w:p>
            <w:pPr>
              <w:jc w:val="center"/>
              <w:ind w:right="21"/>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41"/>
        </w:trPr>
        <w:tc>
          <w:tcPr>
            <w:tcW w:w="164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352,100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w w:val="91"/>
              </w:rPr>
              <w:t>(1,077,468)</w:t>
            </w: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(285,277)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w w:val="89"/>
              </w:rPr>
              <w:t>(3,281,399)</w:t>
            </w:r>
          </w:p>
        </w:tc>
        <w:tc>
          <w:tcPr>
            <w:tcW w:w="60" w:type="dxa"/>
            <w:vAlign w:val="bottom"/>
            <w:gridSpan w:val="2"/>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527,696</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520,794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1,054,138</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1,040,463</w:t>
            </w:r>
          </w:p>
        </w:tc>
        <w:tc>
          <w:tcPr>
            <w:tcW w:w="40" w:type="dxa"/>
            <w:vAlign w:val="bottom"/>
          </w:tcPr>
          <w:p>
            <w:pPr>
              <w:spacing w:after="0"/>
              <w:rPr>
                <w:sz w:val="18"/>
                <w:szCs w:val="18"/>
                <w:color w:val="auto"/>
              </w:rPr>
            </w:pPr>
          </w:p>
        </w:tc>
      </w:tr>
      <w:tr>
        <w:trPr>
          <w:trHeight w:val="21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897,038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780,670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1,604,191</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1,635,182</w:t>
            </w:r>
          </w:p>
        </w:tc>
        <w:tc>
          <w:tcPr>
            <w:tcW w:w="40" w:type="dxa"/>
            <w:vAlign w:val="bottom"/>
          </w:tcPr>
          <w:p>
            <w:pPr>
              <w:spacing w:after="0"/>
              <w:rPr>
                <w:sz w:val="18"/>
                <w:szCs w:val="18"/>
                <w:color w:val="auto"/>
              </w:rPr>
            </w:pPr>
          </w:p>
        </w:tc>
      </w:tr>
      <w:tr>
        <w:trPr>
          <w:trHeight w:val="237"/>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1,776,834</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253,996</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2,373,052</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(605,754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-753745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-471170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-187960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260" w:space="720"/>
            <w:col w:w="52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220" w:type="dxa"/>
            <w:vAlign w:val="bottom"/>
          </w:tcPr>
          <w:p>
            <w:pPr>
              <w:ind w:left="180"/>
              <w:spacing w:after="0"/>
              <w:rPr>
                <w:sz w:val="20"/>
                <w:szCs w:val="20"/>
                <w:color w:val="auto"/>
              </w:rPr>
            </w:pPr>
            <w:r>
              <w:rPr>
                <w:rFonts w:ascii="Arial" w:cs="Arial" w:eastAsia="Arial" w:hAnsi="Arial"/>
                <w:sz w:val="18"/>
                <w:szCs w:val="18"/>
                <w:color w:val="auto"/>
              </w:rPr>
              <w:t>Basic</w:t>
            </w:r>
          </w:p>
        </w:tc>
        <w:tc>
          <w:tcPr>
            <w:tcW w:w="19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42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17,347,096</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14,667,216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16,720,114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14,638,359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18,104,807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15,573,257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17,467,159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14,638,359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76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2021-08-05T07:36:04Z</dcterms:created>
  <dcterms:modified xsi:type="dcterms:W3CDTF">2021-08-05T07:36:04Z</dcterms:modified>
</cp:coreProperties>
</file>