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51542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5429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Odence-Ford Marion</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6"/>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OPTIMIZERX CORPORATION</w:t>
            </w:r>
          </w:p>
        </w:tc>
      </w:tr>
      <w:tr>
        <w:trPr>
          <w:trHeight w:val="256"/>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260 CHARLES STREET, SUITE 302</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02453</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OptimizeRx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12/19/2023</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General Counsel and CCO</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34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ind w:right="14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12.73</w:t>
            </w:r>
          </w:p>
        </w:tc>
        <w:tc>
          <w:tcPr>
            <w:tcW w:w="1080" w:type="dxa"/>
            <w:vAlign w:val="bottom"/>
          </w:tcPr>
          <w:p>
            <w:pPr>
              <w:jc w:val="right"/>
              <w:ind w:right="200"/>
              <w:spacing w:after="0"/>
              <w:rPr>
                <w:sz w:val="20"/>
                <w:szCs w:val="20"/>
                <w:color w:val="auto"/>
              </w:rPr>
            </w:pPr>
            <w:r>
              <w:rPr>
                <w:rFonts w:ascii="Times New Roman" w:cs="Times New Roman" w:eastAsia="Times New Roman" w:hAnsi="Times New Roman"/>
                <w:sz w:val="13"/>
                <w:szCs w:val="13"/>
                <w:color w:val="0000FF"/>
              </w:rPr>
              <w:t>12/19/2023</w:t>
            </w:r>
          </w:p>
        </w:tc>
        <w:tc>
          <w:tcPr>
            <w:tcW w:w="10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11,783</w:t>
            </w:r>
          </w:p>
        </w:tc>
        <w:tc>
          <w:tcPr>
            <w:tcW w:w="300" w:type="dxa"/>
            <w:vAlign w:val="bottom"/>
          </w:tcPr>
          <w:p>
            <w:pPr>
              <w:spacing w:after="0"/>
              <w:rPr>
                <w:sz w:val="21"/>
                <w:szCs w:val="21"/>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12/19/2024</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12/19/2026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11,783</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11,783</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12/19/2024</w:t>
            </w:r>
            <w:r>
              <w:rPr>
                <w:rFonts w:ascii="Times New Roman" w:cs="Times New Roman" w:eastAsia="Times New Roman" w:hAnsi="Times New Roman"/>
                <w:sz w:val="21"/>
                <w:szCs w:val="21"/>
                <w:color w:val="008000"/>
                <w:vertAlign w:val="superscript"/>
              </w:rPr>
              <w:t>(3)</w:t>
            </w:r>
          </w:p>
        </w:tc>
        <w:tc>
          <w:tcPr>
            <w:tcW w:w="6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11,783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200"/>
              <w:spacing w:after="0" w:line="141" w:lineRule="exact"/>
              <w:rPr>
                <w:sz w:val="20"/>
                <w:szCs w:val="20"/>
                <w:color w:val="auto"/>
              </w:rPr>
            </w:pPr>
            <w:r>
              <w:rPr>
                <w:rFonts w:ascii="Times New Roman" w:cs="Times New Roman" w:eastAsia="Times New Roman" w:hAnsi="Times New Roman"/>
                <w:sz w:val="13"/>
                <w:szCs w:val="13"/>
                <w:color w:val="0000FF"/>
              </w:rPr>
              <w:t>12/19/2023</w:t>
            </w:r>
          </w:p>
        </w:tc>
        <w:tc>
          <w:tcPr>
            <w:tcW w:w="1080" w:type="dxa"/>
            <w:vAlign w:val="bottom"/>
          </w:tcPr>
          <w:p>
            <w:pPr>
              <w:spacing w:after="0"/>
              <w:rPr>
                <w:sz w:val="12"/>
                <w:szCs w:val="12"/>
                <w:color w:val="auto"/>
              </w:rPr>
            </w:pPr>
          </w:p>
        </w:tc>
        <w:tc>
          <w:tcPr>
            <w:tcW w:w="7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11,783</w:t>
            </w: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12/19/2026</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11,783</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three equal annual installments beginning October 19, 2024, the first anniversary of the grant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October 19, 2024,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right="400"/>
        <w:spacing w:after="0" w:line="253"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Marion Odence-Ford</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02/21/2024</w:t>
            </w:r>
          </w:p>
        </w:tc>
      </w:tr>
      <w:tr>
        <w:trPr>
          <w:trHeight w:val="20"/>
        </w:trPr>
        <w:tc>
          <w:tcPr>
            <w:tcW w:w="1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500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2024-02-21T17:27:56Z</dcterms:created>
  <dcterms:modified xsi:type="dcterms:W3CDTF">2024-02-21T17:27:56Z</dcterms:modified>
</cp:coreProperties>
</file>