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56" w:lineRule="exact"/>
        <w:rPr>
          <w:sz w:val="24"/>
          <w:szCs w:val="24"/>
          <w:color w:val="auto"/>
        </w:rPr>
      </w:pPr>
    </w:p>
    <w:p>
      <w:pPr>
        <w:ind w:left="1060" w:right="3000" w:hanging="525"/>
        <w:spacing w:after="0" w:line="277" w:lineRule="auto"/>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ANNUAL REPORT UNDER SECTION 13 OR 15(d) OF THE SECURITIES EXCHANGE ACT OF 1934</w:t>
      </w:r>
    </w:p>
    <w:p>
      <w:pPr>
        <w:spacing w:after="0" w:line="166" w:lineRule="exact"/>
        <w:rPr>
          <w:sz w:val="24"/>
          <w:szCs w:val="24"/>
          <w:color w:val="auto"/>
        </w:rPr>
      </w:pPr>
    </w:p>
    <w:p>
      <w:pPr>
        <w:ind w:left="5240"/>
        <w:spacing w:after="0"/>
        <w:rPr>
          <w:sz w:val="20"/>
          <w:szCs w:val="20"/>
          <w:color w:val="auto"/>
        </w:rPr>
      </w:pPr>
      <w:r>
        <w:rPr>
          <w:rFonts w:ascii="Arial" w:cs="Arial" w:eastAsia="Arial" w:hAnsi="Arial"/>
          <w:sz w:val="18"/>
          <w:szCs w:val="18"/>
          <w:color w:val="auto"/>
        </w:rPr>
        <w:t xml:space="preserve">For the fiscal year ended </w:t>
      </w:r>
      <w:r>
        <w:rPr>
          <w:rFonts w:ascii="Arial" w:cs="Arial" w:eastAsia="Arial" w:hAnsi="Arial"/>
          <w:sz w:val="18"/>
          <w:szCs w:val="18"/>
          <w:b w:val="1"/>
          <w:bCs w:val="1"/>
          <w:u w:val="single" w:color="auto"/>
          <w:color w:val="auto"/>
        </w:rPr>
        <w:t>December 31, 2009</w:t>
      </w:r>
    </w:p>
    <w:p>
      <w:pPr>
        <w:spacing w:after="0" w:line="229" w:lineRule="exact"/>
        <w:rPr>
          <w:sz w:val="24"/>
          <w:szCs w:val="24"/>
          <w:color w:val="auto"/>
        </w:rPr>
      </w:pPr>
    </w:p>
    <w:p>
      <w:pPr>
        <w:ind w:left="4620" w:right="2860" w:hanging="4085"/>
        <w:spacing w:after="0" w:line="528" w:lineRule="auto"/>
        <w:tabs>
          <w:tab w:leader="none" w:pos="692" w:val="left"/>
        </w:tabs>
        <w:numPr>
          <w:ilvl w:val="0"/>
          <w:numId w:val="2"/>
        </w:numPr>
        <w:rPr>
          <w:rFonts w:ascii="Arial" w:cs="Arial" w:eastAsia="Arial" w:hAnsi="Arial"/>
          <w:sz w:val="17"/>
          <w:szCs w:val="17"/>
          <w:color w:val="auto"/>
        </w:rPr>
      </w:pPr>
      <w:r>
        <w:rPr>
          <w:rFonts w:ascii="Arial" w:cs="Arial" w:eastAsia="Arial" w:hAnsi="Arial"/>
          <w:sz w:val="17"/>
          <w:szCs w:val="17"/>
          <w:color w:val="auto"/>
        </w:rPr>
        <w:t>] TRANSITION REPORT UNDER SECTION 13 OR 15(d) OF THE SECURITIES EXCHANGE ACT For the transition period from _________ to ________</w:t>
      </w:r>
    </w:p>
    <w:p>
      <w:pPr>
        <w:ind w:left="5840"/>
        <w:spacing w:after="0"/>
        <w:rPr>
          <w:rFonts w:ascii="Arial" w:cs="Arial" w:eastAsia="Arial" w:hAnsi="Arial"/>
          <w:sz w:val="17"/>
          <w:szCs w:val="17"/>
          <w:color w:val="auto"/>
        </w:rPr>
      </w:pPr>
      <w:r>
        <w:rPr>
          <w:rFonts w:ascii="Arial" w:cs="Arial" w:eastAsia="Arial" w:hAnsi="Arial"/>
          <w:sz w:val="18"/>
          <w:szCs w:val="18"/>
          <w:color w:val="auto"/>
        </w:rPr>
        <w:t>Commission file number</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000-53605</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OptimizeRx Cororation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Nevada</w:t>
            </w:r>
          </w:p>
        </w:tc>
        <w:tc>
          <w:tcPr>
            <w:tcW w:w="2840" w:type="dxa"/>
            <w:vAlign w:val="bottom"/>
            <w:gridSpan w:val="2"/>
          </w:tcPr>
          <w:p>
            <w:pPr>
              <w:spacing w:after="0"/>
              <w:rPr>
                <w:sz w:val="17"/>
                <w:szCs w:val="17"/>
                <w:color w:val="auto"/>
              </w:rPr>
            </w:pPr>
          </w:p>
        </w:tc>
        <w:tc>
          <w:tcPr>
            <w:tcW w:w="2120" w:type="dxa"/>
            <w:vAlign w:val="bottom"/>
            <w:gridSpan w:val="2"/>
          </w:tcPr>
          <w:p>
            <w:pPr>
              <w:spacing w:after="0"/>
              <w:rPr>
                <w:sz w:val="17"/>
                <w:szCs w:val="17"/>
                <w:color w:val="auto"/>
              </w:rPr>
            </w:pPr>
          </w:p>
        </w:tc>
        <w:tc>
          <w:tcPr>
            <w:tcW w:w="9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w w:val="91"/>
              </w:rPr>
              <w:t>26-1265381</w:t>
            </w:r>
          </w:p>
        </w:tc>
        <w:tc>
          <w:tcPr>
            <w:tcW w:w="1060" w:type="dxa"/>
            <w:vAlign w:val="bottom"/>
          </w:tcPr>
          <w:p>
            <w:pPr>
              <w:spacing w:after="0"/>
              <w:rPr>
                <w:sz w:val="17"/>
                <w:szCs w:val="17"/>
                <w:color w:val="auto"/>
              </w:rPr>
            </w:pPr>
          </w:p>
        </w:tc>
      </w:tr>
      <w:tr>
        <w:trPr>
          <w:trHeight w:val="20"/>
        </w:trPr>
        <w:tc>
          <w:tcPr>
            <w:tcW w:w="2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37"/>
        </w:trPr>
        <w:tc>
          <w:tcPr>
            <w:tcW w:w="6000" w:type="dxa"/>
            <w:vAlign w:val="bottom"/>
            <w:gridSpan w:val="7"/>
          </w:tcPr>
          <w:p>
            <w:pPr>
              <w:jc w:val="center"/>
              <w:ind w:right="26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160" w:type="dxa"/>
            <w:vAlign w:val="bottom"/>
            <w:gridSpan w:val="7"/>
          </w:tcPr>
          <w:p>
            <w:pPr>
              <w:jc w:val="center"/>
              <w:ind w:left="89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2320" w:type="dxa"/>
            <w:vAlign w:val="bottom"/>
          </w:tcPr>
          <w:p>
            <w:pPr>
              <w:spacing w:after="0"/>
              <w:rPr>
                <w:sz w:val="24"/>
                <w:szCs w:val="24"/>
                <w:color w:val="auto"/>
              </w:rPr>
            </w:pPr>
          </w:p>
        </w:tc>
        <w:tc>
          <w:tcPr>
            <w:tcW w:w="3680" w:type="dxa"/>
            <w:vAlign w:val="bottom"/>
            <w:gridSpan w:val="6"/>
          </w:tcPr>
          <w:p>
            <w:pPr>
              <w:jc w:val="center"/>
              <w:ind w:right="2580"/>
              <w:spacing w:after="0"/>
              <w:rPr>
                <w:sz w:val="20"/>
                <w:szCs w:val="20"/>
                <w:color w:val="auto"/>
              </w:rPr>
            </w:pPr>
            <w:r>
              <w:rPr>
                <w:rFonts w:ascii="Arial" w:cs="Arial" w:eastAsia="Arial" w:hAnsi="Arial"/>
                <w:sz w:val="18"/>
                <w:szCs w:val="18"/>
                <w:b w:val="1"/>
                <w:bCs w:val="1"/>
                <w:color w:val="auto"/>
                <w:w w:val="89"/>
              </w:rPr>
              <w:t>407 6th Street</w:t>
            </w: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4"/>
        </w:trPr>
        <w:tc>
          <w:tcPr>
            <w:tcW w:w="2320" w:type="dxa"/>
            <w:vAlign w:val="bottom"/>
          </w:tcPr>
          <w:p>
            <w:pPr>
              <w:spacing w:after="0"/>
              <w:rPr>
                <w:sz w:val="16"/>
                <w:szCs w:val="16"/>
                <w:color w:val="auto"/>
              </w:rPr>
            </w:pPr>
          </w:p>
        </w:tc>
        <w:tc>
          <w:tcPr>
            <w:tcW w:w="3680" w:type="dxa"/>
            <w:vAlign w:val="bottom"/>
            <w:gridSpan w:val="6"/>
          </w:tcPr>
          <w:p>
            <w:pPr>
              <w:jc w:val="center"/>
              <w:ind w:right="2600"/>
              <w:spacing w:after="0" w:line="194" w:lineRule="exact"/>
              <w:rPr>
                <w:sz w:val="20"/>
                <w:szCs w:val="20"/>
                <w:color w:val="auto"/>
              </w:rPr>
            </w:pPr>
            <w:r>
              <w:rPr>
                <w:rFonts w:ascii="Arial" w:cs="Arial" w:eastAsia="Arial" w:hAnsi="Arial"/>
                <w:sz w:val="18"/>
                <w:szCs w:val="18"/>
                <w:b w:val="1"/>
                <w:bCs w:val="1"/>
                <w:color w:val="auto"/>
                <w:w w:val="91"/>
              </w:rPr>
              <w:t>Rochester, MI</w:t>
            </w:r>
          </w:p>
        </w:tc>
        <w:tc>
          <w:tcPr>
            <w:tcW w:w="3020" w:type="dxa"/>
            <w:vAlign w:val="bottom"/>
            <w:gridSpan w:val="5"/>
          </w:tcPr>
          <w:p>
            <w:pPr>
              <w:jc w:val="center"/>
              <w:ind w:left="2030"/>
              <w:spacing w:after="0" w:line="194" w:lineRule="exact"/>
              <w:rPr>
                <w:sz w:val="20"/>
                <w:szCs w:val="20"/>
                <w:color w:val="auto"/>
              </w:rPr>
            </w:pPr>
            <w:r>
              <w:rPr>
                <w:rFonts w:ascii="Arial" w:cs="Arial" w:eastAsia="Arial" w:hAnsi="Arial"/>
                <w:sz w:val="18"/>
                <w:szCs w:val="18"/>
                <w:b w:val="1"/>
                <w:bCs w:val="1"/>
                <w:color w:val="auto"/>
                <w:w w:val="91"/>
              </w:rPr>
              <w:t>48307</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
        </w:trPr>
        <w:tc>
          <w:tcPr>
            <w:tcW w:w="232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37"/>
        </w:trPr>
        <w:tc>
          <w:tcPr>
            <w:tcW w:w="6000" w:type="dxa"/>
            <w:vAlign w:val="bottom"/>
            <w:gridSpan w:val="7"/>
          </w:tcPr>
          <w:p>
            <w:pPr>
              <w:jc w:val="center"/>
              <w:ind w:right="260"/>
              <w:spacing w:after="0"/>
              <w:rPr>
                <w:sz w:val="20"/>
                <w:szCs w:val="20"/>
                <w:color w:val="auto"/>
              </w:rPr>
            </w:pPr>
            <w:r>
              <w:rPr>
                <w:rFonts w:ascii="Arial" w:cs="Arial" w:eastAsia="Arial" w:hAnsi="Arial"/>
                <w:sz w:val="18"/>
                <w:szCs w:val="18"/>
                <w:color w:val="auto"/>
                <w:w w:val="92"/>
              </w:rPr>
              <w:t>(Address of principal executive offices)</w:t>
            </w: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5"/>
          </w:tcPr>
          <w:p>
            <w:pPr>
              <w:jc w:val="center"/>
              <w:ind w:right="1140"/>
              <w:spacing w:after="0"/>
              <w:rPr>
                <w:sz w:val="20"/>
                <w:szCs w:val="20"/>
                <w:color w:val="auto"/>
              </w:rPr>
            </w:pPr>
            <w:r>
              <w:rPr>
                <w:rFonts w:ascii="Arial" w:cs="Arial" w:eastAsia="Arial" w:hAnsi="Arial"/>
                <w:sz w:val="18"/>
                <w:szCs w:val="18"/>
                <w:color w:val="auto"/>
                <w:w w:val="91"/>
              </w:rPr>
              <w:t>(Zip Code)</w:t>
            </w:r>
          </w:p>
        </w:tc>
      </w:tr>
      <w:tr>
        <w:trPr>
          <w:trHeight w:val="432"/>
        </w:trPr>
        <w:tc>
          <w:tcPr>
            <w:tcW w:w="6000" w:type="dxa"/>
            <w:vAlign w:val="bottom"/>
            <w:gridSpan w:val="7"/>
          </w:tcPr>
          <w:p>
            <w:pPr>
              <w:spacing w:after="0"/>
              <w:rPr>
                <w:sz w:val="20"/>
                <w:szCs w:val="20"/>
                <w:color w:val="auto"/>
              </w:rPr>
            </w:pPr>
            <w:r>
              <w:rPr>
                <w:rFonts w:ascii="Arial" w:cs="Arial" w:eastAsia="Arial" w:hAnsi="Arial"/>
                <w:sz w:val="18"/>
                <w:szCs w:val="18"/>
                <w:color w:val="auto"/>
              </w:rPr>
              <w:t xml:space="preserve">Registrant’s telephone number: </w:t>
            </w:r>
            <w:r>
              <w:rPr>
                <w:rFonts w:ascii="Arial" w:cs="Arial" w:eastAsia="Arial" w:hAnsi="Arial"/>
                <w:sz w:val="18"/>
                <w:szCs w:val="18"/>
                <w:b w:val="1"/>
                <w:bCs w:val="1"/>
                <w:color w:val="auto"/>
              </w:rPr>
              <w:t>248-651-6568</w:t>
            </w: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45"/>
        </w:trPr>
        <w:tc>
          <w:tcPr>
            <w:tcW w:w="6000" w:type="dxa"/>
            <w:vAlign w:val="bottom"/>
            <w:gridSpan w:val="7"/>
          </w:tcPr>
          <w:p>
            <w:pPr>
              <w:spacing w:after="0"/>
              <w:rPr>
                <w:sz w:val="20"/>
                <w:szCs w:val="20"/>
                <w:color w:val="auto"/>
              </w:rPr>
            </w:pPr>
            <w:r>
              <w:rPr>
                <w:rFonts w:ascii="Arial" w:cs="Arial" w:eastAsia="Arial" w:hAnsi="Arial"/>
                <w:sz w:val="18"/>
                <w:szCs w:val="18"/>
                <w:color w:val="auto"/>
              </w:rPr>
              <w:t>Securities registered under Section 12(b) of the Exchange Act:</w:t>
            </w: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2"/>
        </w:trPr>
        <w:tc>
          <w:tcPr>
            <w:tcW w:w="6000" w:type="dxa"/>
            <w:vAlign w:val="bottom"/>
            <w:gridSpan w:val="7"/>
          </w:tcPr>
          <w:p>
            <w:pPr>
              <w:jc w:val="center"/>
              <w:ind w:right="300"/>
              <w:spacing w:after="0"/>
              <w:rPr>
                <w:sz w:val="20"/>
                <w:szCs w:val="20"/>
                <w:color w:val="auto"/>
              </w:rPr>
            </w:pPr>
            <w:r>
              <w:rPr>
                <w:rFonts w:ascii="Arial" w:cs="Arial" w:eastAsia="Arial" w:hAnsi="Arial"/>
                <w:sz w:val="18"/>
                <w:szCs w:val="18"/>
                <w:color w:val="auto"/>
                <w:w w:val="90"/>
              </w:rPr>
              <w:t>Title of each class</w:t>
            </w:r>
          </w:p>
        </w:tc>
        <w:tc>
          <w:tcPr>
            <w:tcW w:w="4160" w:type="dxa"/>
            <w:vAlign w:val="bottom"/>
            <w:gridSpan w:val="7"/>
          </w:tcPr>
          <w:p>
            <w:pPr>
              <w:jc w:val="center"/>
              <w:ind w:left="870"/>
              <w:spacing w:after="0"/>
              <w:rPr>
                <w:sz w:val="20"/>
                <w:szCs w:val="20"/>
                <w:color w:val="auto"/>
              </w:rPr>
            </w:pPr>
            <w:r>
              <w:rPr>
                <w:rFonts w:ascii="Arial" w:cs="Arial" w:eastAsia="Arial" w:hAnsi="Arial"/>
                <w:sz w:val="18"/>
                <w:szCs w:val="18"/>
                <w:color w:val="auto"/>
                <w:w w:val="89"/>
              </w:rPr>
              <w:t>Name of each exchange on which registered</w:t>
            </w:r>
          </w:p>
        </w:tc>
      </w:tr>
      <w:tr>
        <w:trPr>
          <w:trHeight w:val="194"/>
        </w:trPr>
        <w:tc>
          <w:tcPr>
            <w:tcW w:w="2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20" w:type="dxa"/>
            <w:vAlign w:val="bottom"/>
            <w:gridSpan w:val="4"/>
          </w:tcPr>
          <w:p>
            <w:pPr>
              <w:jc w:val="center"/>
              <w:ind w:right="2960"/>
              <w:spacing w:after="0" w:line="194" w:lineRule="exact"/>
              <w:rPr>
                <w:sz w:val="20"/>
                <w:szCs w:val="20"/>
                <w:color w:val="auto"/>
              </w:rPr>
            </w:pPr>
            <w:r>
              <w:rPr>
                <w:rFonts w:ascii="Arial" w:cs="Arial" w:eastAsia="Arial" w:hAnsi="Arial"/>
                <w:sz w:val="18"/>
                <w:szCs w:val="18"/>
                <w:b w:val="1"/>
                <w:bCs w:val="1"/>
                <w:color w:val="auto"/>
                <w:w w:val="83"/>
              </w:rPr>
              <w:t>none</w:t>
            </w:r>
          </w:p>
        </w:tc>
        <w:tc>
          <w:tcPr>
            <w:tcW w:w="4160" w:type="dxa"/>
            <w:vAlign w:val="bottom"/>
            <w:gridSpan w:val="7"/>
          </w:tcPr>
          <w:p>
            <w:pPr>
              <w:jc w:val="center"/>
              <w:ind w:left="870"/>
              <w:spacing w:after="0" w:line="194" w:lineRule="exact"/>
              <w:rPr>
                <w:sz w:val="20"/>
                <w:szCs w:val="20"/>
                <w:color w:val="auto"/>
              </w:rPr>
            </w:pPr>
            <w:r>
              <w:rPr>
                <w:rFonts w:ascii="Arial" w:cs="Arial" w:eastAsia="Arial" w:hAnsi="Arial"/>
                <w:sz w:val="18"/>
                <w:szCs w:val="18"/>
                <w:b w:val="1"/>
                <w:bCs w:val="1"/>
                <w:color w:val="auto"/>
                <w:w w:val="89"/>
              </w:rPr>
              <w:t>not applicable</w:t>
            </w:r>
          </w:p>
        </w:tc>
      </w:tr>
      <w:tr>
        <w:trPr>
          <w:trHeight w:val="20"/>
        </w:trPr>
        <w:tc>
          <w:tcPr>
            <w:tcW w:w="2680" w:type="dxa"/>
            <w:vAlign w:val="bottom"/>
            <w:gridSpan w:val="3"/>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53"/>
        </w:trPr>
        <w:tc>
          <w:tcPr>
            <w:tcW w:w="6000" w:type="dxa"/>
            <w:vAlign w:val="bottom"/>
            <w:gridSpan w:val="7"/>
          </w:tcPr>
          <w:p>
            <w:pPr>
              <w:spacing w:after="0"/>
              <w:rPr>
                <w:sz w:val="20"/>
                <w:szCs w:val="20"/>
                <w:color w:val="auto"/>
              </w:rPr>
            </w:pPr>
            <w:r>
              <w:rPr>
                <w:rFonts w:ascii="Arial" w:cs="Arial" w:eastAsia="Arial" w:hAnsi="Arial"/>
                <w:sz w:val="18"/>
                <w:szCs w:val="18"/>
                <w:color w:val="auto"/>
              </w:rPr>
              <w:t>Securities registered under Section 12(g) of the Exchange Act:</w:t>
            </w: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Common Stock, par value of $0.001</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w:t>
      </w:r>
      <w:r>
        <w:rPr>
          <w:rFonts w:ascii="Arial" w:cs="Arial" w:eastAsia="Arial" w:hAnsi="Arial"/>
          <w:sz w:val="18"/>
          <w:szCs w:val="18"/>
          <w:b w:val="1"/>
          <w:bCs w:val="1"/>
          <w:color w:val="auto"/>
        </w:rPr>
        <w:t>Yes [ ] No [X]</w:t>
      </w:r>
    </w:p>
    <w:p>
      <w:pPr>
        <w:spacing w:after="0" w:line="252" w:lineRule="exact"/>
        <w:rPr>
          <w:sz w:val="24"/>
          <w:szCs w:val="24"/>
          <w:color w:val="auto"/>
        </w:rPr>
      </w:pPr>
    </w:p>
    <w:p>
      <w:pPr>
        <w:spacing w:after="0"/>
        <w:tabs>
          <w:tab w:leader="none" w:pos="9480" w:val="left"/>
        </w:tabs>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w:t>
      </w:r>
      <w:r>
        <w:rPr>
          <w:rFonts w:ascii="Arial" w:cs="Arial" w:eastAsia="Arial" w:hAnsi="Arial"/>
          <w:sz w:val="18"/>
          <w:szCs w:val="18"/>
          <w:b w:val="1"/>
          <w:bCs w:val="1"/>
          <w:color w:val="auto"/>
        </w:rPr>
        <w:t>Yes [ ]</w:t>
      </w:r>
      <w:r>
        <w:rPr>
          <w:sz w:val="20"/>
          <w:szCs w:val="20"/>
          <w:color w:val="auto"/>
        </w:rPr>
        <w:tab/>
      </w:r>
      <w:r>
        <w:rPr>
          <w:rFonts w:ascii="Arial" w:cs="Arial" w:eastAsia="Arial" w:hAnsi="Arial"/>
          <w:sz w:val="17"/>
          <w:szCs w:val="17"/>
          <w:b w:val="1"/>
          <w:bCs w:val="1"/>
          <w:color w:val="auto"/>
        </w:rPr>
        <w:t>No [X]</w:t>
      </w:r>
    </w:p>
    <w:p>
      <w:pPr>
        <w:spacing w:after="0" w:line="25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 xml:space="preserve">Indicate by checkmark whether the registrant (1) has filed all reports required to be filed by Section 13 or 15(d) of the Securities Exchange Act of 1934 during the preceeding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 [X] No [ ]</w:t>
      </w: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229.405 of this chapter) during the preceeding 12 months (or for such shorter period that the registrant was required to submit and post such files). </w:t>
      </w:r>
      <w:r>
        <w:rPr>
          <w:rFonts w:ascii="Arial" w:cs="Arial" w:eastAsia="Arial" w:hAnsi="Arial"/>
          <w:sz w:val="18"/>
          <w:szCs w:val="18"/>
          <w:b w:val="1"/>
          <w:bCs w:val="1"/>
          <w:color w:val="auto"/>
        </w:rPr>
        <w:t>Yes [ ] No [ ]</w:t>
      </w: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232.405 of this chapter) is not contained herein, and will not be contained, to the best of registrant’s knowledge, in definitive proxy or information statements incorporated by reference in Part III of this Form 10-K or any amendment to this Form 10-K. </w:t>
      </w:r>
      <w:r>
        <w:rPr>
          <w:rFonts w:ascii="Arial" w:cs="Arial" w:eastAsia="Arial" w:hAnsi="Arial"/>
          <w:sz w:val="18"/>
          <w:szCs w:val="18"/>
          <w:b w:val="1"/>
          <w:bCs w:val="1"/>
          <w:color w:val="auto"/>
        </w:rPr>
        <w:t>Yes [ ] No [X]</w:t>
      </w:r>
    </w:p>
    <w:p>
      <w:pPr>
        <w:spacing w:after="0" w:line="20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9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Large accelerated filer [ ] Accelerated filer [ ] Non-accelerated filer [ ] Smaller reporting company [X]</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Arial" w:cs="Arial" w:eastAsia="Arial" w:hAnsi="Arial"/>
          <w:sz w:val="18"/>
          <w:szCs w:val="18"/>
          <w:b w:val="1"/>
          <w:bCs w:val="1"/>
          <w:color w:val="auto"/>
        </w:rPr>
        <w:t>Yes [ ]  No [X]</w:t>
      </w:r>
    </w:p>
    <w:p>
      <w:pPr>
        <w:spacing w:after="0" w:line="256" w:lineRule="exact"/>
        <w:rPr>
          <w:sz w:val="24"/>
          <w:szCs w:val="24"/>
          <w:color w:val="auto"/>
        </w:rPr>
      </w:pPr>
    </w:p>
    <w:p>
      <w:pPr>
        <w:jc w:val="both"/>
        <w:ind w:right="60"/>
        <w:spacing w:after="0" w:line="264" w:lineRule="auto"/>
        <w:rPr>
          <w:sz w:val="20"/>
          <w:szCs w:val="20"/>
          <w:color w:val="auto"/>
        </w:rPr>
      </w:pPr>
      <w:r>
        <w:rPr>
          <w:rFonts w:ascii="Arial" w:cs="Arial" w:eastAsia="Arial" w:hAnsi="Arial"/>
          <w:sz w:val="18"/>
          <w:szCs w:val="18"/>
          <w:color w:val="auto"/>
        </w:rPr>
        <w:t xml:space="preserve">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t>
      </w:r>
      <w:r>
        <w:rPr>
          <w:rFonts w:ascii="Arial" w:cs="Arial" w:eastAsia="Arial" w:hAnsi="Arial"/>
          <w:sz w:val="18"/>
          <w:szCs w:val="18"/>
          <w:b w:val="1"/>
          <w:bCs w:val="1"/>
          <w:color w:val="auto"/>
        </w:rPr>
        <w:t>$2,756,014</w:t>
      </w:r>
    </w:p>
    <w:p>
      <w:pPr>
        <w:spacing w:after="0" w:line="204" w:lineRule="exact"/>
        <w:rPr>
          <w:sz w:val="24"/>
          <w:szCs w:val="24"/>
          <w:color w:val="auto"/>
        </w:rPr>
      </w:pPr>
    </w:p>
    <w:p>
      <w:pPr>
        <w:ind w:right="220"/>
        <w:spacing w:after="0" w:line="282" w:lineRule="auto"/>
        <w:rPr>
          <w:sz w:val="20"/>
          <w:szCs w:val="20"/>
          <w:color w:val="auto"/>
        </w:rPr>
      </w:pPr>
      <w:r>
        <w:rPr>
          <w:rFonts w:ascii="Arial" w:cs="Arial" w:eastAsia="Arial" w:hAnsi="Arial"/>
          <w:sz w:val="18"/>
          <w:szCs w:val="18"/>
          <w:color w:val="auto"/>
        </w:rPr>
        <w:t xml:space="preserve">Indicate the number of shares outstanding of each of the registrant’s classes of common stock, as of the latest practicable date. </w:t>
      </w:r>
      <w:r>
        <w:rPr>
          <w:rFonts w:ascii="Arial" w:cs="Arial" w:eastAsia="Arial" w:hAnsi="Arial"/>
          <w:sz w:val="18"/>
          <w:szCs w:val="18"/>
          <w:b w:val="1"/>
          <w:bCs w:val="1"/>
          <w:color w:val="auto"/>
        </w:rPr>
        <w:t>12,826,117 as of March 31,</w:t>
      </w:r>
      <w:r>
        <w:rPr>
          <w:rFonts w:ascii="Arial" w:cs="Arial" w:eastAsia="Arial" w:hAnsi="Arial"/>
          <w:sz w:val="18"/>
          <w:szCs w:val="18"/>
          <w:color w:val="auto"/>
        </w:rPr>
        <w:t xml:space="preserve"> </w:t>
      </w:r>
      <w:r>
        <w:rPr>
          <w:rFonts w:ascii="Arial" w:cs="Arial" w:eastAsia="Arial" w:hAnsi="Arial"/>
          <w:sz w:val="18"/>
          <w:szCs w:val="18"/>
          <w:b w:val="1"/>
          <w:bCs w:val="1"/>
          <w:color w:val="auto"/>
        </w:rPr>
        <w:t>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506730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6" w:right="239" w:bottom="648" w:gutter="0" w:footer="0" w:header="0"/>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172085</wp:posOffset>
            </wp:positionV>
            <wp:extent cx="2023745"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2374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gridSpan w:val="4"/>
          </w:tcPr>
          <w:p>
            <w:pPr>
              <w:ind w:left="20"/>
              <w:spacing w:after="0"/>
              <w:rPr>
                <w:sz w:val="20"/>
                <w:szCs w:val="20"/>
                <w:color w:val="auto"/>
              </w:rPr>
            </w:pPr>
            <w:r>
              <w:rPr>
                <w:rFonts w:ascii="Arial" w:cs="Arial" w:eastAsia="Arial" w:hAnsi="Arial"/>
                <w:sz w:val="18"/>
                <w:szCs w:val="18"/>
                <w:color w:val="auto"/>
                <w:w w:val="80"/>
              </w:rPr>
              <w:t>Page</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00" w:type="dxa"/>
            <w:vAlign w:val="bottom"/>
            <w:gridSpan w:val="13"/>
          </w:tcPr>
          <w:p>
            <w:pPr>
              <w:jc w:val="center"/>
              <w:ind w:right="2760"/>
              <w:spacing w:after="0"/>
              <w:rPr>
                <w:sz w:val="20"/>
                <w:szCs w:val="20"/>
                <w:color w:val="auto"/>
              </w:rPr>
            </w:pPr>
            <w:r>
              <w:rPr>
                <w:rFonts w:ascii="Arial" w:cs="Arial" w:eastAsia="Arial" w:hAnsi="Arial"/>
                <w:sz w:val="18"/>
                <w:szCs w:val="18"/>
                <w:color w:val="auto"/>
                <w:w w:val="92"/>
              </w:rPr>
              <w:t>PART I</w:t>
            </w:r>
          </w:p>
        </w:tc>
        <w:tc>
          <w:tcPr>
            <w:tcW w:w="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20" w:type="dxa"/>
            <w:vAlign w:val="bottom"/>
            <w:vMerge w:val="restart"/>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320" w:type="dxa"/>
            <w:vAlign w:val="bottom"/>
            <w:vMerge w:val="continue"/>
          </w:tcPr>
          <w:p>
            <w:pPr>
              <w:spacing w:after="0"/>
              <w:rPr>
                <w:sz w:val="15"/>
                <w:szCs w:val="15"/>
                <w:color w:val="auto"/>
              </w:rPr>
            </w:pPr>
          </w:p>
        </w:tc>
        <w:tc>
          <w:tcPr>
            <w:tcW w:w="720" w:type="dxa"/>
            <w:vAlign w:val="bottom"/>
            <w:gridSpan w:val="8"/>
            <w:shd w:val="clear" w:color="auto" w:fill="CBDBD1"/>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5700" w:type="dxa"/>
            <w:vAlign w:val="bottom"/>
            <w:gridSpan w:val="25"/>
            <w:shd w:val="clear" w:color="auto" w:fill="CBDBD1"/>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280" w:type="dxa"/>
            <w:vAlign w:val="bottom"/>
            <w:tcBorders>
              <w:right w:val="single" w:sz="8" w:color="CBDBD1"/>
            </w:tcBorders>
            <w:gridSpan w:val="3"/>
            <w:shd w:val="clear" w:color="auto" w:fill="CBDBD1"/>
          </w:tcPr>
          <w:p>
            <w:pPr>
              <w:jc w:val="center"/>
              <w:ind w:left="30"/>
              <w:spacing w:after="0" w:line="17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120" w:type="dxa"/>
            <w:vAlign w:val="bottom"/>
            <w:tcBorders>
              <w:right w:val="single" w:sz="8" w:color="CBDBD1"/>
            </w:tcBorders>
            <w:shd w:val="clear" w:color="auto" w:fill="CBDBD1"/>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20" w:type="dxa"/>
            <w:vAlign w:val="bottom"/>
            <w:vMerge w:val="restart"/>
          </w:tcPr>
          <w:p>
            <w:pPr>
              <w:spacing w:after="0" w:line="20" w:lineRule="exact"/>
              <w:rPr>
                <w:sz w:val="1"/>
                <w:szCs w:val="1"/>
                <w:color w:val="auto"/>
              </w:rPr>
            </w:pPr>
          </w:p>
        </w:tc>
        <w:tc>
          <w:tcPr>
            <w:tcW w:w="300" w:type="dxa"/>
            <w:vAlign w:val="bottom"/>
            <w:tcBorders>
              <w:top w:val="single" w:sz="8" w:color="0000EE"/>
            </w:tcBorders>
            <w:shd w:val="clear" w:color="auto" w:fill="CBDBD1"/>
          </w:tcPr>
          <w:p>
            <w:pPr>
              <w:spacing w:after="0" w:line="20" w:lineRule="exact"/>
              <w:rPr>
                <w:sz w:val="1"/>
                <w:szCs w:val="1"/>
                <w:color w:val="auto"/>
              </w:rPr>
            </w:pPr>
          </w:p>
        </w:tc>
        <w:tc>
          <w:tcPr>
            <w:tcW w:w="16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640" w:type="dxa"/>
            <w:vAlign w:val="bottom"/>
            <w:tcBorders>
              <w:top w:val="single" w:sz="8" w:color="0000EE"/>
            </w:tcBorders>
            <w:shd w:val="clear" w:color="auto" w:fill="CBDBD1"/>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60" w:type="dxa"/>
            <w:vAlign w:val="bottom"/>
            <w:tcBorders>
              <w:top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CBDBD1"/>
            </w:tcBorders>
            <w:shd w:val="clear" w:color="auto" w:fill="CBDBD1"/>
          </w:tcPr>
          <w:p>
            <w:pPr>
              <w:spacing w:after="0" w:line="20" w:lineRule="exact"/>
              <w:rPr>
                <w:sz w:val="1"/>
                <w:szCs w:val="1"/>
                <w:color w:val="auto"/>
              </w:rPr>
            </w:pPr>
          </w:p>
        </w:tc>
        <w:tc>
          <w:tcPr>
            <w:tcW w:w="40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160" w:type="dxa"/>
            <w:vAlign w:val="bottom"/>
            <w:tcBorders>
              <w:top w:val="single" w:sz="8" w:color="CBDBD1"/>
            </w:tcBorders>
            <w:shd w:val="clear" w:color="auto" w:fill="CBDBD1"/>
          </w:tcPr>
          <w:p>
            <w:pPr>
              <w:spacing w:after="0" w:line="20" w:lineRule="exact"/>
              <w:rPr>
                <w:sz w:val="1"/>
                <w:szCs w:val="1"/>
                <w:color w:val="auto"/>
              </w:rPr>
            </w:pPr>
          </w:p>
        </w:tc>
        <w:tc>
          <w:tcPr>
            <w:tcW w:w="32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240" w:type="dxa"/>
            <w:vAlign w:val="bottom"/>
            <w:tcBorders>
              <w:top w:val="single" w:sz="8" w:color="CBDBD1"/>
            </w:tcBorders>
            <w:shd w:val="clear" w:color="auto" w:fill="CBDBD1"/>
          </w:tcPr>
          <w:p>
            <w:pPr>
              <w:spacing w:after="0" w:line="20" w:lineRule="exact"/>
              <w:rPr>
                <w:sz w:val="1"/>
                <w:szCs w:val="1"/>
                <w:color w:val="auto"/>
              </w:rPr>
            </w:pPr>
          </w:p>
        </w:tc>
        <w:tc>
          <w:tcPr>
            <w:tcW w:w="28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80" w:type="dxa"/>
            <w:vAlign w:val="bottom"/>
            <w:tcBorders>
              <w:top w:val="single" w:sz="8" w:color="CBDBD1"/>
            </w:tcBorders>
            <w:shd w:val="clear" w:color="auto" w:fill="CBDBD1"/>
          </w:tcPr>
          <w:p>
            <w:pPr>
              <w:spacing w:after="0" w:line="20" w:lineRule="exact"/>
              <w:rPr>
                <w:sz w:val="1"/>
                <w:szCs w:val="1"/>
                <w:color w:val="auto"/>
              </w:rPr>
            </w:pPr>
          </w:p>
        </w:tc>
        <w:tc>
          <w:tcPr>
            <w:tcW w:w="18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340" w:type="dxa"/>
            <w:vAlign w:val="bottom"/>
            <w:tcBorders>
              <w:top w:val="single" w:sz="8" w:color="CBDBD1"/>
            </w:tcBorders>
            <w:shd w:val="clear" w:color="auto" w:fill="CBDBD1"/>
          </w:tcPr>
          <w:p>
            <w:pPr>
              <w:spacing w:after="0" w:line="20" w:lineRule="exact"/>
              <w:rPr>
                <w:sz w:val="1"/>
                <w:szCs w:val="1"/>
                <w:color w:val="auto"/>
              </w:rPr>
            </w:pPr>
          </w:p>
        </w:tc>
        <w:tc>
          <w:tcPr>
            <w:tcW w:w="440" w:type="dxa"/>
            <w:vAlign w:val="bottom"/>
            <w:tcBorders>
              <w:top w:val="single" w:sz="8" w:color="CBDBD1"/>
            </w:tcBorders>
            <w:shd w:val="clear" w:color="auto" w:fill="CBDBD1"/>
          </w:tcPr>
          <w:p>
            <w:pPr>
              <w:spacing w:after="0" w:line="20" w:lineRule="exact"/>
              <w:rPr>
                <w:sz w:val="1"/>
                <w:szCs w:val="1"/>
                <w:color w:val="auto"/>
              </w:rPr>
            </w:pPr>
          </w:p>
        </w:tc>
        <w:tc>
          <w:tcPr>
            <w:tcW w:w="320" w:type="dxa"/>
            <w:vAlign w:val="bottom"/>
            <w:tcBorders>
              <w:top w:val="single" w:sz="8" w:color="CBDBD1"/>
            </w:tcBorders>
            <w:shd w:val="clear" w:color="auto" w:fill="CBDBD1"/>
          </w:tcPr>
          <w:p>
            <w:pPr>
              <w:spacing w:after="0" w:line="20" w:lineRule="exact"/>
              <w:rPr>
                <w:sz w:val="1"/>
                <w:szCs w:val="1"/>
                <w:color w:val="auto"/>
              </w:rPr>
            </w:pPr>
          </w:p>
        </w:tc>
        <w:tc>
          <w:tcPr>
            <w:tcW w:w="260" w:type="dxa"/>
            <w:vAlign w:val="bottom"/>
            <w:tcBorders>
              <w:top w:val="single" w:sz="8" w:color="CBDBD1"/>
            </w:tcBorders>
            <w:shd w:val="clear" w:color="auto" w:fill="CBDBD1"/>
          </w:tcPr>
          <w:p>
            <w:pPr>
              <w:spacing w:after="0" w:line="20" w:lineRule="exact"/>
              <w:rPr>
                <w:sz w:val="1"/>
                <w:szCs w:val="1"/>
                <w:color w:val="auto"/>
              </w:rPr>
            </w:pPr>
          </w:p>
        </w:tc>
        <w:tc>
          <w:tcPr>
            <w:tcW w:w="1100" w:type="dxa"/>
            <w:vAlign w:val="bottom"/>
            <w:tcBorders>
              <w:top w:val="single" w:sz="8" w:color="CBDBD1"/>
            </w:tcBorders>
            <w:shd w:val="clear" w:color="auto" w:fill="CBDBD1"/>
          </w:tcPr>
          <w:p>
            <w:pPr>
              <w:spacing w:after="0" w:line="20" w:lineRule="exact"/>
              <w:rPr>
                <w:sz w:val="1"/>
                <w:szCs w:val="1"/>
                <w:color w:val="auto"/>
              </w:rPr>
            </w:pPr>
          </w:p>
        </w:tc>
        <w:tc>
          <w:tcPr>
            <w:tcW w:w="2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14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0000EE"/>
              <w:right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20" w:type="dxa"/>
            <w:vAlign w:val="bottom"/>
            <w:vMerge w:val="continue"/>
          </w:tcPr>
          <w:p>
            <w:pPr>
              <w:spacing w:after="0"/>
              <w:rPr>
                <w:sz w:val="15"/>
                <w:szCs w:val="15"/>
                <w:color w:val="auto"/>
              </w:rPr>
            </w:pPr>
          </w:p>
        </w:tc>
        <w:tc>
          <w:tcPr>
            <w:tcW w:w="720" w:type="dxa"/>
            <w:vAlign w:val="bottom"/>
            <w:gridSpan w:val="8"/>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Item 1A.</w:t>
              </w:r>
            </w:hyperlink>
          </w:p>
        </w:tc>
        <w:tc>
          <w:tcPr>
            <w:tcW w:w="5700" w:type="dxa"/>
            <w:vAlign w:val="bottom"/>
            <w:gridSpan w:val="25"/>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280" w:type="dxa"/>
            <w:vAlign w:val="bottom"/>
            <w:gridSpan w:val="3"/>
          </w:tcPr>
          <w:p>
            <w:pPr>
              <w:jc w:val="center"/>
              <w:ind w:left="30"/>
              <w:spacing w:after="0" w:line="176"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9</w:t>
              </w:r>
            </w:hyperlink>
          </w:p>
        </w:tc>
        <w:tc>
          <w:tcPr>
            <w:tcW w:w="1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20" w:type="dxa"/>
            <w:vAlign w:val="bottom"/>
            <w:vMerge w:val="restart"/>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20" w:type="dxa"/>
            <w:vAlign w:val="bottom"/>
            <w:vMerge w:val="continue"/>
          </w:tcPr>
          <w:p>
            <w:pPr>
              <w:spacing w:after="0"/>
              <w:rPr>
                <w:sz w:val="15"/>
                <w:szCs w:val="15"/>
                <w:color w:val="auto"/>
              </w:rPr>
            </w:pPr>
          </w:p>
        </w:tc>
        <w:tc>
          <w:tcPr>
            <w:tcW w:w="720" w:type="dxa"/>
            <w:vAlign w:val="bottom"/>
            <w:gridSpan w:val="8"/>
            <w:shd w:val="clear" w:color="auto" w:fill="CBDBD1"/>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Item 1B.</w:t>
              </w:r>
            </w:hyperlink>
          </w:p>
        </w:tc>
        <w:tc>
          <w:tcPr>
            <w:tcW w:w="5700" w:type="dxa"/>
            <w:vAlign w:val="bottom"/>
            <w:gridSpan w:val="25"/>
            <w:shd w:val="clear" w:color="auto" w:fill="CBDBD1"/>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Unresolved Staff Comments</w:t>
              </w:r>
            </w:hyperlink>
          </w:p>
        </w:tc>
        <w:tc>
          <w:tcPr>
            <w:tcW w:w="280" w:type="dxa"/>
            <w:vAlign w:val="bottom"/>
            <w:tcBorders>
              <w:right w:val="single" w:sz="8" w:color="CBDBD1"/>
            </w:tcBorders>
            <w:gridSpan w:val="3"/>
            <w:shd w:val="clear" w:color="auto" w:fill="CBDBD1"/>
          </w:tcPr>
          <w:p>
            <w:pPr>
              <w:jc w:val="center"/>
              <w:ind w:left="30"/>
              <w:spacing w:after="0" w:line="176"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9</w:t>
              </w:r>
            </w:hyperlink>
          </w:p>
        </w:tc>
        <w:tc>
          <w:tcPr>
            <w:tcW w:w="120" w:type="dxa"/>
            <w:vAlign w:val="bottom"/>
            <w:tcBorders>
              <w:right w:val="single" w:sz="8" w:color="CBDBD1"/>
            </w:tcBorders>
            <w:shd w:val="clear" w:color="auto" w:fill="CBDBD1"/>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20" w:type="dxa"/>
            <w:vAlign w:val="bottom"/>
            <w:vMerge w:val="restart"/>
          </w:tcPr>
          <w:p>
            <w:pPr>
              <w:spacing w:after="0" w:line="20" w:lineRule="exact"/>
              <w:rPr>
                <w:sz w:val="1"/>
                <w:szCs w:val="1"/>
                <w:color w:val="auto"/>
              </w:rPr>
            </w:pPr>
          </w:p>
        </w:tc>
        <w:tc>
          <w:tcPr>
            <w:tcW w:w="300" w:type="dxa"/>
            <w:vAlign w:val="bottom"/>
            <w:tcBorders>
              <w:top w:val="single" w:sz="8" w:color="0000EE"/>
            </w:tcBorders>
            <w:shd w:val="clear" w:color="auto" w:fill="CBDBD1"/>
          </w:tcPr>
          <w:p>
            <w:pPr>
              <w:spacing w:after="0" w:line="20" w:lineRule="exact"/>
              <w:rPr>
                <w:sz w:val="1"/>
                <w:szCs w:val="1"/>
                <w:color w:val="auto"/>
              </w:rPr>
            </w:pPr>
          </w:p>
        </w:tc>
        <w:tc>
          <w:tcPr>
            <w:tcW w:w="16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8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640" w:type="dxa"/>
            <w:vAlign w:val="bottom"/>
            <w:tcBorders>
              <w:top w:val="single" w:sz="8" w:color="0000EE"/>
            </w:tcBorders>
            <w:shd w:val="clear" w:color="auto" w:fill="CBDBD1"/>
          </w:tcPr>
          <w:p>
            <w:pPr>
              <w:spacing w:after="0" w:line="20" w:lineRule="exact"/>
              <w:rPr>
                <w:sz w:val="1"/>
                <w:szCs w:val="1"/>
                <w:color w:val="auto"/>
              </w:rPr>
            </w:pPr>
          </w:p>
        </w:tc>
        <w:tc>
          <w:tcPr>
            <w:tcW w:w="100" w:type="dxa"/>
            <w:vAlign w:val="bottom"/>
            <w:tcBorders>
              <w:top w:val="single" w:sz="8" w:color="0000EE"/>
            </w:tcBorders>
            <w:shd w:val="clear" w:color="auto" w:fill="CBDBD1"/>
          </w:tcPr>
          <w:p>
            <w:pPr>
              <w:spacing w:after="0" w:line="20" w:lineRule="exact"/>
              <w:rPr>
                <w:sz w:val="1"/>
                <w:szCs w:val="1"/>
                <w:color w:val="auto"/>
              </w:rPr>
            </w:pPr>
          </w:p>
        </w:tc>
        <w:tc>
          <w:tcPr>
            <w:tcW w:w="60" w:type="dxa"/>
            <w:vAlign w:val="bottom"/>
            <w:tcBorders>
              <w:top w:val="single" w:sz="8" w:color="0000EE"/>
            </w:tcBorders>
            <w:shd w:val="clear" w:color="auto" w:fill="CBDBD1"/>
          </w:tcPr>
          <w:p>
            <w:pPr>
              <w:spacing w:after="0" w:line="20" w:lineRule="exact"/>
              <w:rPr>
                <w:sz w:val="1"/>
                <w:szCs w:val="1"/>
                <w:color w:val="auto"/>
              </w:rPr>
            </w:pPr>
          </w:p>
        </w:tc>
        <w:tc>
          <w:tcPr>
            <w:tcW w:w="120" w:type="dxa"/>
            <w:vAlign w:val="bottom"/>
            <w:tcBorders>
              <w:top w:val="single" w:sz="8" w:color="0000EE"/>
            </w:tcBorders>
            <w:shd w:val="clear" w:color="auto" w:fill="CBDBD1"/>
          </w:tcPr>
          <w:p>
            <w:pPr>
              <w:spacing w:after="0" w:line="20" w:lineRule="exact"/>
              <w:rPr>
                <w:sz w:val="1"/>
                <w:szCs w:val="1"/>
                <w:color w:val="auto"/>
              </w:rPr>
            </w:pPr>
          </w:p>
        </w:tc>
        <w:tc>
          <w:tcPr>
            <w:tcW w:w="40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160" w:type="dxa"/>
            <w:vAlign w:val="bottom"/>
            <w:tcBorders>
              <w:top w:val="single" w:sz="8" w:color="0000EE"/>
            </w:tcBorders>
            <w:shd w:val="clear" w:color="auto" w:fill="CBDBD1"/>
          </w:tcPr>
          <w:p>
            <w:pPr>
              <w:spacing w:after="0" w:line="20" w:lineRule="exact"/>
              <w:rPr>
                <w:sz w:val="1"/>
                <w:szCs w:val="1"/>
                <w:color w:val="auto"/>
              </w:rPr>
            </w:pPr>
          </w:p>
        </w:tc>
        <w:tc>
          <w:tcPr>
            <w:tcW w:w="320" w:type="dxa"/>
            <w:vAlign w:val="bottom"/>
            <w:tcBorders>
              <w:top w:val="single" w:sz="8" w:color="0000EE"/>
              <w:right w:val="single" w:sz="8" w:color="CBDBD1"/>
            </w:tcBorders>
            <w:shd w:val="clear" w:color="auto" w:fill="CBDBD1"/>
          </w:tcPr>
          <w:p>
            <w:pPr>
              <w:spacing w:after="0" w:line="20" w:lineRule="exact"/>
              <w:rPr>
                <w:sz w:val="1"/>
                <w:szCs w:val="1"/>
                <w:color w:val="auto"/>
              </w:rPr>
            </w:pPr>
          </w:p>
        </w:tc>
        <w:tc>
          <w:tcPr>
            <w:tcW w:w="240" w:type="dxa"/>
            <w:vAlign w:val="bottom"/>
            <w:tcBorders>
              <w:top w:val="single" w:sz="8" w:color="0000EE"/>
            </w:tcBorders>
            <w:shd w:val="clear" w:color="auto" w:fill="CBDBD1"/>
          </w:tcPr>
          <w:p>
            <w:pPr>
              <w:spacing w:after="0" w:line="20" w:lineRule="exact"/>
              <w:rPr>
                <w:sz w:val="1"/>
                <w:szCs w:val="1"/>
                <w:color w:val="auto"/>
              </w:rPr>
            </w:pPr>
          </w:p>
        </w:tc>
        <w:tc>
          <w:tcPr>
            <w:tcW w:w="28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80" w:type="dxa"/>
            <w:vAlign w:val="bottom"/>
            <w:tcBorders>
              <w:top w:val="single" w:sz="8" w:color="CBDBD1"/>
            </w:tcBorders>
            <w:shd w:val="clear" w:color="auto" w:fill="CBDBD1"/>
          </w:tcPr>
          <w:p>
            <w:pPr>
              <w:spacing w:after="0" w:line="20" w:lineRule="exact"/>
              <w:rPr>
                <w:sz w:val="1"/>
                <w:szCs w:val="1"/>
                <w:color w:val="auto"/>
              </w:rPr>
            </w:pPr>
          </w:p>
        </w:tc>
        <w:tc>
          <w:tcPr>
            <w:tcW w:w="18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340" w:type="dxa"/>
            <w:vAlign w:val="bottom"/>
            <w:tcBorders>
              <w:top w:val="single" w:sz="8" w:color="CBDBD1"/>
            </w:tcBorders>
            <w:shd w:val="clear" w:color="auto" w:fill="CBDBD1"/>
          </w:tcPr>
          <w:p>
            <w:pPr>
              <w:spacing w:after="0" w:line="20" w:lineRule="exact"/>
              <w:rPr>
                <w:sz w:val="1"/>
                <w:szCs w:val="1"/>
                <w:color w:val="auto"/>
              </w:rPr>
            </w:pPr>
          </w:p>
        </w:tc>
        <w:tc>
          <w:tcPr>
            <w:tcW w:w="440" w:type="dxa"/>
            <w:vAlign w:val="bottom"/>
            <w:tcBorders>
              <w:top w:val="single" w:sz="8" w:color="CBDBD1"/>
            </w:tcBorders>
            <w:shd w:val="clear" w:color="auto" w:fill="CBDBD1"/>
          </w:tcPr>
          <w:p>
            <w:pPr>
              <w:spacing w:after="0" w:line="20" w:lineRule="exact"/>
              <w:rPr>
                <w:sz w:val="1"/>
                <w:szCs w:val="1"/>
                <w:color w:val="auto"/>
              </w:rPr>
            </w:pPr>
          </w:p>
        </w:tc>
        <w:tc>
          <w:tcPr>
            <w:tcW w:w="320" w:type="dxa"/>
            <w:vAlign w:val="bottom"/>
            <w:tcBorders>
              <w:top w:val="single" w:sz="8" w:color="CBDBD1"/>
            </w:tcBorders>
            <w:shd w:val="clear" w:color="auto" w:fill="CBDBD1"/>
          </w:tcPr>
          <w:p>
            <w:pPr>
              <w:spacing w:after="0" w:line="20" w:lineRule="exact"/>
              <w:rPr>
                <w:sz w:val="1"/>
                <w:szCs w:val="1"/>
                <w:color w:val="auto"/>
              </w:rPr>
            </w:pPr>
          </w:p>
        </w:tc>
        <w:tc>
          <w:tcPr>
            <w:tcW w:w="260" w:type="dxa"/>
            <w:vAlign w:val="bottom"/>
            <w:tcBorders>
              <w:top w:val="single" w:sz="8" w:color="CBDBD1"/>
            </w:tcBorders>
            <w:shd w:val="clear" w:color="auto" w:fill="CBDBD1"/>
          </w:tcPr>
          <w:p>
            <w:pPr>
              <w:spacing w:after="0" w:line="20" w:lineRule="exact"/>
              <w:rPr>
                <w:sz w:val="1"/>
                <w:szCs w:val="1"/>
                <w:color w:val="auto"/>
              </w:rPr>
            </w:pPr>
          </w:p>
        </w:tc>
        <w:tc>
          <w:tcPr>
            <w:tcW w:w="1100" w:type="dxa"/>
            <w:vAlign w:val="bottom"/>
            <w:tcBorders>
              <w:top w:val="single" w:sz="8" w:color="CBDBD1"/>
            </w:tcBorders>
            <w:shd w:val="clear" w:color="auto" w:fill="CBDBD1"/>
          </w:tcPr>
          <w:p>
            <w:pPr>
              <w:spacing w:after="0" w:line="20" w:lineRule="exact"/>
              <w:rPr>
                <w:sz w:val="1"/>
                <w:szCs w:val="1"/>
                <w:color w:val="auto"/>
              </w:rPr>
            </w:pPr>
          </w:p>
        </w:tc>
        <w:tc>
          <w:tcPr>
            <w:tcW w:w="2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14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0000EE"/>
              <w:right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20" w:type="dxa"/>
            <w:vAlign w:val="bottom"/>
            <w:vMerge w:val="continue"/>
          </w:tcPr>
          <w:p>
            <w:pPr>
              <w:spacing w:after="0"/>
              <w:rPr>
                <w:sz w:val="15"/>
                <w:szCs w:val="15"/>
                <w:color w:val="auto"/>
              </w:rPr>
            </w:pPr>
          </w:p>
        </w:tc>
        <w:tc>
          <w:tcPr>
            <w:tcW w:w="600" w:type="dxa"/>
            <w:vAlign w:val="bottom"/>
            <w:gridSpan w:val="6"/>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Item 2.</w:t>
              </w:r>
            </w:hyperlink>
          </w:p>
        </w:tc>
        <w:tc>
          <w:tcPr>
            <w:tcW w:w="120" w:type="dxa"/>
            <w:vAlign w:val="bottom"/>
            <w:gridSpan w:val="2"/>
          </w:tcPr>
          <w:p>
            <w:pPr>
              <w:spacing w:after="0"/>
              <w:rPr>
                <w:sz w:val="15"/>
                <w:szCs w:val="15"/>
                <w:color w:val="auto"/>
              </w:rPr>
            </w:pPr>
          </w:p>
        </w:tc>
        <w:tc>
          <w:tcPr>
            <w:tcW w:w="2060" w:type="dxa"/>
            <w:vAlign w:val="bottom"/>
            <w:gridSpan w:val="9"/>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Properties</w:t>
              </w:r>
            </w:hyperlink>
          </w:p>
        </w:tc>
        <w:tc>
          <w:tcPr>
            <w:tcW w:w="3640" w:type="dxa"/>
            <w:vAlign w:val="bottom"/>
            <w:gridSpan w:val="16"/>
          </w:tcPr>
          <w:p>
            <w:pPr>
              <w:spacing w:after="0"/>
              <w:rPr>
                <w:sz w:val="15"/>
                <w:szCs w:val="15"/>
                <w:color w:val="auto"/>
              </w:rPr>
            </w:pPr>
          </w:p>
        </w:tc>
        <w:tc>
          <w:tcPr>
            <w:tcW w:w="400" w:type="dxa"/>
            <w:vAlign w:val="bottom"/>
            <w:gridSpan w:val="4"/>
          </w:tcPr>
          <w:p>
            <w:pPr>
              <w:jc w:val="center"/>
              <w:ind w:right="20"/>
              <w:spacing w:after="0" w:line="17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10</w:t>
              </w:r>
            </w:hyperlink>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20" w:type="dxa"/>
            <w:vAlign w:val="bottom"/>
            <w:vMerge w:val="restart"/>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20" w:type="dxa"/>
            <w:vAlign w:val="bottom"/>
            <w:vMerge w:val="continue"/>
          </w:tcPr>
          <w:p>
            <w:pPr>
              <w:spacing w:after="0"/>
              <w:rPr>
                <w:sz w:val="15"/>
                <w:szCs w:val="15"/>
                <w:color w:val="auto"/>
              </w:rPr>
            </w:pPr>
          </w:p>
        </w:tc>
        <w:tc>
          <w:tcPr>
            <w:tcW w:w="720" w:type="dxa"/>
            <w:vAlign w:val="bottom"/>
            <w:gridSpan w:val="8"/>
            <w:shd w:val="clear" w:color="auto" w:fill="CBDBD1"/>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Item 3.</w:t>
              </w:r>
            </w:hyperlink>
          </w:p>
        </w:tc>
        <w:tc>
          <w:tcPr>
            <w:tcW w:w="5700" w:type="dxa"/>
            <w:vAlign w:val="bottom"/>
            <w:gridSpan w:val="25"/>
            <w:shd w:val="clear" w:color="auto" w:fill="CBDBD1"/>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Legal Proceedings</w:t>
              </w:r>
            </w:hyperlink>
          </w:p>
        </w:tc>
        <w:tc>
          <w:tcPr>
            <w:tcW w:w="400" w:type="dxa"/>
            <w:vAlign w:val="bottom"/>
            <w:tcBorders>
              <w:right w:val="single" w:sz="8" w:color="CBDBD1"/>
            </w:tcBorders>
            <w:gridSpan w:val="4"/>
            <w:shd w:val="clear" w:color="auto" w:fill="CBDBD1"/>
          </w:tcPr>
          <w:p>
            <w:pPr>
              <w:jc w:val="center"/>
              <w:ind w:right="20"/>
              <w:spacing w:after="0" w:line="17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10</w:t>
              </w:r>
            </w:hyperlink>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20" w:type="dxa"/>
            <w:vAlign w:val="bottom"/>
            <w:vMerge w:val="restart"/>
          </w:tcPr>
          <w:p>
            <w:pPr>
              <w:spacing w:after="0" w:line="20" w:lineRule="exact"/>
              <w:rPr>
                <w:sz w:val="1"/>
                <w:szCs w:val="1"/>
                <w:color w:val="auto"/>
              </w:rPr>
            </w:pPr>
          </w:p>
        </w:tc>
        <w:tc>
          <w:tcPr>
            <w:tcW w:w="300" w:type="dxa"/>
            <w:vAlign w:val="bottom"/>
            <w:tcBorders>
              <w:top w:val="single" w:sz="8" w:color="0000EE"/>
            </w:tcBorders>
            <w:shd w:val="clear" w:color="auto" w:fill="CBDBD1"/>
          </w:tcPr>
          <w:p>
            <w:pPr>
              <w:spacing w:after="0" w:line="20" w:lineRule="exact"/>
              <w:rPr>
                <w:sz w:val="1"/>
                <w:szCs w:val="1"/>
                <w:color w:val="auto"/>
              </w:rPr>
            </w:pPr>
          </w:p>
        </w:tc>
        <w:tc>
          <w:tcPr>
            <w:tcW w:w="16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640" w:type="dxa"/>
            <w:vAlign w:val="bottom"/>
            <w:tcBorders>
              <w:top w:val="single" w:sz="8" w:color="0000EE"/>
            </w:tcBorders>
            <w:shd w:val="clear" w:color="auto" w:fill="CBDBD1"/>
          </w:tcPr>
          <w:p>
            <w:pPr>
              <w:spacing w:after="0" w:line="20" w:lineRule="exact"/>
              <w:rPr>
                <w:sz w:val="1"/>
                <w:szCs w:val="1"/>
                <w:color w:val="auto"/>
              </w:rPr>
            </w:pPr>
          </w:p>
        </w:tc>
        <w:tc>
          <w:tcPr>
            <w:tcW w:w="100" w:type="dxa"/>
            <w:vAlign w:val="bottom"/>
            <w:tcBorders>
              <w:top w:val="single" w:sz="8" w:color="0000EE"/>
            </w:tcBorders>
            <w:shd w:val="clear" w:color="auto" w:fill="CBDBD1"/>
          </w:tcPr>
          <w:p>
            <w:pPr>
              <w:spacing w:after="0" w:line="20" w:lineRule="exact"/>
              <w:rPr>
                <w:sz w:val="1"/>
                <w:szCs w:val="1"/>
                <w:color w:val="auto"/>
              </w:rPr>
            </w:pPr>
          </w:p>
        </w:tc>
        <w:tc>
          <w:tcPr>
            <w:tcW w:w="60" w:type="dxa"/>
            <w:vAlign w:val="bottom"/>
            <w:tcBorders>
              <w:top w:val="single" w:sz="8" w:color="0000EE"/>
            </w:tcBorders>
            <w:shd w:val="clear" w:color="auto" w:fill="CBDBD1"/>
          </w:tcPr>
          <w:p>
            <w:pPr>
              <w:spacing w:after="0" w:line="20" w:lineRule="exact"/>
              <w:rPr>
                <w:sz w:val="1"/>
                <w:szCs w:val="1"/>
                <w:color w:val="auto"/>
              </w:rPr>
            </w:pPr>
          </w:p>
        </w:tc>
        <w:tc>
          <w:tcPr>
            <w:tcW w:w="120" w:type="dxa"/>
            <w:vAlign w:val="bottom"/>
            <w:tcBorders>
              <w:top w:val="single" w:sz="8" w:color="0000EE"/>
            </w:tcBorders>
            <w:shd w:val="clear" w:color="auto" w:fill="CBDBD1"/>
          </w:tcPr>
          <w:p>
            <w:pPr>
              <w:spacing w:after="0" w:line="20" w:lineRule="exact"/>
              <w:rPr>
                <w:sz w:val="1"/>
                <w:szCs w:val="1"/>
                <w:color w:val="auto"/>
              </w:rPr>
            </w:pPr>
          </w:p>
        </w:tc>
        <w:tc>
          <w:tcPr>
            <w:tcW w:w="40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160" w:type="dxa"/>
            <w:vAlign w:val="bottom"/>
            <w:tcBorders>
              <w:top w:val="single" w:sz="8" w:color="CBDBD1"/>
            </w:tcBorders>
            <w:shd w:val="clear" w:color="auto" w:fill="CBDBD1"/>
          </w:tcPr>
          <w:p>
            <w:pPr>
              <w:spacing w:after="0" w:line="20" w:lineRule="exact"/>
              <w:rPr>
                <w:sz w:val="1"/>
                <w:szCs w:val="1"/>
                <w:color w:val="auto"/>
              </w:rPr>
            </w:pPr>
          </w:p>
        </w:tc>
        <w:tc>
          <w:tcPr>
            <w:tcW w:w="32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240" w:type="dxa"/>
            <w:vAlign w:val="bottom"/>
            <w:tcBorders>
              <w:top w:val="single" w:sz="8" w:color="CBDBD1"/>
            </w:tcBorders>
            <w:shd w:val="clear" w:color="auto" w:fill="CBDBD1"/>
          </w:tcPr>
          <w:p>
            <w:pPr>
              <w:spacing w:after="0" w:line="20" w:lineRule="exact"/>
              <w:rPr>
                <w:sz w:val="1"/>
                <w:szCs w:val="1"/>
                <w:color w:val="auto"/>
              </w:rPr>
            </w:pPr>
          </w:p>
        </w:tc>
        <w:tc>
          <w:tcPr>
            <w:tcW w:w="28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80" w:type="dxa"/>
            <w:vAlign w:val="bottom"/>
            <w:tcBorders>
              <w:top w:val="single" w:sz="8" w:color="CBDBD1"/>
            </w:tcBorders>
            <w:shd w:val="clear" w:color="auto" w:fill="CBDBD1"/>
          </w:tcPr>
          <w:p>
            <w:pPr>
              <w:spacing w:after="0" w:line="20" w:lineRule="exact"/>
              <w:rPr>
                <w:sz w:val="1"/>
                <w:szCs w:val="1"/>
                <w:color w:val="auto"/>
              </w:rPr>
            </w:pPr>
          </w:p>
        </w:tc>
        <w:tc>
          <w:tcPr>
            <w:tcW w:w="18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340" w:type="dxa"/>
            <w:vAlign w:val="bottom"/>
            <w:tcBorders>
              <w:top w:val="single" w:sz="8" w:color="CBDBD1"/>
            </w:tcBorders>
            <w:shd w:val="clear" w:color="auto" w:fill="CBDBD1"/>
          </w:tcPr>
          <w:p>
            <w:pPr>
              <w:spacing w:after="0" w:line="20" w:lineRule="exact"/>
              <w:rPr>
                <w:sz w:val="1"/>
                <w:szCs w:val="1"/>
                <w:color w:val="auto"/>
              </w:rPr>
            </w:pPr>
          </w:p>
        </w:tc>
        <w:tc>
          <w:tcPr>
            <w:tcW w:w="440" w:type="dxa"/>
            <w:vAlign w:val="bottom"/>
            <w:tcBorders>
              <w:top w:val="single" w:sz="8" w:color="CBDBD1"/>
            </w:tcBorders>
            <w:shd w:val="clear" w:color="auto" w:fill="CBDBD1"/>
          </w:tcPr>
          <w:p>
            <w:pPr>
              <w:spacing w:after="0" w:line="20" w:lineRule="exact"/>
              <w:rPr>
                <w:sz w:val="1"/>
                <w:szCs w:val="1"/>
                <w:color w:val="auto"/>
              </w:rPr>
            </w:pPr>
          </w:p>
        </w:tc>
        <w:tc>
          <w:tcPr>
            <w:tcW w:w="320" w:type="dxa"/>
            <w:vAlign w:val="bottom"/>
            <w:tcBorders>
              <w:top w:val="single" w:sz="8" w:color="CBDBD1"/>
            </w:tcBorders>
            <w:shd w:val="clear" w:color="auto" w:fill="CBDBD1"/>
          </w:tcPr>
          <w:p>
            <w:pPr>
              <w:spacing w:after="0" w:line="20" w:lineRule="exact"/>
              <w:rPr>
                <w:sz w:val="1"/>
                <w:szCs w:val="1"/>
                <w:color w:val="auto"/>
              </w:rPr>
            </w:pPr>
          </w:p>
        </w:tc>
        <w:tc>
          <w:tcPr>
            <w:tcW w:w="260" w:type="dxa"/>
            <w:vAlign w:val="bottom"/>
            <w:tcBorders>
              <w:top w:val="single" w:sz="8" w:color="CBDBD1"/>
            </w:tcBorders>
            <w:shd w:val="clear" w:color="auto" w:fill="CBDBD1"/>
          </w:tcPr>
          <w:p>
            <w:pPr>
              <w:spacing w:after="0" w:line="20" w:lineRule="exact"/>
              <w:rPr>
                <w:sz w:val="1"/>
                <w:szCs w:val="1"/>
                <w:color w:val="auto"/>
              </w:rPr>
            </w:pPr>
          </w:p>
        </w:tc>
        <w:tc>
          <w:tcPr>
            <w:tcW w:w="1100" w:type="dxa"/>
            <w:vAlign w:val="bottom"/>
            <w:tcBorders>
              <w:top w:val="single" w:sz="8" w:color="CBDBD1"/>
            </w:tcBorders>
            <w:shd w:val="clear" w:color="auto" w:fill="CBDBD1"/>
          </w:tcPr>
          <w:p>
            <w:pPr>
              <w:spacing w:after="0" w:line="20" w:lineRule="exact"/>
              <w:rPr>
                <w:sz w:val="1"/>
                <w:szCs w:val="1"/>
                <w:color w:val="auto"/>
              </w:rPr>
            </w:pPr>
          </w:p>
        </w:tc>
        <w:tc>
          <w:tcPr>
            <w:tcW w:w="2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14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0000EE"/>
              <w:right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20" w:type="dxa"/>
            <w:vAlign w:val="bottom"/>
            <w:vMerge w:val="continue"/>
          </w:tcPr>
          <w:p>
            <w:pPr>
              <w:spacing w:after="0"/>
              <w:rPr>
                <w:sz w:val="15"/>
                <w:szCs w:val="15"/>
                <w:color w:val="auto"/>
              </w:rPr>
            </w:pPr>
          </w:p>
        </w:tc>
        <w:tc>
          <w:tcPr>
            <w:tcW w:w="720" w:type="dxa"/>
            <w:vAlign w:val="bottom"/>
            <w:gridSpan w:val="8"/>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Item 4.</w:t>
              </w:r>
            </w:hyperlink>
          </w:p>
        </w:tc>
        <w:tc>
          <w:tcPr>
            <w:tcW w:w="5700" w:type="dxa"/>
            <w:vAlign w:val="bottom"/>
            <w:gridSpan w:val="25"/>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Submission of Matters to a Vote of Security Holders</w:t>
              </w:r>
            </w:hyperlink>
          </w:p>
        </w:tc>
        <w:tc>
          <w:tcPr>
            <w:tcW w:w="400" w:type="dxa"/>
            <w:vAlign w:val="bottom"/>
            <w:gridSpan w:val="4"/>
          </w:tcPr>
          <w:p>
            <w:pPr>
              <w:jc w:val="center"/>
              <w:ind w:right="20"/>
              <w:spacing w:after="0" w:line="17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10</w:t>
              </w:r>
            </w:hyperlink>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23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0" w:type="dxa"/>
            <w:vAlign w:val="bottom"/>
            <w:tcBorders>
              <w:top w:val="single" w:sz="8" w:color="0000EE"/>
            </w:tcBorders>
            <w:gridSpan w:val="9"/>
          </w:tcPr>
          <w:p>
            <w:pPr>
              <w:jc w:val="center"/>
              <w:ind w:right="800"/>
              <w:spacing w:after="0"/>
              <w:rPr>
                <w:sz w:val="20"/>
                <w:szCs w:val="20"/>
                <w:color w:val="auto"/>
              </w:rPr>
            </w:pPr>
            <w:r>
              <w:rPr>
                <w:rFonts w:ascii="Arial" w:cs="Arial" w:eastAsia="Arial" w:hAnsi="Arial"/>
                <w:sz w:val="18"/>
                <w:szCs w:val="18"/>
                <w:color w:val="auto"/>
                <w:w w:val="95"/>
              </w:rPr>
              <w:t>PART II</w:t>
            </w:r>
          </w:p>
        </w:tc>
        <w:tc>
          <w:tcPr>
            <w:tcW w:w="192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20" w:type="dxa"/>
            <w:vAlign w:val="bottom"/>
            <w:vMerge w:val="restart"/>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320" w:type="dxa"/>
            <w:vAlign w:val="bottom"/>
            <w:vMerge w:val="continue"/>
          </w:tcPr>
          <w:p>
            <w:pPr>
              <w:spacing w:after="0"/>
              <w:rPr>
                <w:sz w:val="15"/>
                <w:szCs w:val="15"/>
                <w:color w:val="auto"/>
              </w:rPr>
            </w:pPr>
          </w:p>
        </w:tc>
        <w:tc>
          <w:tcPr>
            <w:tcW w:w="720" w:type="dxa"/>
            <w:vAlign w:val="bottom"/>
            <w:gridSpan w:val="8"/>
            <w:shd w:val="clear" w:color="auto" w:fill="CBDBD1"/>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Item 5.</w:t>
              </w:r>
            </w:hyperlink>
          </w:p>
        </w:tc>
        <w:tc>
          <w:tcPr>
            <w:tcW w:w="5700" w:type="dxa"/>
            <w:vAlign w:val="bottom"/>
            <w:gridSpan w:val="25"/>
            <w:shd w:val="clear" w:color="auto" w:fill="CBDBD1"/>
          </w:tcPr>
          <w:p>
            <w:pPr>
              <w:spacing w:after="0" w:line="176" w:lineRule="exact"/>
              <w:rPr>
                <w:rFonts w:ascii="Arial" w:cs="Arial" w:eastAsia="Arial" w:hAnsi="Arial"/>
                <w:sz w:val="18"/>
                <w:szCs w:val="18"/>
                <w:color w:val="0000EE"/>
                <w:w w:val="92"/>
              </w:rPr>
            </w:pPr>
            <w:hyperlink w:anchor="page11">
              <w:r>
                <w:rPr>
                  <w:rFonts w:ascii="Arial" w:cs="Arial" w:eastAsia="Arial" w:hAnsi="Arial"/>
                  <w:sz w:val="18"/>
                  <w:szCs w:val="18"/>
                  <w:color w:val="0000EE"/>
                  <w:w w:val="92"/>
                </w:rPr>
                <w:t>Market for Registrant’s Common Equity and Related Stockholder Matters and</w:t>
              </w:r>
            </w:hyperlink>
          </w:p>
        </w:tc>
        <w:tc>
          <w:tcPr>
            <w:tcW w:w="280" w:type="dxa"/>
            <w:vAlign w:val="bottom"/>
            <w:tcBorders>
              <w:right w:val="single" w:sz="8" w:color="CBDBD1"/>
            </w:tcBorders>
            <w:gridSpan w:val="3"/>
            <w:shd w:val="clear" w:color="auto" w:fill="CBDBD1"/>
          </w:tcPr>
          <w:p>
            <w:pPr>
              <w:jc w:val="center"/>
              <w:ind w:left="10"/>
              <w:spacing w:after="0" w:line="17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11</w:t>
              </w:r>
            </w:hyperlink>
          </w:p>
        </w:tc>
        <w:tc>
          <w:tcPr>
            <w:tcW w:w="120" w:type="dxa"/>
            <w:vAlign w:val="bottom"/>
            <w:tcBorders>
              <w:right w:val="single" w:sz="8" w:color="CBDBD1"/>
            </w:tcBorders>
            <w:shd w:val="clear" w:color="auto" w:fill="CBDBD1"/>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320" w:type="dxa"/>
            <w:vAlign w:val="bottom"/>
          </w:tcPr>
          <w:p>
            <w:pPr>
              <w:spacing w:after="0"/>
              <w:rPr>
                <w:sz w:val="18"/>
                <w:szCs w:val="18"/>
                <w:color w:val="auto"/>
              </w:rPr>
            </w:pPr>
          </w:p>
        </w:tc>
        <w:tc>
          <w:tcPr>
            <w:tcW w:w="300" w:type="dxa"/>
            <w:vAlign w:val="bottom"/>
            <w:tcBorders>
              <w:top w:val="single" w:sz="8" w:color="0000EE"/>
              <w:bottom w:val="single" w:sz="8" w:color="CBDBD1"/>
            </w:tcBorders>
            <w:shd w:val="clear" w:color="auto" w:fill="CBDBD1"/>
          </w:tcPr>
          <w:p>
            <w:pPr>
              <w:spacing w:after="0"/>
              <w:rPr>
                <w:sz w:val="18"/>
                <w:szCs w:val="18"/>
                <w:color w:val="auto"/>
              </w:rPr>
            </w:pPr>
          </w:p>
        </w:tc>
        <w:tc>
          <w:tcPr>
            <w:tcW w:w="160" w:type="dxa"/>
            <w:vAlign w:val="bottom"/>
            <w:tcBorders>
              <w:top w:val="single" w:sz="8" w:color="0000EE"/>
              <w:bottom w:val="single" w:sz="8" w:color="CBDBD1"/>
            </w:tcBorders>
            <w:shd w:val="clear" w:color="auto" w:fill="CBDBD1"/>
          </w:tcPr>
          <w:p>
            <w:pPr>
              <w:spacing w:after="0"/>
              <w:rPr>
                <w:sz w:val="18"/>
                <w:szCs w:val="18"/>
                <w:color w:val="auto"/>
              </w:rPr>
            </w:pPr>
          </w:p>
        </w:tc>
        <w:tc>
          <w:tcPr>
            <w:tcW w:w="20" w:type="dxa"/>
            <w:vAlign w:val="bottom"/>
            <w:tcBorders>
              <w:top w:val="single" w:sz="8" w:color="0000EE"/>
              <w:bottom w:val="single" w:sz="8" w:color="CBDBD1"/>
            </w:tcBorders>
            <w:shd w:val="clear" w:color="auto" w:fill="CBDBD1"/>
          </w:tcPr>
          <w:p>
            <w:pPr>
              <w:spacing w:after="0"/>
              <w:rPr>
                <w:sz w:val="18"/>
                <w:szCs w:val="18"/>
                <w:color w:val="auto"/>
              </w:rPr>
            </w:pPr>
          </w:p>
        </w:tc>
        <w:tc>
          <w:tcPr>
            <w:tcW w:w="80" w:type="dxa"/>
            <w:vAlign w:val="bottom"/>
            <w:tcBorders>
              <w:top w:val="single" w:sz="8" w:color="CBDBD1"/>
              <w:bottom w:val="single" w:sz="8" w:color="CBDBD1"/>
            </w:tcBorders>
            <w:shd w:val="clear" w:color="auto" w:fill="CBDBD1"/>
          </w:tcPr>
          <w:p>
            <w:pPr>
              <w:spacing w:after="0"/>
              <w:rPr>
                <w:sz w:val="18"/>
                <w:szCs w:val="18"/>
                <w:color w:val="auto"/>
              </w:rPr>
            </w:pPr>
          </w:p>
        </w:tc>
        <w:tc>
          <w:tcPr>
            <w:tcW w:w="20" w:type="dxa"/>
            <w:vAlign w:val="bottom"/>
            <w:tcBorders>
              <w:top w:val="single" w:sz="8" w:color="CBDBD1"/>
              <w:bottom w:val="single" w:sz="8" w:color="CBDBD1"/>
            </w:tcBorders>
            <w:shd w:val="clear" w:color="auto" w:fill="CBDBD1"/>
          </w:tcPr>
          <w:p>
            <w:pPr>
              <w:spacing w:after="0"/>
              <w:rPr>
                <w:sz w:val="18"/>
                <w:szCs w:val="18"/>
                <w:color w:val="auto"/>
              </w:rPr>
            </w:pPr>
          </w:p>
        </w:tc>
        <w:tc>
          <w:tcPr>
            <w:tcW w:w="20" w:type="dxa"/>
            <w:vAlign w:val="bottom"/>
            <w:tcBorders>
              <w:top w:val="single" w:sz="8" w:color="CBDBD1"/>
              <w:bottom w:val="single" w:sz="8" w:color="CBDBD1"/>
            </w:tcBorders>
            <w:shd w:val="clear" w:color="auto" w:fill="CBDBD1"/>
          </w:tcPr>
          <w:p>
            <w:pPr>
              <w:spacing w:after="0"/>
              <w:rPr>
                <w:sz w:val="18"/>
                <w:szCs w:val="18"/>
                <w:color w:val="auto"/>
              </w:rPr>
            </w:pPr>
          </w:p>
        </w:tc>
        <w:tc>
          <w:tcPr>
            <w:tcW w:w="20" w:type="dxa"/>
            <w:vAlign w:val="bottom"/>
            <w:tcBorders>
              <w:top w:val="single" w:sz="8" w:color="CBDBD1"/>
              <w:bottom w:val="single" w:sz="8" w:color="CBDBD1"/>
            </w:tcBorders>
            <w:shd w:val="clear" w:color="auto" w:fill="CBDBD1"/>
          </w:tcPr>
          <w:p>
            <w:pPr>
              <w:spacing w:after="0"/>
              <w:rPr>
                <w:sz w:val="18"/>
                <w:szCs w:val="18"/>
                <w:color w:val="auto"/>
              </w:rPr>
            </w:pPr>
          </w:p>
        </w:tc>
        <w:tc>
          <w:tcPr>
            <w:tcW w:w="100" w:type="dxa"/>
            <w:vAlign w:val="bottom"/>
            <w:tcBorders>
              <w:top w:val="single" w:sz="8" w:color="CBDBD1"/>
              <w:bottom w:val="single" w:sz="8" w:color="CBDBD1"/>
            </w:tcBorders>
            <w:shd w:val="clear" w:color="auto" w:fill="CBDBD1"/>
          </w:tcPr>
          <w:p>
            <w:pPr>
              <w:spacing w:after="0"/>
              <w:rPr>
                <w:sz w:val="18"/>
                <w:szCs w:val="18"/>
                <w:color w:val="auto"/>
              </w:rPr>
            </w:pPr>
          </w:p>
        </w:tc>
        <w:tc>
          <w:tcPr>
            <w:tcW w:w="2680" w:type="dxa"/>
            <w:vAlign w:val="bottom"/>
            <w:tcBorders>
              <w:top w:val="single" w:sz="8" w:color="0000EE"/>
              <w:bottom w:val="single" w:sz="8" w:color="0000EE"/>
            </w:tcBorders>
            <w:gridSpan w:val="13"/>
            <w:shd w:val="clear" w:color="auto" w:fill="CBDBD1"/>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Issuer Purchases of Equity Securities</w:t>
              </w:r>
            </w:hyperlink>
          </w:p>
        </w:tc>
        <w:tc>
          <w:tcPr>
            <w:tcW w:w="3000" w:type="dxa"/>
            <w:vAlign w:val="bottom"/>
            <w:tcBorders>
              <w:top w:val="single" w:sz="8" w:color="0000EE"/>
              <w:bottom w:val="single" w:sz="8" w:color="CBDBD1"/>
            </w:tcBorders>
            <w:gridSpan w:val="11"/>
            <w:shd w:val="clear" w:color="auto" w:fill="CBDBD1"/>
          </w:tcPr>
          <w:p>
            <w:pPr>
              <w:spacing w:after="0"/>
              <w:rPr>
                <w:sz w:val="18"/>
                <w:szCs w:val="18"/>
                <w:color w:val="auto"/>
              </w:rPr>
            </w:pPr>
          </w:p>
        </w:tc>
        <w:tc>
          <w:tcPr>
            <w:tcW w:w="20" w:type="dxa"/>
            <w:vAlign w:val="bottom"/>
            <w:tcBorders>
              <w:top w:val="single" w:sz="8" w:color="CBDBD1"/>
              <w:bottom w:val="single" w:sz="8" w:color="CBDBD1"/>
            </w:tcBorders>
            <w:shd w:val="clear" w:color="auto" w:fill="CBDBD1"/>
          </w:tcPr>
          <w:p>
            <w:pPr>
              <w:spacing w:after="0"/>
              <w:rPr>
                <w:sz w:val="18"/>
                <w:szCs w:val="18"/>
                <w:color w:val="auto"/>
              </w:rPr>
            </w:pPr>
          </w:p>
        </w:tc>
        <w:tc>
          <w:tcPr>
            <w:tcW w:w="20" w:type="dxa"/>
            <w:vAlign w:val="bottom"/>
            <w:tcBorders>
              <w:top w:val="single" w:sz="8" w:color="CBDBD1"/>
              <w:bottom w:val="single" w:sz="8" w:color="CBDBD1"/>
            </w:tcBorders>
            <w:shd w:val="clear" w:color="auto" w:fill="CBDBD1"/>
          </w:tcPr>
          <w:p>
            <w:pPr>
              <w:spacing w:after="0"/>
              <w:rPr>
                <w:sz w:val="18"/>
                <w:szCs w:val="18"/>
                <w:color w:val="auto"/>
              </w:rPr>
            </w:pPr>
          </w:p>
        </w:tc>
        <w:tc>
          <w:tcPr>
            <w:tcW w:w="140" w:type="dxa"/>
            <w:vAlign w:val="bottom"/>
            <w:tcBorders>
              <w:top w:val="single" w:sz="8" w:color="CBDBD1"/>
              <w:bottom w:val="single" w:sz="8" w:color="CBDBD1"/>
              <w:right w:val="single" w:sz="8" w:color="CBDBD1"/>
            </w:tcBorders>
            <w:shd w:val="clear" w:color="auto" w:fill="CBDBD1"/>
          </w:tcPr>
          <w:p>
            <w:pPr>
              <w:spacing w:after="0"/>
              <w:rPr>
                <w:sz w:val="18"/>
                <w:szCs w:val="18"/>
                <w:color w:val="auto"/>
              </w:rPr>
            </w:pPr>
          </w:p>
        </w:tc>
        <w:tc>
          <w:tcPr>
            <w:tcW w:w="120" w:type="dxa"/>
            <w:vAlign w:val="bottom"/>
            <w:tcBorders>
              <w:top w:val="single" w:sz="8" w:color="0000EE"/>
              <w:bottom w:val="single" w:sz="8" w:color="CBDBD1"/>
              <w:right w:val="single" w:sz="8" w:color="CBDBD1"/>
            </w:tcBorders>
            <w:shd w:val="clear" w:color="auto" w:fill="CBDBD1"/>
          </w:tcPr>
          <w:p>
            <w:pPr>
              <w:spacing w:after="0"/>
              <w:rPr>
                <w:sz w:val="18"/>
                <w:szCs w:val="18"/>
                <w:color w:val="auto"/>
              </w:rPr>
            </w:pPr>
          </w:p>
        </w:tc>
        <w:tc>
          <w:tcPr>
            <w:tcW w:w="120" w:type="dxa"/>
            <w:vAlign w:val="bottom"/>
            <w:tcBorders>
              <w:top w:val="single" w:sz="8" w:color="CBDBD1"/>
              <w:bottom w:val="single" w:sz="8" w:color="CBDBD1"/>
              <w:right w:val="single" w:sz="8" w:color="CBDBD1"/>
            </w:tcBorders>
            <w:shd w:val="clear" w:color="auto" w:fill="CBDBD1"/>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320" w:type="dxa"/>
            <w:vAlign w:val="bottom"/>
          </w:tcPr>
          <w:p>
            <w:pPr>
              <w:spacing w:after="0"/>
              <w:rPr>
                <w:sz w:val="15"/>
                <w:szCs w:val="15"/>
                <w:color w:val="auto"/>
              </w:rPr>
            </w:pPr>
          </w:p>
        </w:tc>
        <w:tc>
          <w:tcPr>
            <w:tcW w:w="720" w:type="dxa"/>
            <w:vAlign w:val="bottom"/>
            <w:gridSpan w:val="8"/>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Item 6.</w:t>
              </w:r>
            </w:hyperlink>
          </w:p>
        </w:tc>
        <w:tc>
          <w:tcPr>
            <w:tcW w:w="5700" w:type="dxa"/>
            <w:vAlign w:val="bottom"/>
            <w:gridSpan w:val="25"/>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Selected Financial Data</w:t>
              </w:r>
            </w:hyperlink>
          </w:p>
        </w:tc>
        <w:tc>
          <w:tcPr>
            <w:tcW w:w="400" w:type="dxa"/>
            <w:vAlign w:val="bottom"/>
            <w:gridSpan w:val="4"/>
          </w:tcPr>
          <w:p>
            <w:pPr>
              <w:jc w:val="center"/>
              <w:ind w:right="20"/>
              <w:spacing w:after="0" w:line="17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15</w:t>
              </w:r>
            </w:hyperlink>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20" w:type="dxa"/>
            <w:vAlign w:val="bottom"/>
            <w:vMerge w:val="restart"/>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20" w:type="dxa"/>
            <w:vAlign w:val="bottom"/>
            <w:vMerge w:val="continue"/>
          </w:tcPr>
          <w:p>
            <w:pPr>
              <w:spacing w:after="0"/>
              <w:rPr>
                <w:sz w:val="15"/>
                <w:szCs w:val="15"/>
                <w:color w:val="auto"/>
              </w:rPr>
            </w:pPr>
          </w:p>
        </w:tc>
        <w:tc>
          <w:tcPr>
            <w:tcW w:w="720" w:type="dxa"/>
            <w:vAlign w:val="bottom"/>
            <w:gridSpan w:val="8"/>
            <w:shd w:val="clear" w:color="auto" w:fill="CBDBD1"/>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Item 7.</w:t>
              </w:r>
            </w:hyperlink>
          </w:p>
        </w:tc>
        <w:tc>
          <w:tcPr>
            <w:tcW w:w="5700" w:type="dxa"/>
            <w:vAlign w:val="bottom"/>
            <w:gridSpan w:val="25"/>
            <w:shd w:val="clear" w:color="auto" w:fill="CBDBD1"/>
          </w:tcPr>
          <w:p>
            <w:pPr>
              <w:spacing w:after="0" w:line="176" w:lineRule="exact"/>
              <w:rPr>
                <w:rFonts w:ascii="Arial" w:cs="Arial" w:eastAsia="Arial" w:hAnsi="Arial"/>
                <w:sz w:val="18"/>
                <w:szCs w:val="18"/>
                <w:color w:val="0000EE"/>
                <w:w w:val="92"/>
              </w:rPr>
            </w:pPr>
            <w:hyperlink w:anchor="page15">
              <w:r>
                <w:rPr>
                  <w:rFonts w:ascii="Arial" w:cs="Arial" w:eastAsia="Arial" w:hAnsi="Arial"/>
                  <w:sz w:val="18"/>
                  <w:szCs w:val="18"/>
                  <w:color w:val="0000EE"/>
                  <w:w w:val="92"/>
                </w:rPr>
                <w:t>Management’s Discussion and Analysis of Financial Condition and Results of</w:t>
              </w:r>
            </w:hyperlink>
          </w:p>
        </w:tc>
        <w:tc>
          <w:tcPr>
            <w:tcW w:w="400" w:type="dxa"/>
            <w:vAlign w:val="bottom"/>
            <w:tcBorders>
              <w:right w:val="single" w:sz="8" w:color="CBDBD1"/>
            </w:tcBorders>
            <w:gridSpan w:val="4"/>
            <w:shd w:val="clear" w:color="auto" w:fill="CBDBD1"/>
          </w:tcPr>
          <w:p>
            <w:pPr>
              <w:jc w:val="center"/>
              <w:ind w:right="20"/>
              <w:spacing w:after="0" w:line="17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15</w:t>
              </w:r>
            </w:hyperlink>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320" w:type="dxa"/>
            <w:vAlign w:val="bottom"/>
          </w:tcPr>
          <w:p>
            <w:pPr>
              <w:spacing w:after="0"/>
              <w:rPr>
                <w:sz w:val="18"/>
                <w:szCs w:val="18"/>
                <w:color w:val="auto"/>
              </w:rPr>
            </w:pPr>
          </w:p>
        </w:tc>
        <w:tc>
          <w:tcPr>
            <w:tcW w:w="300" w:type="dxa"/>
            <w:vAlign w:val="bottom"/>
            <w:tcBorders>
              <w:top w:val="single" w:sz="8" w:color="0000EE"/>
              <w:bottom w:val="single" w:sz="8" w:color="CBDBD1"/>
            </w:tcBorders>
            <w:shd w:val="clear" w:color="auto" w:fill="CBDBD1"/>
          </w:tcPr>
          <w:p>
            <w:pPr>
              <w:spacing w:after="0"/>
              <w:rPr>
                <w:sz w:val="18"/>
                <w:szCs w:val="18"/>
                <w:color w:val="auto"/>
              </w:rPr>
            </w:pPr>
          </w:p>
        </w:tc>
        <w:tc>
          <w:tcPr>
            <w:tcW w:w="160" w:type="dxa"/>
            <w:vAlign w:val="bottom"/>
            <w:tcBorders>
              <w:top w:val="single" w:sz="8" w:color="0000EE"/>
              <w:bottom w:val="single" w:sz="8" w:color="CBDBD1"/>
            </w:tcBorders>
            <w:shd w:val="clear" w:color="auto" w:fill="CBDBD1"/>
          </w:tcPr>
          <w:p>
            <w:pPr>
              <w:spacing w:after="0"/>
              <w:rPr>
                <w:sz w:val="18"/>
                <w:szCs w:val="18"/>
                <w:color w:val="auto"/>
              </w:rPr>
            </w:pPr>
          </w:p>
        </w:tc>
        <w:tc>
          <w:tcPr>
            <w:tcW w:w="20" w:type="dxa"/>
            <w:vAlign w:val="bottom"/>
            <w:tcBorders>
              <w:top w:val="single" w:sz="8" w:color="0000EE"/>
              <w:bottom w:val="single" w:sz="8" w:color="CBDBD1"/>
            </w:tcBorders>
            <w:shd w:val="clear" w:color="auto" w:fill="CBDBD1"/>
          </w:tcPr>
          <w:p>
            <w:pPr>
              <w:spacing w:after="0"/>
              <w:rPr>
                <w:sz w:val="18"/>
                <w:szCs w:val="18"/>
                <w:color w:val="auto"/>
              </w:rPr>
            </w:pPr>
          </w:p>
        </w:tc>
        <w:tc>
          <w:tcPr>
            <w:tcW w:w="80" w:type="dxa"/>
            <w:vAlign w:val="bottom"/>
            <w:tcBorders>
              <w:top w:val="single" w:sz="8" w:color="CBDBD1"/>
              <w:bottom w:val="single" w:sz="8" w:color="CBDBD1"/>
            </w:tcBorders>
            <w:shd w:val="clear" w:color="auto" w:fill="CBDBD1"/>
          </w:tcPr>
          <w:p>
            <w:pPr>
              <w:spacing w:after="0"/>
              <w:rPr>
                <w:sz w:val="18"/>
                <w:szCs w:val="18"/>
                <w:color w:val="auto"/>
              </w:rPr>
            </w:pPr>
          </w:p>
        </w:tc>
        <w:tc>
          <w:tcPr>
            <w:tcW w:w="20" w:type="dxa"/>
            <w:vAlign w:val="bottom"/>
            <w:tcBorders>
              <w:top w:val="single" w:sz="8" w:color="CBDBD1"/>
              <w:bottom w:val="single" w:sz="8" w:color="CBDBD1"/>
            </w:tcBorders>
            <w:shd w:val="clear" w:color="auto" w:fill="CBDBD1"/>
          </w:tcPr>
          <w:p>
            <w:pPr>
              <w:spacing w:after="0"/>
              <w:rPr>
                <w:sz w:val="18"/>
                <w:szCs w:val="18"/>
                <w:color w:val="auto"/>
              </w:rPr>
            </w:pPr>
          </w:p>
        </w:tc>
        <w:tc>
          <w:tcPr>
            <w:tcW w:w="20" w:type="dxa"/>
            <w:vAlign w:val="bottom"/>
            <w:tcBorders>
              <w:top w:val="single" w:sz="8" w:color="CBDBD1"/>
              <w:bottom w:val="single" w:sz="8" w:color="CBDBD1"/>
            </w:tcBorders>
            <w:shd w:val="clear" w:color="auto" w:fill="CBDBD1"/>
          </w:tcPr>
          <w:p>
            <w:pPr>
              <w:spacing w:after="0"/>
              <w:rPr>
                <w:sz w:val="18"/>
                <w:szCs w:val="18"/>
                <w:color w:val="auto"/>
              </w:rPr>
            </w:pPr>
          </w:p>
        </w:tc>
        <w:tc>
          <w:tcPr>
            <w:tcW w:w="20" w:type="dxa"/>
            <w:vAlign w:val="bottom"/>
            <w:tcBorders>
              <w:top w:val="single" w:sz="8" w:color="CBDBD1"/>
              <w:bottom w:val="single" w:sz="8" w:color="CBDBD1"/>
            </w:tcBorders>
            <w:shd w:val="clear" w:color="auto" w:fill="CBDBD1"/>
          </w:tcPr>
          <w:p>
            <w:pPr>
              <w:spacing w:after="0"/>
              <w:rPr>
                <w:sz w:val="18"/>
                <w:szCs w:val="18"/>
                <w:color w:val="auto"/>
              </w:rPr>
            </w:pPr>
          </w:p>
        </w:tc>
        <w:tc>
          <w:tcPr>
            <w:tcW w:w="100" w:type="dxa"/>
            <w:vAlign w:val="bottom"/>
            <w:tcBorders>
              <w:top w:val="single" w:sz="8" w:color="CBDBD1"/>
              <w:bottom w:val="single" w:sz="8" w:color="CBDBD1"/>
            </w:tcBorders>
            <w:shd w:val="clear" w:color="auto" w:fill="CBDBD1"/>
          </w:tcPr>
          <w:p>
            <w:pPr>
              <w:spacing w:after="0"/>
              <w:rPr>
                <w:sz w:val="18"/>
                <w:szCs w:val="18"/>
                <w:color w:val="auto"/>
              </w:rPr>
            </w:pPr>
          </w:p>
        </w:tc>
        <w:tc>
          <w:tcPr>
            <w:tcW w:w="800" w:type="dxa"/>
            <w:vAlign w:val="bottom"/>
            <w:tcBorders>
              <w:top w:val="single" w:sz="8" w:color="0000EE"/>
              <w:bottom w:val="single" w:sz="8" w:color="0000EE"/>
            </w:tcBorders>
            <w:gridSpan w:val="3"/>
            <w:shd w:val="clear" w:color="auto" w:fill="CBDBD1"/>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Operations</w:t>
              </w:r>
            </w:hyperlink>
          </w:p>
        </w:tc>
        <w:tc>
          <w:tcPr>
            <w:tcW w:w="4900" w:type="dxa"/>
            <w:vAlign w:val="bottom"/>
            <w:tcBorders>
              <w:top w:val="single" w:sz="8" w:color="0000EE"/>
              <w:bottom w:val="single" w:sz="8" w:color="CBDBD1"/>
            </w:tcBorders>
            <w:gridSpan w:val="22"/>
            <w:shd w:val="clear" w:color="auto" w:fill="CBDBD1"/>
          </w:tcPr>
          <w:p>
            <w:pPr>
              <w:spacing w:after="0"/>
              <w:rPr>
                <w:sz w:val="18"/>
                <w:szCs w:val="18"/>
                <w:color w:val="auto"/>
              </w:rPr>
            </w:pPr>
          </w:p>
        </w:tc>
        <w:tc>
          <w:tcPr>
            <w:tcW w:w="20" w:type="dxa"/>
            <w:vAlign w:val="bottom"/>
            <w:tcBorders>
              <w:top w:val="single" w:sz="8" w:color="CBDBD1"/>
              <w:bottom w:val="single" w:sz="8" w:color="CBDBD1"/>
            </w:tcBorders>
            <w:shd w:val="clear" w:color="auto" w:fill="CBDBD1"/>
          </w:tcPr>
          <w:p>
            <w:pPr>
              <w:spacing w:after="0"/>
              <w:rPr>
                <w:sz w:val="18"/>
                <w:szCs w:val="18"/>
                <w:color w:val="auto"/>
              </w:rPr>
            </w:pPr>
          </w:p>
        </w:tc>
        <w:tc>
          <w:tcPr>
            <w:tcW w:w="140" w:type="dxa"/>
            <w:vAlign w:val="bottom"/>
            <w:tcBorders>
              <w:top w:val="single" w:sz="8" w:color="CBDBD1"/>
              <w:bottom w:val="single" w:sz="8" w:color="CBDBD1"/>
              <w:right w:val="single" w:sz="8" w:color="CBDBD1"/>
            </w:tcBorders>
            <w:shd w:val="clear" w:color="auto" w:fill="CBDBD1"/>
          </w:tcPr>
          <w:p>
            <w:pPr>
              <w:spacing w:after="0"/>
              <w:rPr>
                <w:sz w:val="18"/>
                <w:szCs w:val="18"/>
                <w:color w:val="auto"/>
              </w:rPr>
            </w:pPr>
          </w:p>
        </w:tc>
        <w:tc>
          <w:tcPr>
            <w:tcW w:w="120" w:type="dxa"/>
            <w:vAlign w:val="bottom"/>
            <w:tcBorders>
              <w:top w:val="single" w:sz="8" w:color="0000EE"/>
              <w:bottom w:val="single" w:sz="8" w:color="CBDBD1"/>
              <w:right w:val="single" w:sz="8" w:color="CBDBD1"/>
            </w:tcBorders>
            <w:shd w:val="clear" w:color="auto" w:fill="CBDBD1"/>
          </w:tcPr>
          <w:p>
            <w:pPr>
              <w:spacing w:after="0"/>
              <w:rPr>
                <w:sz w:val="18"/>
                <w:szCs w:val="18"/>
                <w:color w:val="auto"/>
              </w:rPr>
            </w:pPr>
          </w:p>
        </w:tc>
        <w:tc>
          <w:tcPr>
            <w:tcW w:w="120" w:type="dxa"/>
            <w:vAlign w:val="bottom"/>
            <w:tcBorders>
              <w:top w:val="single" w:sz="8" w:color="CBDBD1"/>
              <w:bottom w:val="single" w:sz="8" w:color="CBDBD1"/>
              <w:right w:val="single" w:sz="8" w:color="CBDBD1"/>
            </w:tcBorders>
            <w:shd w:val="clear" w:color="auto" w:fill="CBDBD1"/>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320" w:type="dxa"/>
            <w:vAlign w:val="bottom"/>
          </w:tcPr>
          <w:p>
            <w:pPr>
              <w:spacing w:after="0"/>
              <w:rPr>
                <w:sz w:val="15"/>
                <w:szCs w:val="15"/>
                <w:color w:val="auto"/>
              </w:rPr>
            </w:pPr>
          </w:p>
        </w:tc>
        <w:tc>
          <w:tcPr>
            <w:tcW w:w="720" w:type="dxa"/>
            <w:vAlign w:val="bottom"/>
            <w:gridSpan w:val="8"/>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Item 7A.</w:t>
              </w:r>
            </w:hyperlink>
          </w:p>
        </w:tc>
        <w:tc>
          <w:tcPr>
            <w:tcW w:w="5700" w:type="dxa"/>
            <w:vAlign w:val="bottom"/>
            <w:gridSpan w:val="25"/>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Quantitative and Qualitative Disclosures About Market Risk</w:t>
              </w:r>
            </w:hyperlink>
          </w:p>
        </w:tc>
        <w:tc>
          <w:tcPr>
            <w:tcW w:w="400" w:type="dxa"/>
            <w:vAlign w:val="bottom"/>
            <w:gridSpan w:val="4"/>
          </w:tcPr>
          <w:p>
            <w:pPr>
              <w:jc w:val="center"/>
              <w:ind w:right="20"/>
              <w:spacing w:after="0" w:line="17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18</w:t>
              </w:r>
            </w:hyperlink>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20" w:type="dxa"/>
            <w:vAlign w:val="bottom"/>
            <w:vMerge w:val="restart"/>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20" w:type="dxa"/>
            <w:vAlign w:val="bottom"/>
            <w:vMerge w:val="continue"/>
          </w:tcPr>
          <w:p>
            <w:pPr>
              <w:spacing w:after="0"/>
              <w:rPr>
                <w:sz w:val="15"/>
                <w:szCs w:val="15"/>
                <w:color w:val="auto"/>
              </w:rPr>
            </w:pPr>
          </w:p>
        </w:tc>
        <w:tc>
          <w:tcPr>
            <w:tcW w:w="720" w:type="dxa"/>
            <w:vAlign w:val="bottom"/>
            <w:gridSpan w:val="8"/>
            <w:shd w:val="clear" w:color="auto" w:fill="CBDBD1"/>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Item 8.</w:t>
              </w:r>
            </w:hyperlink>
          </w:p>
        </w:tc>
        <w:tc>
          <w:tcPr>
            <w:tcW w:w="5700" w:type="dxa"/>
            <w:vAlign w:val="bottom"/>
            <w:gridSpan w:val="25"/>
            <w:shd w:val="clear" w:color="auto" w:fill="CBDBD1"/>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Financial Statements and Supplementary Data</w:t>
              </w:r>
            </w:hyperlink>
          </w:p>
        </w:tc>
        <w:tc>
          <w:tcPr>
            <w:tcW w:w="400" w:type="dxa"/>
            <w:vAlign w:val="bottom"/>
            <w:tcBorders>
              <w:right w:val="single" w:sz="8" w:color="CBDBD1"/>
            </w:tcBorders>
            <w:gridSpan w:val="4"/>
            <w:shd w:val="clear" w:color="auto" w:fill="CBDBD1"/>
          </w:tcPr>
          <w:p>
            <w:pPr>
              <w:jc w:val="center"/>
              <w:ind w:right="20"/>
              <w:spacing w:after="0" w:line="17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19</w:t>
              </w:r>
            </w:hyperlink>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20" w:type="dxa"/>
            <w:vAlign w:val="bottom"/>
            <w:vMerge w:val="restart"/>
          </w:tcPr>
          <w:p>
            <w:pPr>
              <w:spacing w:after="0" w:line="20" w:lineRule="exact"/>
              <w:rPr>
                <w:sz w:val="1"/>
                <w:szCs w:val="1"/>
                <w:color w:val="auto"/>
              </w:rPr>
            </w:pPr>
          </w:p>
        </w:tc>
        <w:tc>
          <w:tcPr>
            <w:tcW w:w="300" w:type="dxa"/>
            <w:vAlign w:val="bottom"/>
            <w:tcBorders>
              <w:top w:val="single" w:sz="8" w:color="0000EE"/>
            </w:tcBorders>
            <w:shd w:val="clear" w:color="auto" w:fill="CBDBD1"/>
          </w:tcPr>
          <w:p>
            <w:pPr>
              <w:spacing w:after="0" w:line="20" w:lineRule="exact"/>
              <w:rPr>
                <w:sz w:val="1"/>
                <w:szCs w:val="1"/>
                <w:color w:val="auto"/>
              </w:rPr>
            </w:pPr>
          </w:p>
        </w:tc>
        <w:tc>
          <w:tcPr>
            <w:tcW w:w="16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640" w:type="dxa"/>
            <w:vAlign w:val="bottom"/>
            <w:tcBorders>
              <w:top w:val="single" w:sz="8" w:color="0000EE"/>
            </w:tcBorders>
            <w:shd w:val="clear" w:color="auto" w:fill="CBDBD1"/>
          </w:tcPr>
          <w:p>
            <w:pPr>
              <w:spacing w:after="0" w:line="20" w:lineRule="exact"/>
              <w:rPr>
                <w:sz w:val="1"/>
                <w:szCs w:val="1"/>
                <w:color w:val="auto"/>
              </w:rPr>
            </w:pPr>
          </w:p>
        </w:tc>
        <w:tc>
          <w:tcPr>
            <w:tcW w:w="100" w:type="dxa"/>
            <w:vAlign w:val="bottom"/>
            <w:tcBorders>
              <w:top w:val="single" w:sz="8" w:color="0000EE"/>
            </w:tcBorders>
            <w:shd w:val="clear" w:color="auto" w:fill="CBDBD1"/>
          </w:tcPr>
          <w:p>
            <w:pPr>
              <w:spacing w:after="0" w:line="20" w:lineRule="exact"/>
              <w:rPr>
                <w:sz w:val="1"/>
                <w:szCs w:val="1"/>
                <w:color w:val="auto"/>
              </w:rPr>
            </w:pPr>
          </w:p>
        </w:tc>
        <w:tc>
          <w:tcPr>
            <w:tcW w:w="60" w:type="dxa"/>
            <w:vAlign w:val="bottom"/>
            <w:tcBorders>
              <w:top w:val="single" w:sz="8" w:color="0000EE"/>
            </w:tcBorders>
            <w:shd w:val="clear" w:color="auto" w:fill="CBDBD1"/>
          </w:tcPr>
          <w:p>
            <w:pPr>
              <w:spacing w:after="0" w:line="20" w:lineRule="exact"/>
              <w:rPr>
                <w:sz w:val="1"/>
                <w:szCs w:val="1"/>
                <w:color w:val="auto"/>
              </w:rPr>
            </w:pPr>
          </w:p>
        </w:tc>
        <w:tc>
          <w:tcPr>
            <w:tcW w:w="120" w:type="dxa"/>
            <w:vAlign w:val="bottom"/>
            <w:tcBorders>
              <w:top w:val="single" w:sz="8" w:color="0000EE"/>
            </w:tcBorders>
            <w:shd w:val="clear" w:color="auto" w:fill="CBDBD1"/>
          </w:tcPr>
          <w:p>
            <w:pPr>
              <w:spacing w:after="0" w:line="20" w:lineRule="exact"/>
              <w:rPr>
                <w:sz w:val="1"/>
                <w:szCs w:val="1"/>
                <w:color w:val="auto"/>
              </w:rPr>
            </w:pPr>
          </w:p>
        </w:tc>
        <w:tc>
          <w:tcPr>
            <w:tcW w:w="40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160" w:type="dxa"/>
            <w:vAlign w:val="bottom"/>
            <w:tcBorders>
              <w:top w:val="single" w:sz="8" w:color="0000EE"/>
            </w:tcBorders>
            <w:shd w:val="clear" w:color="auto" w:fill="CBDBD1"/>
          </w:tcPr>
          <w:p>
            <w:pPr>
              <w:spacing w:after="0" w:line="20" w:lineRule="exact"/>
              <w:rPr>
                <w:sz w:val="1"/>
                <w:szCs w:val="1"/>
                <w:color w:val="auto"/>
              </w:rPr>
            </w:pPr>
          </w:p>
        </w:tc>
        <w:tc>
          <w:tcPr>
            <w:tcW w:w="320" w:type="dxa"/>
            <w:vAlign w:val="bottom"/>
            <w:tcBorders>
              <w:top w:val="single" w:sz="8" w:color="0000EE"/>
              <w:right w:val="single" w:sz="8" w:color="CBDBD1"/>
            </w:tcBorders>
            <w:shd w:val="clear" w:color="auto" w:fill="CBDBD1"/>
          </w:tcPr>
          <w:p>
            <w:pPr>
              <w:spacing w:after="0" w:line="20" w:lineRule="exact"/>
              <w:rPr>
                <w:sz w:val="1"/>
                <w:szCs w:val="1"/>
                <w:color w:val="auto"/>
              </w:rPr>
            </w:pPr>
          </w:p>
        </w:tc>
        <w:tc>
          <w:tcPr>
            <w:tcW w:w="240" w:type="dxa"/>
            <w:vAlign w:val="bottom"/>
            <w:tcBorders>
              <w:top w:val="single" w:sz="8" w:color="0000EE"/>
            </w:tcBorders>
            <w:shd w:val="clear" w:color="auto" w:fill="CBDBD1"/>
          </w:tcPr>
          <w:p>
            <w:pPr>
              <w:spacing w:after="0" w:line="20" w:lineRule="exact"/>
              <w:rPr>
                <w:sz w:val="1"/>
                <w:szCs w:val="1"/>
                <w:color w:val="auto"/>
              </w:rPr>
            </w:pPr>
          </w:p>
        </w:tc>
        <w:tc>
          <w:tcPr>
            <w:tcW w:w="280" w:type="dxa"/>
            <w:vAlign w:val="bottom"/>
            <w:tcBorders>
              <w:top w:val="single" w:sz="8" w:color="0000EE"/>
            </w:tcBorders>
            <w:shd w:val="clear" w:color="auto" w:fill="CBDBD1"/>
          </w:tcPr>
          <w:p>
            <w:pPr>
              <w:spacing w:after="0" w:line="20" w:lineRule="exact"/>
              <w:rPr>
                <w:sz w:val="1"/>
                <w:szCs w:val="1"/>
                <w:color w:val="auto"/>
              </w:rPr>
            </w:pPr>
          </w:p>
        </w:tc>
        <w:tc>
          <w:tcPr>
            <w:tcW w:w="4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280" w:type="dxa"/>
            <w:vAlign w:val="bottom"/>
            <w:tcBorders>
              <w:top w:val="single" w:sz="8" w:color="0000EE"/>
            </w:tcBorders>
            <w:shd w:val="clear" w:color="auto" w:fill="CBDBD1"/>
          </w:tcPr>
          <w:p>
            <w:pPr>
              <w:spacing w:after="0" w:line="20" w:lineRule="exact"/>
              <w:rPr>
                <w:sz w:val="1"/>
                <w:szCs w:val="1"/>
                <w:color w:val="auto"/>
              </w:rPr>
            </w:pPr>
          </w:p>
        </w:tc>
        <w:tc>
          <w:tcPr>
            <w:tcW w:w="180" w:type="dxa"/>
            <w:vAlign w:val="bottom"/>
            <w:tcBorders>
              <w:top w:val="single" w:sz="8" w:color="0000EE"/>
            </w:tcBorders>
            <w:shd w:val="clear" w:color="auto" w:fill="CBDBD1"/>
          </w:tcPr>
          <w:p>
            <w:pPr>
              <w:spacing w:after="0" w:line="20" w:lineRule="exact"/>
              <w:rPr>
                <w:sz w:val="1"/>
                <w:szCs w:val="1"/>
                <w:color w:val="auto"/>
              </w:rPr>
            </w:pPr>
          </w:p>
        </w:tc>
        <w:tc>
          <w:tcPr>
            <w:tcW w:w="40" w:type="dxa"/>
            <w:vAlign w:val="bottom"/>
            <w:tcBorders>
              <w:top w:val="single" w:sz="8" w:color="0000EE"/>
            </w:tcBorders>
            <w:shd w:val="clear" w:color="auto" w:fill="CBDBD1"/>
          </w:tcPr>
          <w:p>
            <w:pPr>
              <w:spacing w:after="0" w:line="20" w:lineRule="exact"/>
              <w:rPr>
                <w:sz w:val="1"/>
                <w:szCs w:val="1"/>
                <w:color w:val="auto"/>
              </w:rPr>
            </w:pPr>
          </w:p>
        </w:tc>
        <w:tc>
          <w:tcPr>
            <w:tcW w:w="40" w:type="dxa"/>
            <w:vAlign w:val="bottom"/>
            <w:tcBorders>
              <w:top w:val="single" w:sz="8" w:color="0000EE"/>
            </w:tcBorders>
            <w:shd w:val="clear" w:color="auto" w:fill="CBDBD1"/>
          </w:tcPr>
          <w:p>
            <w:pPr>
              <w:spacing w:after="0" w:line="20" w:lineRule="exact"/>
              <w:rPr>
                <w:sz w:val="1"/>
                <w:szCs w:val="1"/>
                <w:color w:val="auto"/>
              </w:rPr>
            </w:pPr>
          </w:p>
        </w:tc>
        <w:tc>
          <w:tcPr>
            <w:tcW w:w="4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340" w:type="dxa"/>
            <w:vAlign w:val="bottom"/>
            <w:tcBorders>
              <w:top w:val="single" w:sz="8" w:color="0000EE"/>
            </w:tcBorders>
            <w:shd w:val="clear" w:color="auto" w:fill="CBDBD1"/>
          </w:tcPr>
          <w:p>
            <w:pPr>
              <w:spacing w:after="0" w:line="20" w:lineRule="exact"/>
              <w:rPr>
                <w:sz w:val="1"/>
                <w:szCs w:val="1"/>
                <w:color w:val="auto"/>
              </w:rPr>
            </w:pPr>
          </w:p>
        </w:tc>
        <w:tc>
          <w:tcPr>
            <w:tcW w:w="440" w:type="dxa"/>
            <w:vAlign w:val="bottom"/>
            <w:tcBorders>
              <w:top w:val="single" w:sz="8" w:color="CBDBD1"/>
            </w:tcBorders>
            <w:shd w:val="clear" w:color="auto" w:fill="CBDBD1"/>
          </w:tcPr>
          <w:p>
            <w:pPr>
              <w:spacing w:after="0" w:line="20" w:lineRule="exact"/>
              <w:rPr>
                <w:sz w:val="1"/>
                <w:szCs w:val="1"/>
                <w:color w:val="auto"/>
              </w:rPr>
            </w:pPr>
          </w:p>
        </w:tc>
        <w:tc>
          <w:tcPr>
            <w:tcW w:w="320" w:type="dxa"/>
            <w:vAlign w:val="bottom"/>
            <w:tcBorders>
              <w:top w:val="single" w:sz="8" w:color="CBDBD1"/>
            </w:tcBorders>
            <w:shd w:val="clear" w:color="auto" w:fill="CBDBD1"/>
          </w:tcPr>
          <w:p>
            <w:pPr>
              <w:spacing w:after="0" w:line="20" w:lineRule="exact"/>
              <w:rPr>
                <w:sz w:val="1"/>
                <w:szCs w:val="1"/>
                <w:color w:val="auto"/>
              </w:rPr>
            </w:pPr>
          </w:p>
        </w:tc>
        <w:tc>
          <w:tcPr>
            <w:tcW w:w="260" w:type="dxa"/>
            <w:vAlign w:val="bottom"/>
            <w:tcBorders>
              <w:top w:val="single" w:sz="8" w:color="CBDBD1"/>
            </w:tcBorders>
            <w:shd w:val="clear" w:color="auto" w:fill="CBDBD1"/>
          </w:tcPr>
          <w:p>
            <w:pPr>
              <w:spacing w:after="0" w:line="20" w:lineRule="exact"/>
              <w:rPr>
                <w:sz w:val="1"/>
                <w:szCs w:val="1"/>
                <w:color w:val="auto"/>
              </w:rPr>
            </w:pPr>
          </w:p>
        </w:tc>
        <w:tc>
          <w:tcPr>
            <w:tcW w:w="1100" w:type="dxa"/>
            <w:vAlign w:val="bottom"/>
            <w:tcBorders>
              <w:top w:val="single" w:sz="8" w:color="CBDBD1"/>
            </w:tcBorders>
            <w:shd w:val="clear" w:color="auto" w:fill="CBDBD1"/>
          </w:tcPr>
          <w:p>
            <w:pPr>
              <w:spacing w:after="0" w:line="20" w:lineRule="exact"/>
              <w:rPr>
                <w:sz w:val="1"/>
                <w:szCs w:val="1"/>
                <w:color w:val="auto"/>
              </w:rPr>
            </w:pPr>
          </w:p>
        </w:tc>
        <w:tc>
          <w:tcPr>
            <w:tcW w:w="2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14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0000EE"/>
              <w:right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20" w:type="dxa"/>
            <w:vAlign w:val="bottom"/>
            <w:vMerge w:val="continue"/>
          </w:tcPr>
          <w:p>
            <w:pPr>
              <w:spacing w:after="0"/>
              <w:rPr>
                <w:sz w:val="15"/>
                <w:szCs w:val="15"/>
                <w:color w:val="auto"/>
              </w:rPr>
            </w:pPr>
          </w:p>
        </w:tc>
        <w:tc>
          <w:tcPr>
            <w:tcW w:w="720" w:type="dxa"/>
            <w:vAlign w:val="bottom"/>
            <w:gridSpan w:val="8"/>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9.</w:t>
              </w:r>
            </w:hyperlink>
          </w:p>
        </w:tc>
        <w:tc>
          <w:tcPr>
            <w:tcW w:w="5700" w:type="dxa"/>
            <w:vAlign w:val="bottom"/>
            <w:gridSpan w:val="25"/>
          </w:tcPr>
          <w:p>
            <w:pPr>
              <w:spacing w:after="0" w:line="176" w:lineRule="exact"/>
              <w:rPr>
                <w:rFonts w:ascii="Arial" w:cs="Arial" w:eastAsia="Arial" w:hAnsi="Arial"/>
                <w:sz w:val="18"/>
                <w:szCs w:val="18"/>
                <w:color w:val="0000EE"/>
                <w:w w:val="95"/>
              </w:rPr>
            </w:pPr>
            <w:hyperlink w:anchor="page32">
              <w:r>
                <w:rPr>
                  <w:rFonts w:ascii="Arial" w:cs="Arial" w:eastAsia="Arial" w:hAnsi="Arial"/>
                  <w:sz w:val="18"/>
                  <w:szCs w:val="18"/>
                  <w:color w:val="0000EE"/>
                  <w:w w:val="95"/>
                </w:rPr>
                <w:t>Changes  In  and  Disagreements  With  Accountants  on  Accounting  and</w:t>
              </w:r>
            </w:hyperlink>
          </w:p>
        </w:tc>
        <w:tc>
          <w:tcPr>
            <w:tcW w:w="400" w:type="dxa"/>
            <w:vAlign w:val="bottom"/>
            <w:gridSpan w:val="4"/>
          </w:tcPr>
          <w:p>
            <w:pPr>
              <w:jc w:val="center"/>
              <w:ind w:right="20"/>
              <w:spacing w:after="0" w:line="17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20</w:t>
              </w:r>
            </w:hyperlink>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32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0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Financial Disclosure</w:t>
              </w:r>
            </w:hyperlink>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3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20" w:type="dxa"/>
            <w:vAlign w:val="bottom"/>
            <w:vMerge w:val="continue"/>
          </w:tcPr>
          <w:p>
            <w:pPr>
              <w:spacing w:after="0"/>
              <w:rPr>
                <w:sz w:val="15"/>
                <w:szCs w:val="15"/>
                <w:color w:val="auto"/>
              </w:rPr>
            </w:pPr>
          </w:p>
        </w:tc>
        <w:tc>
          <w:tcPr>
            <w:tcW w:w="720" w:type="dxa"/>
            <w:vAlign w:val="bottom"/>
            <w:gridSpan w:val="8"/>
            <w:shd w:val="clear" w:color="auto" w:fill="CBDBD1"/>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w:t>
              </w:r>
            </w:hyperlink>
          </w:p>
        </w:tc>
        <w:tc>
          <w:tcPr>
            <w:tcW w:w="5700" w:type="dxa"/>
            <w:vAlign w:val="bottom"/>
            <w:gridSpan w:val="25"/>
            <w:shd w:val="clear" w:color="auto" w:fill="CBDBD1"/>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400" w:type="dxa"/>
            <w:vAlign w:val="bottom"/>
            <w:tcBorders>
              <w:right w:val="single" w:sz="8" w:color="CBDBD1"/>
            </w:tcBorders>
            <w:gridSpan w:val="4"/>
            <w:shd w:val="clear" w:color="auto" w:fill="CBDBD1"/>
          </w:tcPr>
          <w:p>
            <w:pPr>
              <w:jc w:val="center"/>
              <w:ind w:right="20"/>
              <w:spacing w:after="0" w:line="17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20</w:t>
              </w:r>
            </w:hyperlink>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2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CBDBD1"/>
          </w:tcPr>
          <w:p>
            <w:pPr>
              <w:spacing w:after="0" w:line="20" w:lineRule="exact"/>
              <w:rPr>
                <w:sz w:val="1"/>
                <w:szCs w:val="1"/>
                <w:color w:val="auto"/>
              </w:rPr>
            </w:pPr>
          </w:p>
        </w:tc>
        <w:tc>
          <w:tcPr>
            <w:tcW w:w="100" w:type="dxa"/>
            <w:vAlign w:val="bottom"/>
            <w:gridSpan w:val="2"/>
            <w:shd w:val="clear" w:color="auto" w:fill="CBDBD1"/>
          </w:tcPr>
          <w:p>
            <w:pPr>
              <w:spacing w:after="0" w:line="20" w:lineRule="exact"/>
              <w:rPr>
                <w:sz w:val="1"/>
                <w:szCs w:val="1"/>
                <w:color w:val="auto"/>
              </w:rPr>
            </w:pPr>
          </w:p>
        </w:tc>
        <w:tc>
          <w:tcPr>
            <w:tcW w:w="20" w:type="dxa"/>
            <w:vAlign w:val="bottom"/>
            <w:shd w:val="clear" w:color="auto" w:fill="CBDBD1"/>
          </w:tcPr>
          <w:p>
            <w:pPr>
              <w:spacing w:after="0" w:line="20" w:lineRule="exact"/>
              <w:rPr>
                <w:sz w:val="1"/>
                <w:szCs w:val="1"/>
                <w:color w:val="auto"/>
              </w:rPr>
            </w:pPr>
          </w:p>
        </w:tc>
        <w:tc>
          <w:tcPr>
            <w:tcW w:w="140" w:type="dxa"/>
            <w:vAlign w:val="bottom"/>
            <w:gridSpan w:val="3"/>
            <w:shd w:val="clear" w:color="auto" w:fill="CBDBD1"/>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CBDBD1"/>
          </w:tcPr>
          <w:p>
            <w:pPr>
              <w:spacing w:after="0" w:line="20" w:lineRule="exact"/>
              <w:rPr>
                <w:sz w:val="1"/>
                <w:szCs w:val="1"/>
                <w:color w:val="auto"/>
              </w:rPr>
            </w:pPr>
          </w:p>
        </w:tc>
        <w:tc>
          <w:tcPr>
            <w:tcW w:w="280" w:type="dxa"/>
            <w:vAlign w:val="bottom"/>
            <w:shd w:val="clear" w:color="auto" w:fill="CBDBD1"/>
          </w:tcPr>
          <w:p>
            <w:pPr>
              <w:spacing w:after="0" w:line="20" w:lineRule="exact"/>
              <w:rPr>
                <w:sz w:val="1"/>
                <w:szCs w:val="1"/>
                <w:color w:val="auto"/>
              </w:rPr>
            </w:pPr>
          </w:p>
        </w:tc>
        <w:tc>
          <w:tcPr>
            <w:tcW w:w="40" w:type="dxa"/>
            <w:vAlign w:val="bottom"/>
            <w:shd w:val="clear" w:color="auto" w:fill="CBDBD1"/>
          </w:tcPr>
          <w:p>
            <w:pPr>
              <w:spacing w:after="0" w:line="20" w:lineRule="exact"/>
              <w:rPr>
                <w:sz w:val="1"/>
                <w:szCs w:val="1"/>
                <w:color w:val="auto"/>
              </w:rPr>
            </w:pPr>
          </w:p>
        </w:tc>
        <w:tc>
          <w:tcPr>
            <w:tcW w:w="20" w:type="dxa"/>
            <w:vAlign w:val="bottom"/>
            <w:shd w:val="clear" w:color="auto" w:fill="CBDBD1"/>
          </w:tcPr>
          <w:p>
            <w:pPr>
              <w:spacing w:after="0" w:line="20" w:lineRule="exact"/>
              <w:rPr>
                <w:sz w:val="1"/>
                <w:szCs w:val="1"/>
                <w:color w:val="auto"/>
              </w:rPr>
            </w:pPr>
          </w:p>
        </w:tc>
        <w:tc>
          <w:tcPr>
            <w:tcW w:w="280" w:type="dxa"/>
            <w:vAlign w:val="bottom"/>
            <w:shd w:val="clear" w:color="auto" w:fill="CBDBD1"/>
          </w:tcPr>
          <w:p>
            <w:pPr>
              <w:spacing w:after="0" w:line="20" w:lineRule="exact"/>
              <w:rPr>
                <w:sz w:val="1"/>
                <w:szCs w:val="1"/>
                <w:color w:val="auto"/>
              </w:rPr>
            </w:pPr>
          </w:p>
        </w:tc>
        <w:tc>
          <w:tcPr>
            <w:tcW w:w="180" w:type="dxa"/>
            <w:vAlign w:val="bottom"/>
            <w:shd w:val="clear" w:color="auto" w:fill="CBDBD1"/>
          </w:tcPr>
          <w:p>
            <w:pPr>
              <w:spacing w:after="0" w:line="20" w:lineRule="exact"/>
              <w:rPr>
                <w:sz w:val="1"/>
                <w:szCs w:val="1"/>
                <w:color w:val="auto"/>
              </w:rPr>
            </w:pPr>
          </w:p>
        </w:tc>
        <w:tc>
          <w:tcPr>
            <w:tcW w:w="40" w:type="dxa"/>
            <w:vAlign w:val="bottom"/>
            <w:shd w:val="clear" w:color="auto" w:fill="CBDBD1"/>
          </w:tcPr>
          <w:p>
            <w:pPr>
              <w:spacing w:after="0" w:line="20" w:lineRule="exact"/>
              <w:rPr>
                <w:sz w:val="1"/>
                <w:szCs w:val="1"/>
                <w:color w:val="auto"/>
              </w:rPr>
            </w:pPr>
          </w:p>
        </w:tc>
        <w:tc>
          <w:tcPr>
            <w:tcW w:w="40" w:type="dxa"/>
            <w:vAlign w:val="bottom"/>
            <w:shd w:val="clear" w:color="auto" w:fill="CBDBD1"/>
          </w:tcPr>
          <w:p>
            <w:pPr>
              <w:spacing w:after="0" w:line="20" w:lineRule="exact"/>
              <w:rPr>
                <w:sz w:val="1"/>
                <w:szCs w:val="1"/>
                <w:color w:val="auto"/>
              </w:rPr>
            </w:pPr>
          </w:p>
        </w:tc>
        <w:tc>
          <w:tcPr>
            <w:tcW w:w="40" w:type="dxa"/>
            <w:vAlign w:val="bottom"/>
            <w:shd w:val="clear" w:color="auto" w:fill="CBDBD1"/>
          </w:tcPr>
          <w:p>
            <w:pPr>
              <w:spacing w:after="0" w:line="20" w:lineRule="exact"/>
              <w:rPr>
                <w:sz w:val="1"/>
                <w:szCs w:val="1"/>
                <w:color w:val="auto"/>
              </w:rPr>
            </w:pPr>
          </w:p>
        </w:tc>
        <w:tc>
          <w:tcPr>
            <w:tcW w:w="20" w:type="dxa"/>
            <w:vAlign w:val="bottom"/>
            <w:shd w:val="clear" w:color="auto" w:fill="CBDBD1"/>
          </w:tcPr>
          <w:p>
            <w:pPr>
              <w:spacing w:after="0" w:line="20" w:lineRule="exact"/>
              <w:rPr>
                <w:sz w:val="1"/>
                <w:szCs w:val="1"/>
                <w:color w:val="auto"/>
              </w:rPr>
            </w:pPr>
          </w:p>
        </w:tc>
        <w:tc>
          <w:tcPr>
            <w:tcW w:w="340" w:type="dxa"/>
            <w:vAlign w:val="bottom"/>
            <w:shd w:val="clear" w:color="auto" w:fill="CBDBD1"/>
          </w:tcPr>
          <w:p>
            <w:pPr>
              <w:spacing w:after="0" w:line="20" w:lineRule="exact"/>
              <w:rPr>
                <w:sz w:val="1"/>
                <w:szCs w:val="1"/>
                <w:color w:val="auto"/>
              </w:rPr>
            </w:pPr>
          </w:p>
        </w:tc>
        <w:tc>
          <w:tcPr>
            <w:tcW w:w="440" w:type="dxa"/>
            <w:vAlign w:val="bottom"/>
            <w:shd w:val="clear" w:color="auto" w:fill="CBDBD1"/>
          </w:tcPr>
          <w:p>
            <w:pPr>
              <w:spacing w:after="0" w:line="20" w:lineRule="exact"/>
              <w:rPr>
                <w:sz w:val="1"/>
                <w:szCs w:val="1"/>
                <w:color w:val="auto"/>
              </w:rPr>
            </w:pPr>
          </w:p>
        </w:tc>
        <w:tc>
          <w:tcPr>
            <w:tcW w:w="320" w:type="dxa"/>
            <w:vAlign w:val="bottom"/>
            <w:shd w:val="clear" w:color="auto" w:fill="CBDBD1"/>
          </w:tcPr>
          <w:p>
            <w:pPr>
              <w:spacing w:after="0" w:line="20" w:lineRule="exact"/>
              <w:rPr>
                <w:sz w:val="1"/>
                <w:szCs w:val="1"/>
                <w:color w:val="auto"/>
              </w:rPr>
            </w:pPr>
          </w:p>
        </w:tc>
        <w:tc>
          <w:tcPr>
            <w:tcW w:w="260" w:type="dxa"/>
            <w:vAlign w:val="bottom"/>
            <w:shd w:val="clear" w:color="auto" w:fill="CBDBD1"/>
          </w:tcPr>
          <w:p>
            <w:pPr>
              <w:spacing w:after="0" w:line="20" w:lineRule="exact"/>
              <w:rPr>
                <w:sz w:val="1"/>
                <w:szCs w:val="1"/>
                <w:color w:val="auto"/>
              </w:rPr>
            </w:pPr>
          </w:p>
        </w:tc>
        <w:tc>
          <w:tcPr>
            <w:tcW w:w="1100" w:type="dxa"/>
            <w:vAlign w:val="bottom"/>
            <w:shd w:val="clear" w:color="auto" w:fill="CBDBD1"/>
          </w:tcPr>
          <w:p>
            <w:pPr>
              <w:spacing w:after="0" w:line="20" w:lineRule="exact"/>
              <w:rPr>
                <w:sz w:val="1"/>
                <w:szCs w:val="1"/>
                <w:color w:val="auto"/>
              </w:rPr>
            </w:pPr>
          </w:p>
        </w:tc>
        <w:tc>
          <w:tcPr>
            <w:tcW w:w="220" w:type="dxa"/>
            <w:vAlign w:val="bottom"/>
            <w:shd w:val="clear" w:color="auto" w:fill="CBDBD1"/>
          </w:tcPr>
          <w:p>
            <w:pPr>
              <w:spacing w:after="0" w:line="20" w:lineRule="exact"/>
              <w:rPr>
                <w:sz w:val="1"/>
                <w:szCs w:val="1"/>
                <w:color w:val="auto"/>
              </w:rPr>
            </w:pPr>
          </w:p>
        </w:tc>
        <w:tc>
          <w:tcPr>
            <w:tcW w:w="20" w:type="dxa"/>
            <w:vAlign w:val="bottom"/>
            <w:shd w:val="clear" w:color="auto" w:fill="CBDBD1"/>
          </w:tcPr>
          <w:p>
            <w:pPr>
              <w:spacing w:after="0" w:line="20" w:lineRule="exact"/>
              <w:rPr>
                <w:sz w:val="1"/>
                <w:szCs w:val="1"/>
                <w:color w:val="auto"/>
              </w:rPr>
            </w:pPr>
          </w:p>
        </w:tc>
        <w:tc>
          <w:tcPr>
            <w:tcW w:w="20" w:type="dxa"/>
            <w:vAlign w:val="bottom"/>
            <w:shd w:val="clear" w:color="auto" w:fill="CBDBD1"/>
          </w:tcPr>
          <w:p>
            <w:pPr>
              <w:spacing w:after="0" w:line="20" w:lineRule="exact"/>
              <w:rPr>
                <w:sz w:val="1"/>
                <w:szCs w:val="1"/>
                <w:color w:val="auto"/>
              </w:rPr>
            </w:pPr>
          </w:p>
        </w:tc>
        <w:tc>
          <w:tcPr>
            <w:tcW w:w="140" w:type="dxa"/>
            <w:vAlign w:val="bottom"/>
            <w:tcBorders>
              <w:right w:val="single" w:sz="8" w:color="0000EE"/>
            </w:tcBorders>
            <w:shd w:val="clear" w:color="auto" w:fill="CBDBD1"/>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CBDBD1"/>
            </w:tcBorders>
            <w:shd w:val="clear" w:color="auto" w:fill="CBDBD1"/>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20" w:type="dxa"/>
            <w:vAlign w:val="bottom"/>
          </w:tcPr>
          <w:p>
            <w:pPr>
              <w:spacing w:after="0"/>
              <w:rPr>
                <w:sz w:val="17"/>
                <w:szCs w:val="17"/>
                <w:color w:val="auto"/>
              </w:rPr>
            </w:pPr>
          </w:p>
        </w:tc>
        <w:tc>
          <w:tcPr>
            <w:tcW w:w="720" w:type="dxa"/>
            <w:vAlign w:val="bottom"/>
            <w:gridSpan w:val="8"/>
            <w:shd w:val="clear" w:color="auto" w:fill="CBDBD1"/>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9A(T).</w:t>
              </w:r>
            </w:hyperlink>
          </w:p>
        </w:tc>
        <w:tc>
          <w:tcPr>
            <w:tcW w:w="64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6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400" w:type="dxa"/>
            <w:vAlign w:val="bottom"/>
            <w:shd w:val="clear" w:color="auto" w:fill="CBDBD1"/>
          </w:tcPr>
          <w:p>
            <w:pPr>
              <w:spacing w:after="0"/>
              <w:rPr>
                <w:sz w:val="17"/>
                <w:szCs w:val="17"/>
                <w:color w:val="auto"/>
              </w:rPr>
            </w:pPr>
          </w:p>
        </w:tc>
        <w:tc>
          <w:tcPr>
            <w:tcW w:w="20" w:type="dxa"/>
            <w:vAlign w:val="bottom"/>
            <w:shd w:val="clear" w:color="auto" w:fill="CBDBD1"/>
          </w:tcPr>
          <w:p>
            <w:pPr>
              <w:spacing w:after="0"/>
              <w:rPr>
                <w:sz w:val="17"/>
                <w:szCs w:val="17"/>
                <w:color w:val="auto"/>
              </w:rPr>
            </w:pPr>
          </w:p>
        </w:tc>
        <w:tc>
          <w:tcPr>
            <w:tcW w:w="160" w:type="dxa"/>
            <w:vAlign w:val="bottom"/>
            <w:shd w:val="clear" w:color="auto" w:fill="CBDBD1"/>
          </w:tcPr>
          <w:p>
            <w:pPr>
              <w:spacing w:after="0"/>
              <w:rPr>
                <w:sz w:val="17"/>
                <w:szCs w:val="17"/>
                <w:color w:val="auto"/>
              </w:rPr>
            </w:pPr>
          </w:p>
        </w:tc>
        <w:tc>
          <w:tcPr>
            <w:tcW w:w="320" w:type="dxa"/>
            <w:vAlign w:val="bottom"/>
            <w:tcBorders>
              <w:right w:val="single" w:sz="8" w:color="CBDBD1"/>
            </w:tcBorders>
            <w:shd w:val="clear" w:color="auto" w:fill="CBDBD1"/>
          </w:tcPr>
          <w:p>
            <w:pPr>
              <w:spacing w:after="0"/>
              <w:rPr>
                <w:sz w:val="17"/>
                <w:szCs w:val="17"/>
                <w:color w:val="auto"/>
              </w:rPr>
            </w:pPr>
          </w:p>
        </w:tc>
        <w:tc>
          <w:tcPr>
            <w:tcW w:w="240" w:type="dxa"/>
            <w:vAlign w:val="bottom"/>
            <w:shd w:val="clear" w:color="auto" w:fill="CBDBD1"/>
          </w:tcPr>
          <w:p>
            <w:pPr>
              <w:spacing w:after="0"/>
              <w:rPr>
                <w:sz w:val="17"/>
                <w:szCs w:val="17"/>
                <w:color w:val="auto"/>
              </w:rPr>
            </w:pPr>
          </w:p>
        </w:tc>
        <w:tc>
          <w:tcPr>
            <w:tcW w:w="280" w:type="dxa"/>
            <w:vAlign w:val="bottom"/>
            <w:shd w:val="clear" w:color="auto" w:fill="CBDBD1"/>
          </w:tcPr>
          <w:p>
            <w:pPr>
              <w:spacing w:after="0"/>
              <w:rPr>
                <w:sz w:val="17"/>
                <w:szCs w:val="17"/>
                <w:color w:val="auto"/>
              </w:rPr>
            </w:pPr>
          </w:p>
        </w:tc>
        <w:tc>
          <w:tcPr>
            <w:tcW w:w="40" w:type="dxa"/>
            <w:vAlign w:val="bottom"/>
            <w:shd w:val="clear" w:color="auto" w:fill="CBDBD1"/>
          </w:tcPr>
          <w:p>
            <w:pPr>
              <w:spacing w:after="0"/>
              <w:rPr>
                <w:sz w:val="17"/>
                <w:szCs w:val="17"/>
                <w:color w:val="auto"/>
              </w:rPr>
            </w:pPr>
          </w:p>
        </w:tc>
        <w:tc>
          <w:tcPr>
            <w:tcW w:w="20" w:type="dxa"/>
            <w:vAlign w:val="bottom"/>
            <w:shd w:val="clear" w:color="auto" w:fill="CBDBD1"/>
          </w:tcPr>
          <w:p>
            <w:pPr>
              <w:spacing w:after="0"/>
              <w:rPr>
                <w:sz w:val="17"/>
                <w:szCs w:val="17"/>
                <w:color w:val="auto"/>
              </w:rPr>
            </w:pPr>
          </w:p>
        </w:tc>
        <w:tc>
          <w:tcPr>
            <w:tcW w:w="280" w:type="dxa"/>
            <w:vAlign w:val="bottom"/>
            <w:shd w:val="clear" w:color="auto" w:fill="CBDBD1"/>
          </w:tcPr>
          <w:p>
            <w:pPr>
              <w:spacing w:after="0"/>
              <w:rPr>
                <w:sz w:val="17"/>
                <w:szCs w:val="17"/>
                <w:color w:val="auto"/>
              </w:rPr>
            </w:pPr>
          </w:p>
        </w:tc>
        <w:tc>
          <w:tcPr>
            <w:tcW w:w="180" w:type="dxa"/>
            <w:vAlign w:val="bottom"/>
            <w:shd w:val="clear" w:color="auto" w:fill="CBDBD1"/>
          </w:tcPr>
          <w:p>
            <w:pPr>
              <w:spacing w:after="0"/>
              <w:rPr>
                <w:sz w:val="17"/>
                <w:szCs w:val="17"/>
                <w:color w:val="auto"/>
              </w:rPr>
            </w:pPr>
          </w:p>
        </w:tc>
        <w:tc>
          <w:tcPr>
            <w:tcW w:w="40" w:type="dxa"/>
            <w:vAlign w:val="bottom"/>
            <w:shd w:val="clear" w:color="auto" w:fill="CBDBD1"/>
          </w:tcPr>
          <w:p>
            <w:pPr>
              <w:spacing w:after="0"/>
              <w:rPr>
                <w:sz w:val="17"/>
                <w:szCs w:val="17"/>
                <w:color w:val="auto"/>
              </w:rPr>
            </w:pPr>
          </w:p>
        </w:tc>
        <w:tc>
          <w:tcPr>
            <w:tcW w:w="40" w:type="dxa"/>
            <w:vAlign w:val="bottom"/>
            <w:shd w:val="clear" w:color="auto" w:fill="CBDBD1"/>
          </w:tcPr>
          <w:p>
            <w:pPr>
              <w:spacing w:after="0"/>
              <w:rPr>
                <w:sz w:val="17"/>
                <w:szCs w:val="17"/>
                <w:color w:val="auto"/>
              </w:rPr>
            </w:pPr>
          </w:p>
        </w:tc>
        <w:tc>
          <w:tcPr>
            <w:tcW w:w="40" w:type="dxa"/>
            <w:vAlign w:val="bottom"/>
            <w:shd w:val="clear" w:color="auto" w:fill="CBDBD1"/>
          </w:tcPr>
          <w:p>
            <w:pPr>
              <w:spacing w:after="0"/>
              <w:rPr>
                <w:sz w:val="17"/>
                <w:szCs w:val="17"/>
                <w:color w:val="auto"/>
              </w:rPr>
            </w:pPr>
          </w:p>
        </w:tc>
        <w:tc>
          <w:tcPr>
            <w:tcW w:w="20" w:type="dxa"/>
            <w:vAlign w:val="bottom"/>
            <w:shd w:val="clear" w:color="auto" w:fill="CBDBD1"/>
          </w:tcPr>
          <w:p>
            <w:pPr>
              <w:spacing w:after="0"/>
              <w:rPr>
                <w:sz w:val="17"/>
                <w:szCs w:val="17"/>
                <w:color w:val="auto"/>
              </w:rPr>
            </w:pPr>
          </w:p>
        </w:tc>
        <w:tc>
          <w:tcPr>
            <w:tcW w:w="340" w:type="dxa"/>
            <w:vAlign w:val="bottom"/>
            <w:shd w:val="clear" w:color="auto" w:fill="CBDBD1"/>
          </w:tcPr>
          <w:p>
            <w:pPr>
              <w:spacing w:after="0"/>
              <w:rPr>
                <w:sz w:val="17"/>
                <w:szCs w:val="17"/>
                <w:color w:val="auto"/>
              </w:rPr>
            </w:pPr>
          </w:p>
        </w:tc>
        <w:tc>
          <w:tcPr>
            <w:tcW w:w="440" w:type="dxa"/>
            <w:vAlign w:val="bottom"/>
            <w:shd w:val="clear" w:color="auto" w:fill="CBDBD1"/>
          </w:tcPr>
          <w:p>
            <w:pPr>
              <w:spacing w:after="0"/>
              <w:rPr>
                <w:sz w:val="17"/>
                <w:szCs w:val="17"/>
                <w:color w:val="auto"/>
              </w:rPr>
            </w:pPr>
          </w:p>
        </w:tc>
        <w:tc>
          <w:tcPr>
            <w:tcW w:w="320" w:type="dxa"/>
            <w:vAlign w:val="bottom"/>
            <w:shd w:val="clear" w:color="auto" w:fill="CBDBD1"/>
          </w:tcPr>
          <w:p>
            <w:pPr>
              <w:spacing w:after="0"/>
              <w:rPr>
                <w:sz w:val="17"/>
                <w:szCs w:val="17"/>
                <w:color w:val="auto"/>
              </w:rPr>
            </w:pPr>
          </w:p>
        </w:tc>
        <w:tc>
          <w:tcPr>
            <w:tcW w:w="260" w:type="dxa"/>
            <w:vAlign w:val="bottom"/>
            <w:shd w:val="clear" w:color="auto" w:fill="CBDBD1"/>
          </w:tcPr>
          <w:p>
            <w:pPr>
              <w:spacing w:after="0"/>
              <w:rPr>
                <w:sz w:val="17"/>
                <w:szCs w:val="17"/>
                <w:color w:val="auto"/>
              </w:rPr>
            </w:pPr>
          </w:p>
        </w:tc>
        <w:tc>
          <w:tcPr>
            <w:tcW w:w="1100" w:type="dxa"/>
            <w:vAlign w:val="bottom"/>
            <w:shd w:val="clear" w:color="auto" w:fill="CBDBD1"/>
          </w:tcPr>
          <w:p>
            <w:pPr>
              <w:spacing w:after="0"/>
              <w:rPr>
                <w:sz w:val="17"/>
                <w:szCs w:val="17"/>
                <w:color w:val="auto"/>
              </w:rPr>
            </w:pPr>
          </w:p>
        </w:tc>
        <w:tc>
          <w:tcPr>
            <w:tcW w:w="220" w:type="dxa"/>
            <w:vAlign w:val="bottom"/>
            <w:shd w:val="clear" w:color="auto" w:fill="CBDBD1"/>
          </w:tcPr>
          <w:p>
            <w:pPr>
              <w:spacing w:after="0"/>
              <w:rPr>
                <w:sz w:val="17"/>
                <w:szCs w:val="17"/>
                <w:color w:val="auto"/>
              </w:rPr>
            </w:pPr>
          </w:p>
        </w:tc>
        <w:tc>
          <w:tcPr>
            <w:tcW w:w="20" w:type="dxa"/>
            <w:vAlign w:val="bottom"/>
            <w:shd w:val="clear" w:color="auto" w:fill="CBDBD1"/>
          </w:tcPr>
          <w:p>
            <w:pPr>
              <w:spacing w:after="0"/>
              <w:rPr>
                <w:sz w:val="17"/>
                <w:szCs w:val="17"/>
                <w:color w:val="auto"/>
              </w:rPr>
            </w:pPr>
          </w:p>
        </w:tc>
        <w:tc>
          <w:tcPr>
            <w:tcW w:w="20" w:type="dxa"/>
            <w:vAlign w:val="bottom"/>
            <w:shd w:val="clear" w:color="auto" w:fill="CBDBD1"/>
          </w:tcPr>
          <w:p>
            <w:pPr>
              <w:spacing w:after="0"/>
              <w:rPr>
                <w:sz w:val="17"/>
                <w:szCs w:val="17"/>
                <w:color w:val="auto"/>
              </w:rPr>
            </w:pPr>
          </w:p>
        </w:tc>
        <w:tc>
          <w:tcPr>
            <w:tcW w:w="140" w:type="dxa"/>
            <w:vAlign w:val="bottom"/>
            <w:tcBorders>
              <w:right w:val="single" w:sz="8" w:color="CBDBD1"/>
            </w:tcBorders>
            <w:shd w:val="clear" w:color="auto" w:fill="CBDBD1"/>
          </w:tcPr>
          <w:p>
            <w:pPr>
              <w:spacing w:after="0"/>
              <w:rPr>
                <w:sz w:val="17"/>
                <w:szCs w:val="17"/>
                <w:color w:val="auto"/>
              </w:rPr>
            </w:pPr>
          </w:p>
        </w:tc>
        <w:tc>
          <w:tcPr>
            <w:tcW w:w="120" w:type="dxa"/>
            <w:vAlign w:val="bottom"/>
            <w:tcBorders>
              <w:right w:val="single" w:sz="8" w:color="CBDBD1"/>
            </w:tcBorders>
            <w:shd w:val="clear" w:color="auto" w:fill="CBDBD1"/>
          </w:tcPr>
          <w:p>
            <w:pPr>
              <w:spacing w:after="0"/>
              <w:rPr>
                <w:sz w:val="17"/>
                <w:szCs w:val="17"/>
                <w:color w:val="auto"/>
              </w:rPr>
            </w:pPr>
          </w:p>
        </w:tc>
        <w:tc>
          <w:tcPr>
            <w:tcW w:w="120" w:type="dxa"/>
            <w:vAlign w:val="bottom"/>
            <w:tcBorders>
              <w:right w:val="single" w:sz="8" w:color="CBDBD1"/>
            </w:tcBorders>
            <w:shd w:val="clear" w:color="auto" w:fill="CBDBD1"/>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320" w:type="dxa"/>
            <w:vAlign w:val="bottom"/>
            <w:vMerge w:val="restart"/>
          </w:tcPr>
          <w:p>
            <w:pPr>
              <w:spacing w:after="0" w:line="20" w:lineRule="exact"/>
              <w:rPr>
                <w:sz w:val="1"/>
                <w:szCs w:val="1"/>
                <w:color w:val="auto"/>
              </w:rPr>
            </w:pPr>
          </w:p>
        </w:tc>
        <w:tc>
          <w:tcPr>
            <w:tcW w:w="300" w:type="dxa"/>
            <w:vAlign w:val="bottom"/>
            <w:tcBorders>
              <w:top w:val="single" w:sz="8" w:color="0000EE"/>
            </w:tcBorders>
            <w:shd w:val="clear" w:color="auto" w:fill="CBDBD1"/>
          </w:tcPr>
          <w:p>
            <w:pPr>
              <w:spacing w:after="0" w:line="20" w:lineRule="exact"/>
              <w:rPr>
                <w:sz w:val="1"/>
                <w:szCs w:val="1"/>
                <w:color w:val="auto"/>
              </w:rPr>
            </w:pPr>
          </w:p>
        </w:tc>
        <w:tc>
          <w:tcPr>
            <w:tcW w:w="16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640" w:type="dxa"/>
            <w:vAlign w:val="bottom"/>
            <w:tcBorders>
              <w:top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60" w:type="dxa"/>
            <w:vAlign w:val="bottom"/>
            <w:tcBorders>
              <w:top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CBDBD1"/>
            </w:tcBorders>
            <w:shd w:val="clear" w:color="auto" w:fill="CBDBD1"/>
          </w:tcPr>
          <w:p>
            <w:pPr>
              <w:spacing w:after="0" w:line="20" w:lineRule="exact"/>
              <w:rPr>
                <w:sz w:val="1"/>
                <w:szCs w:val="1"/>
                <w:color w:val="auto"/>
              </w:rPr>
            </w:pPr>
          </w:p>
        </w:tc>
        <w:tc>
          <w:tcPr>
            <w:tcW w:w="40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160" w:type="dxa"/>
            <w:vAlign w:val="bottom"/>
            <w:tcBorders>
              <w:top w:val="single" w:sz="8" w:color="CBDBD1"/>
            </w:tcBorders>
            <w:shd w:val="clear" w:color="auto" w:fill="CBDBD1"/>
          </w:tcPr>
          <w:p>
            <w:pPr>
              <w:spacing w:after="0" w:line="20" w:lineRule="exact"/>
              <w:rPr>
                <w:sz w:val="1"/>
                <w:szCs w:val="1"/>
                <w:color w:val="auto"/>
              </w:rPr>
            </w:pPr>
          </w:p>
        </w:tc>
        <w:tc>
          <w:tcPr>
            <w:tcW w:w="32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240" w:type="dxa"/>
            <w:vAlign w:val="bottom"/>
            <w:tcBorders>
              <w:top w:val="single" w:sz="8" w:color="CBDBD1"/>
            </w:tcBorders>
            <w:shd w:val="clear" w:color="auto" w:fill="CBDBD1"/>
          </w:tcPr>
          <w:p>
            <w:pPr>
              <w:spacing w:after="0" w:line="20" w:lineRule="exact"/>
              <w:rPr>
                <w:sz w:val="1"/>
                <w:szCs w:val="1"/>
                <w:color w:val="auto"/>
              </w:rPr>
            </w:pPr>
          </w:p>
        </w:tc>
        <w:tc>
          <w:tcPr>
            <w:tcW w:w="28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80" w:type="dxa"/>
            <w:vAlign w:val="bottom"/>
            <w:tcBorders>
              <w:top w:val="single" w:sz="8" w:color="CBDBD1"/>
            </w:tcBorders>
            <w:shd w:val="clear" w:color="auto" w:fill="CBDBD1"/>
          </w:tcPr>
          <w:p>
            <w:pPr>
              <w:spacing w:after="0" w:line="20" w:lineRule="exact"/>
              <w:rPr>
                <w:sz w:val="1"/>
                <w:szCs w:val="1"/>
                <w:color w:val="auto"/>
              </w:rPr>
            </w:pPr>
          </w:p>
        </w:tc>
        <w:tc>
          <w:tcPr>
            <w:tcW w:w="18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340" w:type="dxa"/>
            <w:vAlign w:val="bottom"/>
            <w:tcBorders>
              <w:top w:val="single" w:sz="8" w:color="CBDBD1"/>
            </w:tcBorders>
            <w:shd w:val="clear" w:color="auto" w:fill="CBDBD1"/>
          </w:tcPr>
          <w:p>
            <w:pPr>
              <w:spacing w:after="0" w:line="20" w:lineRule="exact"/>
              <w:rPr>
                <w:sz w:val="1"/>
                <w:szCs w:val="1"/>
                <w:color w:val="auto"/>
              </w:rPr>
            </w:pPr>
          </w:p>
        </w:tc>
        <w:tc>
          <w:tcPr>
            <w:tcW w:w="440" w:type="dxa"/>
            <w:vAlign w:val="bottom"/>
            <w:tcBorders>
              <w:top w:val="single" w:sz="8" w:color="CBDBD1"/>
            </w:tcBorders>
            <w:shd w:val="clear" w:color="auto" w:fill="CBDBD1"/>
          </w:tcPr>
          <w:p>
            <w:pPr>
              <w:spacing w:after="0" w:line="20" w:lineRule="exact"/>
              <w:rPr>
                <w:sz w:val="1"/>
                <w:szCs w:val="1"/>
                <w:color w:val="auto"/>
              </w:rPr>
            </w:pPr>
          </w:p>
        </w:tc>
        <w:tc>
          <w:tcPr>
            <w:tcW w:w="320" w:type="dxa"/>
            <w:vAlign w:val="bottom"/>
            <w:tcBorders>
              <w:top w:val="single" w:sz="8" w:color="CBDBD1"/>
            </w:tcBorders>
            <w:shd w:val="clear" w:color="auto" w:fill="CBDBD1"/>
          </w:tcPr>
          <w:p>
            <w:pPr>
              <w:spacing w:after="0" w:line="20" w:lineRule="exact"/>
              <w:rPr>
                <w:sz w:val="1"/>
                <w:szCs w:val="1"/>
                <w:color w:val="auto"/>
              </w:rPr>
            </w:pPr>
          </w:p>
        </w:tc>
        <w:tc>
          <w:tcPr>
            <w:tcW w:w="260" w:type="dxa"/>
            <w:vAlign w:val="bottom"/>
            <w:tcBorders>
              <w:top w:val="single" w:sz="8" w:color="CBDBD1"/>
            </w:tcBorders>
            <w:shd w:val="clear" w:color="auto" w:fill="CBDBD1"/>
          </w:tcPr>
          <w:p>
            <w:pPr>
              <w:spacing w:after="0" w:line="20" w:lineRule="exact"/>
              <w:rPr>
                <w:sz w:val="1"/>
                <w:szCs w:val="1"/>
                <w:color w:val="auto"/>
              </w:rPr>
            </w:pPr>
          </w:p>
        </w:tc>
        <w:tc>
          <w:tcPr>
            <w:tcW w:w="1100" w:type="dxa"/>
            <w:vAlign w:val="bottom"/>
            <w:tcBorders>
              <w:top w:val="single" w:sz="8" w:color="CBDBD1"/>
            </w:tcBorders>
            <w:shd w:val="clear" w:color="auto" w:fill="CBDBD1"/>
          </w:tcPr>
          <w:p>
            <w:pPr>
              <w:spacing w:after="0" w:line="20" w:lineRule="exact"/>
              <w:rPr>
                <w:sz w:val="1"/>
                <w:szCs w:val="1"/>
                <w:color w:val="auto"/>
              </w:rPr>
            </w:pPr>
          </w:p>
        </w:tc>
        <w:tc>
          <w:tcPr>
            <w:tcW w:w="2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14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20" w:type="dxa"/>
            <w:vAlign w:val="bottom"/>
            <w:vMerge w:val="continue"/>
          </w:tcPr>
          <w:p>
            <w:pPr>
              <w:spacing w:after="0"/>
              <w:rPr>
                <w:sz w:val="15"/>
                <w:szCs w:val="15"/>
                <w:color w:val="auto"/>
              </w:rPr>
            </w:pPr>
          </w:p>
        </w:tc>
        <w:tc>
          <w:tcPr>
            <w:tcW w:w="720" w:type="dxa"/>
            <w:vAlign w:val="bottom"/>
            <w:gridSpan w:val="8"/>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Item 9B.</w:t>
              </w:r>
            </w:hyperlink>
          </w:p>
        </w:tc>
        <w:tc>
          <w:tcPr>
            <w:tcW w:w="5700" w:type="dxa"/>
            <w:vAlign w:val="bottom"/>
            <w:gridSpan w:val="25"/>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400" w:type="dxa"/>
            <w:vAlign w:val="bottom"/>
            <w:gridSpan w:val="4"/>
          </w:tcPr>
          <w:p>
            <w:pPr>
              <w:jc w:val="center"/>
              <w:ind w:right="20"/>
              <w:spacing w:after="0" w:line="17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21</w:t>
              </w:r>
            </w:hyperlink>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23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60" w:type="dxa"/>
            <w:vAlign w:val="bottom"/>
            <w:gridSpan w:val="15"/>
          </w:tcPr>
          <w:p>
            <w:pPr>
              <w:jc w:val="center"/>
              <w:ind w:right="2700"/>
              <w:spacing w:after="0"/>
              <w:rPr>
                <w:sz w:val="20"/>
                <w:szCs w:val="20"/>
                <w:color w:val="auto"/>
              </w:rPr>
            </w:pPr>
            <w:r>
              <w:rPr>
                <w:rFonts w:ascii="Arial" w:cs="Arial" w:eastAsia="Arial" w:hAnsi="Arial"/>
                <w:sz w:val="18"/>
                <w:szCs w:val="18"/>
                <w:color w:val="auto"/>
                <w:w w:val="96"/>
              </w:rPr>
              <w:t>PART III</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20" w:type="dxa"/>
            <w:vAlign w:val="bottom"/>
            <w:vMerge w:val="restart"/>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320" w:type="dxa"/>
            <w:vAlign w:val="bottom"/>
            <w:vMerge w:val="continue"/>
          </w:tcPr>
          <w:p>
            <w:pPr>
              <w:spacing w:after="0"/>
              <w:rPr>
                <w:sz w:val="15"/>
                <w:szCs w:val="15"/>
                <w:color w:val="auto"/>
              </w:rPr>
            </w:pPr>
          </w:p>
        </w:tc>
        <w:tc>
          <w:tcPr>
            <w:tcW w:w="580" w:type="dxa"/>
            <w:vAlign w:val="bottom"/>
            <w:gridSpan w:val="5"/>
            <w:shd w:val="clear" w:color="auto" w:fill="CBDBD1"/>
          </w:tcPr>
          <w:p>
            <w:pPr>
              <w:spacing w:after="0" w:line="176" w:lineRule="exact"/>
              <w:rPr>
                <w:rFonts w:ascii="Arial" w:cs="Arial" w:eastAsia="Arial" w:hAnsi="Arial"/>
                <w:sz w:val="18"/>
                <w:szCs w:val="18"/>
                <w:color w:val="0000EE"/>
                <w:w w:val="86"/>
              </w:rPr>
            </w:pPr>
            <w:hyperlink w:anchor="page34">
              <w:r>
                <w:rPr>
                  <w:rFonts w:ascii="Arial" w:cs="Arial" w:eastAsia="Arial" w:hAnsi="Arial"/>
                  <w:sz w:val="18"/>
                  <w:szCs w:val="18"/>
                  <w:color w:val="0000EE"/>
                  <w:w w:val="86"/>
                </w:rPr>
                <w:t>Item 10.</w:t>
              </w:r>
            </w:hyperlink>
          </w:p>
        </w:tc>
        <w:tc>
          <w:tcPr>
            <w:tcW w:w="140" w:type="dxa"/>
            <w:vAlign w:val="bottom"/>
            <w:gridSpan w:val="3"/>
            <w:shd w:val="clear" w:color="auto" w:fill="CBDBD1"/>
          </w:tcPr>
          <w:p>
            <w:pPr>
              <w:spacing w:after="0"/>
              <w:rPr>
                <w:sz w:val="15"/>
                <w:szCs w:val="15"/>
                <w:color w:val="auto"/>
              </w:rPr>
            </w:pPr>
          </w:p>
        </w:tc>
        <w:tc>
          <w:tcPr>
            <w:tcW w:w="5700" w:type="dxa"/>
            <w:vAlign w:val="bottom"/>
            <w:gridSpan w:val="25"/>
            <w:shd w:val="clear" w:color="auto" w:fill="CBDBD1"/>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Directors, Executive Officers and Corporate Governance</w:t>
              </w:r>
            </w:hyperlink>
          </w:p>
        </w:tc>
        <w:tc>
          <w:tcPr>
            <w:tcW w:w="400" w:type="dxa"/>
            <w:vAlign w:val="bottom"/>
            <w:tcBorders>
              <w:right w:val="single" w:sz="8" w:color="CBDBD1"/>
            </w:tcBorders>
            <w:gridSpan w:val="4"/>
            <w:shd w:val="clear" w:color="auto" w:fill="CBDBD1"/>
          </w:tcPr>
          <w:p>
            <w:pPr>
              <w:jc w:val="center"/>
              <w:ind w:right="20"/>
              <w:spacing w:after="0" w:line="17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22</w:t>
              </w:r>
            </w:hyperlink>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20" w:type="dxa"/>
            <w:vAlign w:val="bottom"/>
            <w:vMerge w:val="restart"/>
          </w:tcPr>
          <w:p>
            <w:pPr>
              <w:spacing w:after="0" w:line="20" w:lineRule="exact"/>
              <w:rPr>
                <w:sz w:val="1"/>
                <w:szCs w:val="1"/>
                <w:color w:val="auto"/>
              </w:rPr>
            </w:pPr>
          </w:p>
        </w:tc>
        <w:tc>
          <w:tcPr>
            <w:tcW w:w="300" w:type="dxa"/>
            <w:vAlign w:val="bottom"/>
            <w:tcBorders>
              <w:top w:val="single" w:sz="8" w:color="0000EE"/>
            </w:tcBorders>
            <w:shd w:val="clear" w:color="auto" w:fill="CBDBD1"/>
          </w:tcPr>
          <w:p>
            <w:pPr>
              <w:spacing w:after="0" w:line="20" w:lineRule="exact"/>
              <w:rPr>
                <w:sz w:val="1"/>
                <w:szCs w:val="1"/>
                <w:color w:val="auto"/>
              </w:rPr>
            </w:pPr>
          </w:p>
        </w:tc>
        <w:tc>
          <w:tcPr>
            <w:tcW w:w="16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8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640" w:type="dxa"/>
            <w:vAlign w:val="bottom"/>
            <w:tcBorders>
              <w:top w:val="single" w:sz="8" w:color="0000EE"/>
            </w:tcBorders>
            <w:shd w:val="clear" w:color="auto" w:fill="CBDBD1"/>
          </w:tcPr>
          <w:p>
            <w:pPr>
              <w:spacing w:after="0" w:line="20" w:lineRule="exact"/>
              <w:rPr>
                <w:sz w:val="1"/>
                <w:szCs w:val="1"/>
                <w:color w:val="auto"/>
              </w:rPr>
            </w:pPr>
          </w:p>
        </w:tc>
        <w:tc>
          <w:tcPr>
            <w:tcW w:w="100" w:type="dxa"/>
            <w:vAlign w:val="bottom"/>
            <w:tcBorders>
              <w:top w:val="single" w:sz="8" w:color="0000EE"/>
            </w:tcBorders>
            <w:shd w:val="clear" w:color="auto" w:fill="CBDBD1"/>
          </w:tcPr>
          <w:p>
            <w:pPr>
              <w:spacing w:after="0" w:line="20" w:lineRule="exact"/>
              <w:rPr>
                <w:sz w:val="1"/>
                <w:szCs w:val="1"/>
                <w:color w:val="auto"/>
              </w:rPr>
            </w:pPr>
          </w:p>
        </w:tc>
        <w:tc>
          <w:tcPr>
            <w:tcW w:w="60" w:type="dxa"/>
            <w:vAlign w:val="bottom"/>
            <w:tcBorders>
              <w:top w:val="single" w:sz="8" w:color="0000EE"/>
            </w:tcBorders>
            <w:shd w:val="clear" w:color="auto" w:fill="CBDBD1"/>
          </w:tcPr>
          <w:p>
            <w:pPr>
              <w:spacing w:after="0" w:line="20" w:lineRule="exact"/>
              <w:rPr>
                <w:sz w:val="1"/>
                <w:szCs w:val="1"/>
                <w:color w:val="auto"/>
              </w:rPr>
            </w:pPr>
          </w:p>
        </w:tc>
        <w:tc>
          <w:tcPr>
            <w:tcW w:w="120" w:type="dxa"/>
            <w:vAlign w:val="bottom"/>
            <w:tcBorders>
              <w:top w:val="single" w:sz="8" w:color="0000EE"/>
            </w:tcBorders>
            <w:shd w:val="clear" w:color="auto" w:fill="CBDBD1"/>
          </w:tcPr>
          <w:p>
            <w:pPr>
              <w:spacing w:after="0" w:line="20" w:lineRule="exact"/>
              <w:rPr>
                <w:sz w:val="1"/>
                <w:szCs w:val="1"/>
                <w:color w:val="auto"/>
              </w:rPr>
            </w:pPr>
          </w:p>
        </w:tc>
        <w:tc>
          <w:tcPr>
            <w:tcW w:w="40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160" w:type="dxa"/>
            <w:vAlign w:val="bottom"/>
            <w:tcBorders>
              <w:top w:val="single" w:sz="8" w:color="0000EE"/>
            </w:tcBorders>
            <w:shd w:val="clear" w:color="auto" w:fill="CBDBD1"/>
          </w:tcPr>
          <w:p>
            <w:pPr>
              <w:spacing w:after="0" w:line="20" w:lineRule="exact"/>
              <w:rPr>
                <w:sz w:val="1"/>
                <w:szCs w:val="1"/>
                <w:color w:val="auto"/>
              </w:rPr>
            </w:pPr>
          </w:p>
        </w:tc>
        <w:tc>
          <w:tcPr>
            <w:tcW w:w="320" w:type="dxa"/>
            <w:vAlign w:val="bottom"/>
            <w:tcBorders>
              <w:top w:val="single" w:sz="8" w:color="0000EE"/>
              <w:right w:val="single" w:sz="8" w:color="CBDBD1"/>
            </w:tcBorders>
            <w:shd w:val="clear" w:color="auto" w:fill="CBDBD1"/>
          </w:tcPr>
          <w:p>
            <w:pPr>
              <w:spacing w:after="0" w:line="20" w:lineRule="exact"/>
              <w:rPr>
                <w:sz w:val="1"/>
                <w:szCs w:val="1"/>
                <w:color w:val="auto"/>
              </w:rPr>
            </w:pPr>
          </w:p>
        </w:tc>
        <w:tc>
          <w:tcPr>
            <w:tcW w:w="240" w:type="dxa"/>
            <w:vAlign w:val="bottom"/>
            <w:tcBorders>
              <w:top w:val="single" w:sz="8" w:color="0000EE"/>
            </w:tcBorders>
            <w:shd w:val="clear" w:color="auto" w:fill="CBDBD1"/>
          </w:tcPr>
          <w:p>
            <w:pPr>
              <w:spacing w:after="0" w:line="20" w:lineRule="exact"/>
              <w:rPr>
                <w:sz w:val="1"/>
                <w:szCs w:val="1"/>
                <w:color w:val="auto"/>
              </w:rPr>
            </w:pPr>
          </w:p>
        </w:tc>
        <w:tc>
          <w:tcPr>
            <w:tcW w:w="280" w:type="dxa"/>
            <w:vAlign w:val="bottom"/>
            <w:tcBorders>
              <w:top w:val="single" w:sz="8" w:color="0000EE"/>
            </w:tcBorders>
            <w:shd w:val="clear" w:color="auto" w:fill="CBDBD1"/>
          </w:tcPr>
          <w:p>
            <w:pPr>
              <w:spacing w:after="0" w:line="20" w:lineRule="exact"/>
              <w:rPr>
                <w:sz w:val="1"/>
                <w:szCs w:val="1"/>
                <w:color w:val="auto"/>
              </w:rPr>
            </w:pPr>
          </w:p>
        </w:tc>
        <w:tc>
          <w:tcPr>
            <w:tcW w:w="4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280" w:type="dxa"/>
            <w:vAlign w:val="bottom"/>
            <w:tcBorders>
              <w:top w:val="single" w:sz="8" w:color="0000EE"/>
            </w:tcBorders>
            <w:shd w:val="clear" w:color="auto" w:fill="CBDBD1"/>
          </w:tcPr>
          <w:p>
            <w:pPr>
              <w:spacing w:after="0" w:line="20" w:lineRule="exact"/>
              <w:rPr>
                <w:sz w:val="1"/>
                <w:szCs w:val="1"/>
                <w:color w:val="auto"/>
              </w:rPr>
            </w:pPr>
          </w:p>
        </w:tc>
        <w:tc>
          <w:tcPr>
            <w:tcW w:w="180" w:type="dxa"/>
            <w:vAlign w:val="bottom"/>
            <w:tcBorders>
              <w:top w:val="single" w:sz="8" w:color="0000EE"/>
            </w:tcBorders>
            <w:shd w:val="clear" w:color="auto" w:fill="CBDBD1"/>
          </w:tcPr>
          <w:p>
            <w:pPr>
              <w:spacing w:after="0" w:line="20" w:lineRule="exact"/>
              <w:rPr>
                <w:sz w:val="1"/>
                <w:szCs w:val="1"/>
                <w:color w:val="auto"/>
              </w:rPr>
            </w:pPr>
          </w:p>
        </w:tc>
        <w:tc>
          <w:tcPr>
            <w:tcW w:w="40" w:type="dxa"/>
            <w:vAlign w:val="bottom"/>
            <w:tcBorders>
              <w:top w:val="single" w:sz="8" w:color="0000EE"/>
            </w:tcBorders>
            <w:shd w:val="clear" w:color="auto" w:fill="CBDBD1"/>
          </w:tcPr>
          <w:p>
            <w:pPr>
              <w:spacing w:after="0" w:line="20" w:lineRule="exact"/>
              <w:rPr>
                <w:sz w:val="1"/>
                <w:szCs w:val="1"/>
                <w:color w:val="auto"/>
              </w:rPr>
            </w:pPr>
          </w:p>
        </w:tc>
        <w:tc>
          <w:tcPr>
            <w:tcW w:w="40" w:type="dxa"/>
            <w:vAlign w:val="bottom"/>
            <w:tcBorders>
              <w:top w:val="single" w:sz="8" w:color="0000EE"/>
            </w:tcBorders>
            <w:shd w:val="clear" w:color="auto" w:fill="CBDBD1"/>
          </w:tcPr>
          <w:p>
            <w:pPr>
              <w:spacing w:after="0" w:line="20" w:lineRule="exact"/>
              <w:rPr>
                <w:sz w:val="1"/>
                <w:szCs w:val="1"/>
                <w:color w:val="auto"/>
              </w:rPr>
            </w:pPr>
          </w:p>
        </w:tc>
        <w:tc>
          <w:tcPr>
            <w:tcW w:w="4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340" w:type="dxa"/>
            <w:vAlign w:val="bottom"/>
            <w:tcBorders>
              <w:top w:val="single" w:sz="8" w:color="0000EE"/>
            </w:tcBorders>
            <w:shd w:val="clear" w:color="auto" w:fill="CBDBD1"/>
          </w:tcPr>
          <w:p>
            <w:pPr>
              <w:spacing w:after="0" w:line="20" w:lineRule="exact"/>
              <w:rPr>
                <w:sz w:val="1"/>
                <w:szCs w:val="1"/>
                <w:color w:val="auto"/>
              </w:rPr>
            </w:pPr>
          </w:p>
        </w:tc>
        <w:tc>
          <w:tcPr>
            <w:tcW w:w="440" w:type="dxa"/>
            <w:vAlign w:val="bottom"/>
            <w:tcBorders>
              <w:top w:val="single" w:sz="8" w:color="0000EE"/>
            </w:tcBorders>
            <w:shd w:val="clear" w:color="auto" w:fill="CBDBD1"/>
          </w:tcPr>
          <w:p>
            <w:pPr>
              <w:spacing w:after="0" w:line="20" w:lineRule="exact"/>
              <w:rPr>
                <w:sz w:val="1"/>
                <w:szCs w:val="1"/>
                <w:color w:val="auto"/>
              </w:rPr>
            </w:pPr>
          </w:p>
        </w:tc>
        <w:tc>
          <w:tcPr>
            <w:tcW w:w="320" w:type="dxa"/>
            <w:vAlign w:val="bottom"/>
            <w:tcBorders>
              <w:top w:val="single" w:sz="8" w:color="0000EE"/>
            </w:tcBorders>
            <w:shd w:val="clear" w:color="auto" w:fill="CBDBD1"/>
          </w:tcPr>
          <w:p>
            <w:pPr>
              <w:spacing w:after="0" w:line="20" w:lineRule="exact"/>
              <w:rPr>
                <w:sz w:val="1"/>
                <w:szCs w:val="1"/>
                <w:color w:val="auto"/>
              </w:rPr>
            </w:pPr>
          </w:p>
        </w:tc>
        <w:tc>
          <w:tcPr>
            <w:tcW w:w="260" w:type="dxa"/>
            <w:vAlign w:val="bottom"/>
            <w:tcBorders>
              <w:top w:val="single" w:sz="8" w:color="CBDBD1"/>
            </w:tcBorders>
            <w:shd w:val="clear" w:color="auto" w:fill="CBDBD1"/>
          </w:tcPr>
          <w:p>
            <w:pPr>
              <w:spacing w:after="0" w:line="20" w:lineRule="exact"/>
              <w:rPr>
                <w:sz w:val="1"/>
                <w:szCs w:val="1"/>
                <w:color w:val="auto"/>
              </w:rPr>
            </w:pPr>
          </w:p>
        </w:tc>
        <w:tc>
          <w:tcPr>
            <w:tcW w:w="1100" w:type="dxa"/>
            <w:vAlign w:val="bottom"/>
            <w:tcBorders>
              <w:top w:val="single" w:sz="8" w:color="CBDBD1"/>
            </w:tcBorders>
            <w:shd w:val="clear" w:color="auto" w:fill="CBDBD1"/>
          </w:tcPr>
          <w:p>
            <w:pPr>
              <w:spacing w:after="0" w:line="20" w:lineRule="exact"/>
              <w:rPr>
                <w:sz w:val="1"/>
                <w:szCs w:val="1"/>
                <w:color w:val="auto"/>
              </w:rPr>
            </w:pPr>
          </w:p>
        </w:tc>
        <w:tc>
          <w:tcPr>
            <w:tcW w:w="2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14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0000EE"/>
              <w:right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20" w:type="dxa"/>
            <w:vAlign w:val="bottom"/>
            <w:vMerge w:val="continue"/>
          </w:tcPr>
          <w:p>
            <w:pPr>
              <w:spacing w:after="0"/>
              <w:rPr>
                <w:sz w:val="15"/>
                <w:szCs w:val="15"/>
                <w:color w:val="auto"/>
              </w:rPr>
            </w:pPr>
          </w:p>
        </w:tc>
        <w:tc>
          <w:tcPr>
            <w:tcW w:w="580" w:type="dxa"/>
            <w:vAlign w:val="bottom"/>
            <w:gridSpan w:val="5"/>
          </w:tcPr>
          <w:p>
            <w:pPr>
              <w:spacing w:after="0" w:line="176" w:lineRule="exact"/>
              <w:rPr>
                <w:rFonts w:ascii="Arial" w:cs="Arial" w:eastAsia="Arial" w:hAnsi="Arial"/>
                <w:sz w:val="18"/>
                <w:szCs w:val="18"/>
                <w:color w:val="0000EE"/>
                <w:w w:val="86"/>
              </w:rPr>
            </w:pPr>
            <w:hyperlink w:anchor="page38">
              <w:r>
                <w:rPr>
                  <w:rFonts w:ascii="Arial" w:cs="Arial" w:eastAsia="Arial" w:hAnsi="Arial"/>
                  <w:sz w:val="18"/>
                  <w:szCs w:val="18"/>
                  <w:color w:val="0000EE"/>
                  <w:w w:val="86"/>
                </w:rPr>
                <w:t>Item 11.</w:t>
              </w:r>
            </w:hyperlink>
          </w:p>
        </w:tc>
        <w:tc>
          <w:tcPr>
            <w:tcW w:w="140" w:type="dxa"/>
            <w:vAlign w:val="bottom"/>
            <w:gridSpan w:val="3"/>
          </w:tcPr>
          <w:p>
            <w:pPr>
              <w:spacing w:after="0"/>
              <w:rPr>
                <w:sz w:val="15"/>
                <w:szCs w:val="15"/>
                <w:color w:val="auto"/>
              </w:rPr>
            </w:pPr>
          </w:p>
        </w:tc>
        <w:tc>
          <w:tcPr>
            <w:tcW w:w="4100" w:type="dxa"/>
            <w:vAlign w:val="bottom"/>
            <w:gridSpan w:val="21"/>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Executive Compensation</w:t>
              </w:r>
            </w:hyperlink>
          </w:p>
        </w:tc>
        <w:tc>
          <w:tcPr>
            <w:tcW w:w="1600" w:type="dxa"/>
            <w:vAlign w:val="bottom"/>
            <w:gridSpan w:val="4"/>
          </w:tcPr>
          <w:p>
            <w:pPr>
              <w:spacing w:after="0"/>
              <w:rPr>
                <w:sz w:val="15"/>
                <w:szCs w:val="15"/>
                <w:color w:val="auto"/>
              </w:rPr>
            </w:pPr>
          </w:p>
        </w:tc>
        <w:tc>
          <w:tcPr>
            <w:tcW w:w="160" w:type="dxa"/>
            <w:vAlign w:val="bottom"/>
            <w:gridSpan w:val="2"/>
          </w:tcPr>
          <w:p>
            <w:pPr>
              <w:spacing w:after="0"/>
              <w:rPr>
                <w:sz w:val="15"/>
                <w:szCs w:val="15"/>
                <w:color w:val="auto"/>
              </w:rPr>
            </w:pPr>
          </w:p>
        </w:tc>
        <w:tc>
          <w:tcPr>
            <w:tcW w:w="240" w:type="dxa"/>
            <w:vAlign w:val="bottom"/>
            <w:gridSpan w:val="2"/>
          </w:tcPr>
          <w:p>
            <w:pPr>
              <w:jc w:val="center"/>
              <w:ind w:right="120"/>
              <w:spacing w:after="0"/>
              <w:rPr>
                <w:rFonts w:ascii="Arial" w:cs="Arial" w:eastAsia="Arial" w:hAnsi="Arial"/>
                <w:sz w:val="15"/>
                <w:szCs w:val="15"/>
                <w:color w:val="0000EE"/>
                <w:w w:val="71"/>
              </w:rPr>
            </w:pPr>
            <w:hyperlink w:anchor="page38">
              <w:r>
                <w:rPr>
                  <w:rFonts w:ascii="Arial" w:cs="Arial" w:eastAsia="Arial" w:hAnsi="Arial"/>
                  <w:sz w:val="15"/>
                  <w:szCs w:val="15"/>
                  <w:color w:val="0000EE"/>
                  <w:w w:val="71"/>
                </w:rPr>
                <w:t>26</w:t>
              </w:r>
            </w:hyperlink>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20" w:type="dxa"/>
            <w:vAlign w:val="bottom"/>
            <w:vMerge w:val="restart"/>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20" w:type="dxa"/>
            <w:vAlign w:val="bottom"/>
            <w:vMerge w:val="continue"/>
          </w:tcPr>
          <w:p>
            <w:pPr>
              <w:spacing w:after="0"/>
              <w:rPr>
                <w:sz w:val="15"/>
                <w:szCs w:val="15"/>
                <w:color w:val="auto"/>
              </w:rPr>
            </w:pPr>
          </w:p>
        </w:tc>
        <w:tc>
          <w:tcPr>
            <w:tcW w:w="580" w:type="dxa"/>
            <w:vAlign w:val="bottom"/>
            <w:gridSpan w:val="5"/>
            <w:shd w:val="clear" w:color="auto" w:fill="CBDBD1"/>
          </w:tcPr>
          <w:p>
            <w:pPr>
              <w:spacing w:after="0" w:line="176" w:lineRule="exact"/>
              <w:rPr>
                <w:rFonts w:ascii="Arial" w:cs="Arial" w:eastAsia="Arial" w:hAnsi="Arial"/>
                <w:sz w:val="18"/>
                <w:szCs w:val="18"/>
                <w:color w:val="0000EE"/>
                <w:w w:val="86"/>
              </w:rPr>
            </w:pPr>
            <w:hyperlink w:anchor="page41">
              <w:r>
                <w:rPr>
                  <w:rFonts w:ascii="Arial" w:cs="Arial" w:eastAsia="Arial" w:hAnsi="Arial"/>
                  <w:sz w:val="18"/>
                  <w:szCs w:val="18"/>
                  <w:color w:val="0000EE"/>
                  <w:w w:val="86"/>
                </w:rPr>
                <w:t>Item 12.</w:t>
              </w:r>
            </w:hyperlink>
          </w:p>
        </w:tc>
        <w:tc>
          <w:tcPr>
            <w:tcW w:w="140" w:type="dxa"/>
            <w:vAlign w:val="bottom"/>
            <w:gridSpan w:val="3"/>
            <w:shd w:val="clear" w:color="auto" w:fill="CBDBD1"/>
          </w:tcPr>
          <w:p>
            <w:pPr>
              <w:spacing w:after="0"/>
              <w:rPr>
                <w:sz w:val="15"/>
                <w:szCs w:val="15"/>
                <w:color w:val="auto"/>
              </w:rPr>
            </w:pPr>
          </w:p>
        </w:tc>
        <w:tc>
          <w:tcPr>
            <w:tcW w:w="5700" w:type="dxa"/>
            <w:vAlign w:val="bottom"/>
            <w:gridSpan w:val="25"/>
            <w:shd w:val="clear" w:color="auto" w:fill="CBDBD1"/>
          </w:tcPr>
          <w:p>
            <w:pPr>
              <w:spacing w:after="0" w:line="176" w:lineRule="exact"/>
              <w:rPr>
                <w:rFonts w:ascii="Arial" w:cs="Arial" w:eastAsia="Arial" w:hAnsi="Arial"/>
                <w:sz w:val="18"/>
                <w:szCs w:val="18"/>
                <w:color w:val="0000EE"/>
                <w:w w:val="99"/>
              </w:rPr>
            </w:pPr>
            <w:hyperlink w:anchor="page41">
              <w:r>
                <w:rPr>
                  <w:rFonts w:ascii="Arial" w:cs="Arial" w:eastAsia="Arial" w:hAnsi="Arial"/>
                  <w:sz w:val="18"/>
                  <w:szCs w:val="18"/>
                  <w:color w:val="0000EE"/>
                  <w:w w:val="99"/>
                </w:rPr>
                <w:t>Security Ownership of Certain Beneficial Owners and Management and</w:t>
              </w:r>
            </w:hyperlink>
          </w:p>
        </w:tc>
        <w:tc>
          <w:tcPr>
            <w:tcW w:w="400" w:type="dxa"/>
            <w:vAlign w:val="bottom"/>
            <w:tcBorders>
              <w:right w:val="single" w:sz="8" w:color="CBDBD1"/>
            </w:tcBorders>
            <w:gridSpan w:val="4"/>
            <w:shd w:val="clear" w:color="auto" w:fill="CBDBD1"/>
          </w:tcPr>
          <w:p>
            <w:pPr>
              <w:jc w:val="center"/>
              <w:ind w:right="20"/>
              <w:spacing w:after="0" w:line="17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29</w:t>
              </w:r>
            </w:hyperlink>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320" w:type="dxa"/>
            <w:vAlign w:val="bottom"/>
          </w:tcPr>
          <w:p>
            <w:pPr>
              <w:spacing w:after="0"/>
              <w:rPr>
                <w:sz w:val="17"/>
                <w:szCs w:val="17"/>
                <w:color w:val="auto"/>
              </w:rPr>
            </w:pPr>
          </w:p>
        </w:tc>
        <w:tc>
          <w:tcPr>
            <w:tcW w:w="300" w:type="dxa"/>
            <w:vAlign w:val="bottom"/>
            <w:tcBorders>
              <w:top w:val="single" w:sz="8" w:color="0000EE"/>
            </w:tcBorders>
            <w:shd w:val="clear" w:color="auto" w:fill="CBDBD1"/>
          </w:tcPr>
          <w:p>
            <w:pPr>
              <w:spacing w:after="0"/>
              <w:rPr>
                <w:sz w:val="17"/>
                <w:szCs w:val="17"/>
                <w:color w:val="auto"/>
              </w:rPr>
            </w:pPr>
          </w:p>
        </w:tc>
        <w:tc>
          <w:tcPr>
            <w:tcW w:w="160" w:type="dxa"/>
            <w:vAlign w:val="bottom"/>
            <w:tcBorders>
              <w:top w:val="single" w:sz="8" w:color="0000EE"/>
            </w:tcBorders>
            <w:shd w:val="clear" w:color="auto" w:fill="CBDBD1"/>
          </w:tcPr>
          <w:p>
            <w:pPr>
              <w:spacing w:after="0"/>
              <w:rPr>
                <w:sz w:val="17"/>
                <w:szCs w:val="17"/>
                <w:color w:val="auto"/>
              </w:rPr>
            </w:pPr>
          </w:p>
        </w:tc>
        <w:tc>
          <w:tcPr>
            <w:tcW w:w="20" w:type="dxa"/>
            <w:vAlign w:val="bottom"/>
            <w:tcBorders>
              <w:top w:val="single" w:sz="8" w:color="0000EE"/>
            </w:tcBorders>
            <w:shd w:val="clear" w:color="auto" w:fill="CBDBD1"/>
          </w:tcPr>
          <w:p>
            <w:pPr>
              <w:spacing w:after="0"/>
              <w:rPr>
                <w:sz w:val="17"/>
                <w:szCs w:val="17"/>
                <w:color w:val="auto"/>
              </w:rPr>
            </w:pPr>
          </w:p>
        </w:tc>
        <w:tc>
          <w:tcPr>
            <w:tcW w:w="80" w:type="dxa"/>
            <w:vAlign w:val="bottom"/>
            <w:tcBorders>
              <w:top w:val="single" w:sz="8" w:color="0000EE"/>
            </w:tcBorders>
            <w:shd w:val="clear" w:color="auto" w:fill="CBDBD1"/>
          </w:tcPr>
          <w:p>
            <w:pPr>
              <w:spacing w:after="0"/>
              <w:rPr>
                <w:sz w:val="17"/>
                <w:szCs w:val="17"/>
                <w:color w:val="auto"/>
              </w:rPr>
            </w:pPr>
          </w:p>
        </w:tc>
        <w:tc>
          <w:tcPr>
            <w:tcW w:w="20" w:type="dxa"/>
            <w:vAlign w:val="bottom"/>
            <w:tcBorders>
              <w:top w:val="single" w:sz="8" w:color="0000EE"/>
            </w:tcBorders>
            <w:shd w:val="clear" w:color="auto" w:fill="CBDBD1"/>
          </w:tcPr>
          <w:p>
            <w:pPr>
              <w:spacing w:after="0"/>
              <w:rPr>
                <w:sz w:val="17"/>
                <w:szCs w:val="17"/>
                <w:color w:val="auto"/>
              </w:rPr>
            </w:pPr>
          </w:p>
        </w:tc>
        <w:tc>
          <w:tcPr>
            <w:tcW w:w="20" w:type="dxa"/>
            <w:vAlign w:val="bottom"/>
            <w:tcBorders>
              <w:top w:val="single" w:sz="8" w:color="CBDBD1"/>
            </w:tcBorders>
            <w:shd w:val="clear" w:color="auto" w:fill="CBDBD1"/>
          </w:tcPr>
          <w:p>
            <w:pPr>
              <w:spacing w:after="0"/>
              <w:rPr>
                <w:sz w:val="17"/>
                <w:szCs w:val="17"/>
                <w:color w:val="auto"/>
              </w:rPr>
            </w:pPr>
          </w:p>
        </w:tc>
        <w:tc>
          <w:tcPr>
            <w:tcW w:w="20" w:type="dxa"/>
            <w:vAlign w:val="bottom"/>
            <w:tcBorders>
              <w:top w:val="single" w:sz="8" w:color="CBDBD1"/>
            </w:tcBorders>
            <w:shd w:val="clear" w:color="auto" w:fill="CBDBD1"/>
          </w:tcPr>
          <w:p>
            <w:pPr>
              <w:spacing w:after="0"/>
              <w:rPr>
                <w:sz w:val="17"/>
                <w:szCs w:val="17"/>
                <w:color w:val="auto"/>
              </w:rPr>
            </w:pPr>
          </w:p>
        </w:tc>
        <w:tc>
          <w:tcPr>
            <w:tcW w:w="100" w:type="dxa"/>
            <w:vAlign w:val="bottom"/>
            <w:tcBorders>
              <w:top w:val="single" w:sz="8" w:color="CBDBD1"/>
            </w:tcBorders>
            <w:shd w:val="clear" w:color="auto" w:fill="CBDBD1"/>
          </w:tcPr>
          <w:p>
            <w:pPr>
              <w:spacing w:after="0"/>
              <w:rPr>
                <w:sz w:val="17"/>
                <w:szCs w:val="17"/>
                <w:color w:val="auto"/>
              </w:rPr>
            </w:pPr>
          </w:p>
        </w:tc>
        <w:tc>
          <w:tcPr>
            <w:tcW w:w="5680" w:type="dxa"/>
            <w:vAlign w:val="bottom"/>
            <w:tcBorders>
              <w:top w:val="single" w:sz="8" w:color="0000EE"/>
            </w:tcBorders>
            <w:gridSpan w:val="24"/>
            <w:shd w:val="clear" w:color="auto" w:fill="CBDBD1"/>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Related Stockholder Matters</w:t>
              </w:r>
            </w:hyperlink>
          </w:p>
        </w:tc>
        <w:tc>
          <w:tcPr>
            <w:tcW w:w="20" w:type="dxa"/>
            <w:vAlign w:val="bottom"/>
            <w:tcBorders>
              <w:top w:val="single" w:sz="8" w:color="CBDBD1"/>
            </w:tcBorders>
            <w:shd w:val="clear" w:color="auto" w:fill="CBDBD1"/>
          </w:tcPr>
          <w:p>
            <w:pPr>
              <w:spacing w:after="0"/>
              <w:rPr>
                <w:sz w:val="17"/>
                <w:szCs w:val="17"/>
                <w:color w:val="auto"/>
              </w:rPr>
            </w:pPr>
          </w:p>
        </w:tc>
        <w:tc>
          <w:tcPr>
            <w:tcW w:w="20" w:type="dxa"/>
            <w:vAlign w:val="bottom"/>
            <w:tcBorders>
              <w:top w:val="single" w:sz="8" w:color="CBDBD1"/>
            </w:tcBorders>
            <w:shd w:val="clear" w:color="auto" w:fill="CBDBD1"/>
          </w:tcPr>
          <w:p>
            <w:pPr>
              <w:spacing w:after="0"/>
              <w:rPr>
                <w:sz w:val="17"/>
                <w:szCs w:val="17"/>
                <w:color w:val="auto"/>
              </w:rPr>
            </w:pPr>
          </w:p>
        </w:tc>
        <w:tc>
          <w:tcPr>
            <w:tcW w:w="140" w:type="dxa"/>
            <w:vAlign w:val="bottom"/>
            <w:tcBorders>
              <w:top w:val="single" w:sz="8" w:color="CBDBD1"/>
              <w:right w:val="single" w:sz="8" w:color="CBDBD1"/>
            </w:tcBorders>
            <w:shd w:val="clear" w:color="auto" w:fill="CBDBD1"/>
          </w:tcPr>
          <w:p>
            <w:pPr>
              <w:spacing w:after="0"/>
              <w:rPr>
                <w:sz w:val="17"/>
                <w:szCs w:val="17"/>
                <w:color w:val="auto"/>
              </w:rPr>
            </w:pPr>
          </w:p>
        </w:tc>
        <w:tc>
          <w:tcPr>
            <w:tcW w:w="120" w:type="dxa"/>
            <w:vAlign w:val="bottom"/>
            <w:tcBorders>
              <w:top w:val="single" w:sz="8" w:color="0000EE"/>
              <w:right w:val="single" w:sz="8" w:color="CBDBD1"/>
            </w:tcBorders>
            <w:shd w:val="clear" w:color="auto" w:fill="CBDBD1"/>
          </w:tcPr>
          <w:p>
            <w:pPr>
              <w:spacing w:after="0"/>
              <w:rPr>
                <w:sz w:val="17"/>
                <w:szCs w:val="17"/>
                <w:color w:val="auto"/>
              </w:rPr>
            </w:pPr>
          </w:p>
        </w:tc>
        <w:tc>
          <w:tcPr>
            <w:tcW w:w="120" w:type="dxa"/>
            <w:vAlign w:val="bottom"/>
            <w:tcBorders>
              <w:top w:val="single" w:sz="8" w:color="CBDBD1"/>
              <w:right w:val="single" w:sz="8" w:color="CBDBD1"/>
            </w:tcBorders>
            <w:shd w:val="clear" w:color="auto" w:fill="CBDBD1"/>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320" w:type="dxa"/>
            <w:vAlign w:val="bottom"/>
            <w:vMerge w:val="restart"/>
          </w:tcPr>
          <w:p>
            <w:pPr>
              <w:spacing w:after="0" w:line="20" w:lineRule="exact"/>
              <w:rPr>
                <w:sz w:val="1"/>
                <w:szCs w:val="1"/>
                <w:color w:val="auto"/>
              </w:rPr>
            </w:pPr>
          </w:p>
        </w:tc>
        <w:tc>
          <w:tcPr>
            <w:tcW w:w="300" w:type="dxa"/>
            <w:vAlign w:val="bottom"/>
            <w:tcBorders>
              <w:top w:val="single" w:sz="8" w:color="CBDBD1"/>
            </w:tcBorders>
            <w:shd w:val="clear" w:color="auto" w:fill="CBDBD1"/>
          </w:tcPr>
          <w:p>
            <w:pPr>
              <w:spacing w:after="0" w:line="20" w:lineRule="exact"/>
              <w:rPr>
                <w:sz w:val="1"/>
                <w:szCs w:val="1"/>
                <w:color w:val="auto"/>
              </w:rPr>
            </w:pPr>
          </w:p>
        </w:tc>
        <w:tc>
          <w:tcPr>
            <w:tcW w:w="16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640" w:type="dxa"/>
            <w:vAlign w:val="bottom"/>
            <w:tcBorders>
              <w:top w:val="single" w:sz="8" w:color="0000EE"/>
            </w:tcBorders>
            <w:shd w:val="clear" w:color="auto" w:fill="CBDBD1"/>
          </w:tcPr>
          <w:p>
            <w:pPr>
              <w:spacing w:after="0" w:line="20" w:lineRule="exact"/>
              <w:rPr>
                <w:sz w:val="1"/>
                <w:szCs w:val="1"/>
                <w:color w:val="auto"/>
              </w:rPr>
            </w:pPr>
          </w:p>
        </w:tc>
        <w:tc>
          <w:tcPr>
            <w:tcW w:w="100" w:type="dxa"/>
            <w:vAlign w:val="bottom"/>
            <w:tcBorders>
              <w:top w:val="single" w:sz="8" w:color="0000EE"/>
            </w:tcBorders>
            <w:shd w:val="clear" w:color="auto" w:fill="CBDBD1"/>
          </w:tcPr>
          <w:p>
            <w:pPr>
              <w:spacing w:after="0" w:line="20" w:lineRule="exact"/>
              <w:rPr>
                <w:sz w:val="1"/>
                <w:szCs w:val="1"/>
                <w:color w:val="auto"/>
              </w:rPr>
            </w:pPr>
          </w:p>
        </w:tc>
        <w:tc>
          <w:tcPr>
            <w:tcW w:w="60" w:type="dxa"/>
            <w:vAlign w:val="bottom"/>
            <w:tcBorders>
              <w:top w:val="single" w:sz="8" w:color="0000EE"/>
            </w:tcBorders>
            <w:shd w:val="clear" w:color="auto" w:fill="CBDBD1"/>
          </w:tcPr>
          <w:p>
            <w:pPr>
              <w:spacing w:after="0" w:line="20" w:lineRule="exact"/>
              <w:rPr>
                <w:sz w:val="1"/>
                <w:szCs w:val="1"/>
                <w:color w:val="auto"/>
              </w:rPr>
            </w:pPr>
          </w:p>
        </w:tc>
        <w:tc>
          <w:tcPr>
            <w:tcW w:w="120" w:type="dxa"/>
            <w:vAlign w:val="bottom"/>
            <w:tcBorders>
              <w:top w:val="single" w:sz="8" w:color="0000EE"/>
            </w:tcBorders>
            <w:shd w:val="clear" w:color="auto" w:fill="CBDBD1"/>
          </w:tcPr>
          <w:p>
            <w:pPr>
              <w:spacing w:after="0" w:line="20" w:lineRule="exact"/>
              <w:rPr>
                <w:sz w:val="1"/>
                <w:szCs w:val="1"/>
                <w:color w:val="auto"/>
              </w:rPr>
            </w:pPr>
          </w:p>
        </w:tc>
        <w:tc>
          <w:tcPr>
            <w:tcW w:w="40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160" w:type="dxa"/>
            <w:vAlign w:val="bottom"/>
            <w:tcBorders>
              <w:top w:val="single" w:sz="8" w:color="0000EE"/>
            </w:tcBorders>
            <w:shd w:val="clear" w:color="auto" w:fill="CBDBD1"/>
          </w:tcPr>
          <w:p>
            <w:pPr>
              <w:spacing w:after="0" w:line="20" w:lineRule="exact"/>
              <w:rPr>
                <w:sz w:val="1"/>
                <w:szCs w:val="1"/>
                <w:color w:val="auto"/>
              </w:rPr>
            </w:pPr>
          </w:p>
        </w:tc>
        <w:tc>
          <w:tcPr>
            <w:tcW w:w="320" w:type="dxa"/>
            <w:vAlign w:val="bottom"/>
            <w:tcBorders>
              <w:top w:val="single" w:sz="8" w:color="0000EE"/>
              <w:right w:val="single" w:sz="8" w:color="CBDBD1"/>
            </w:tcBorders>
            <w:shd w:val="clear" w:color="auto" w:fill="CBDBD1"/>
          </w:tcPr>
          <w:p>
            <w:pPr>
              <w:spacing w:after="0" w:line="20" w:lineRule="exact"/>
              <w:rPr>
                <w:sz w:val="1"/>
                <w:szCs w:val="1"/>
                <w:color w:val="auto"/>
              </w:rPr>
            </w:pPr>
          </w:p>
        </w:tc>
        <w:tc>
          <w:tcPr>
            <w:tcW w:w="240" w:type="dxa"/>
            <w:vAlign w:val="bottom"/>
            <w:tcBorders>
              <w:top w:val="single" w:sz="8" w:color="0000EE"/>
            </w:tcBorders>
            <w:shd w:val="clear" w:color="auto" w:fill="CBDBD1"/>
          </w:tcPr>
          <w:p>
            <w:pPr>
              <w:spacing w:after="0" w:line="20" w:lineRule="exact"/>
              <w:rPr>
                <w:sz w:val="1"/>
                <w:szCs w:val="1"/>
                <w:color w:val="auto"/>
              </w:rPr>
            </w:pPr>
          </w:p>
        </w:tc>
        <w:tc>
          <w:tcPr>
            <w:tcW w:w="28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80" w:type="dxa"/>
            <w:vAlign w:val="bottom"/>
            <w:tcBorders>
              <w:top w:val="single" w:sz="8" w:color="CBDBD1"/>
            </w:tcBorders>
            <w:shd w:val="clear" w:color="auto" w:fill="CBDBD1"/>
          </w:tcPr>
          <w:p>
            <w:pPr>
              <w:spacing w:after="0" w:line="20" w:lineRule="exact"/>
              <w:rPr>
                <w:sz w:val="1"/>
                <w:szCs w:val="1"/>
                <w:color w:val="auto"/>
              </w:rPr>
            </w:pPr>
          </w:p>
        </w:tc>
        <w:tc>
          <w:tcPr>
            <w:tcW w:w="18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340" w:type="dxa"/>
            <w:vAlign w:val="bottom"/>
            <w:tcBorders>
              <w:top w:val="single" w:sz="8" w:color="CBDBD1"/>
            </w:tcBorders>
            <w:shd w:val="clear" w:color="auto" w:fill="CBDBD1"/>
          </w:tcPr>
          <w:p>
            <w:pPr>
              <w:spacing w:after="0" w:line="20" w:lineRule="exact"/>
              <w:rPr>
                <w:sz w:val="1"/>
                <w:szCs w:val="1"/>
                <w:color w:val="auto"/>
              </w:rPr>
            </w:pPr>
          </w:p>
        </w:tc>
        <w:tc>
          <w:tcPr>
            <w:tcW w:w="440" w:type="dxa"/>
            <w:vAlign w:val="bottom"/>
            <w:tcBorders>
              <w:top w:val="single" w:sz="8" w:color="CBDBD1"/>
            </w:tcBorders>
            <w:shd w:val="clear" w:color="auto" w:fill="CBDBD1"/>
          </w:tcPr>
          <w:p>
            <w:pPr>
              <w:spacing w:after="0" w:line="20" w:lineRule="exact"/>
              <w:rPr>
                <w:sz w:val="1"/>
                <w:szCs w:val="1"/>
                <w:color w:val="auto"/>
              </w:rPr>
            </w:pPr>
          </w:p>
        </w:tc>
        <w:tc>
          <w:tcPr>
            <w:tcW w:w="320" w:type="dxa"/>
            <w:vAlign w:val="bottom"/>
            <w:tcBorders>
              <w:top w:val="single" w:sz="8" w:color="CBDBD1"/>
            </w:tcBorders>
            <w:shd w:val="clear" w:color="auto" w:fill="CBDBD1"/>
          </w:tcPr>
          <w:p>
            <w:pPr>
              <w:spacing w:after="0" w:line="20" w:lineRule="exact"/>
              <w:rPr>
                <w:sz w:val="1"/>
                <w:szCs w:val="1"/>
                <w:color w:val="auto"/>
              </w:rPr>
            </w:pPr>
          </w:p>
        </w:tc>
        <w:tc>
          <w:tcPr>
            <w:tcW w:w="260" w:type="dxa"/>
            <w:vAlign w:val="bottom"/>
            <w:tcBorders>
              <w:top w:val="single" w:sz="8" w:color="CBDBD1"/>
            </w:tcBorders>
            <w:shd w:val="clear" w:color="auto" w:fill="CBDBD1"/>
          </w:tcPr>
          <w:p>
            <w:pPr>
              <w:spacing w:after="0" w:line="20" w:lineRule="exact"/>
              <w:rPr>
                <w:sz w:val="1"/>
                <w:szCs w:val="1"/>
                <w:color w:val="auto"/>
              </w:rPr>
            </w:pPr>
          </w:p>
        </w:tc>
        <w:tc>
          <w:tcPr>
            <w:tcW w:w="1100" w:type="dxa"/>
            <w:vAlign w:val="bottom"/>
            <w:tcBorders>
              <w:top w:val="single" w:sz="8" w:color="CBDBD1"/>
            </w:tcBorders>
            <w:shd w:val="clear" w:color="auto" w:fill="CBDBD1"/>
          </w:tcPr>
          <w:p>
            <w:pPr>
              <w:spacing w:after="0" w:line="20" w:lineRule="exact"/>
              <w:rPr>
                <w:sz w:val="1"/>
                <w:szCs w:val="1"/>
                <w:color w:val="auto"/>
              </w:rPr>
            </w:pPr>
          </w:p>
        </w:tc>
        <w:tc>
          <w:tcPr>
            <w:tcW w:w="2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14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20" w:type="dxa"/>
            <w:vAlign w:val="bottom"/>
            <w:vMerge w:val="continue"/>
          </w:tcPr>
          <w:p>
            <w:pPr>
              <w:spacing w:after="0"/>
              <w:rPr>
                <w:sz w:val="15"/>
                <w:szCs w:val="15"/>
                <w:color w:val="auto"/>
              </w:rPr>
            </w:pPr>
          </w:p>
        </w:tc>
        <w:tc>
          <w:tcPr>
            <w:tcW w:w="720" w:type="dxa"/>
            <w:vAlign w:val="bottom"/>
            <w:gridSpan w:val="8"/>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Item 13.</w:t>
              </w:r>
            </w:hyperlink>
          </w:p>
        </w:tc>
        <w:tc>
          <w:tcPr>
            <w:tcW w:w="5700" w:type="dxa"/>
            <w:vAlign w:val="bottom"/>
            <w:gridSpan w:val="25"/>
          </w:tcPr>
          <w:p>
            <w:pPr>
              <w:spacing w:after="0" w:line="176" w:lineRule="exact"/>
              <w:rPr>
                <w:rFonts w:ascii="Arial" w:cs="Arial" w:eastAsia="Arial" w:hAnsi="Arial"/>
                <w:sz w:val="18"/>
                <w:szCs w:val="18"/>
                <w:color w:val="0000EE"/>
                <w:w w:val="93"/>
              </w:rPr>
            </w:pPr>
            <w:hyperlink w:anchor="page42">
              <w:r>
                <w:rPr>
                  <w:rFonts w:ascii="Arial" w:cs="Arial" w:eastAsia="Arial" w:hAnsi="Arial"/>
                  <w:sz w:val="18"/>
                  <w:szCs w:val="18"/>
                  <w:color w:val="0000EE"/>
                  <w:w w:val="93"/>
                </w:rPr>
                <w:t>Certain Relationships and Related Transactions, and Director Independence</w:t>
              </w:r>
            </w:hyperlink>
          </w:p>
        </w:tc>
        <w:tc>
          <w:tcPr>
            <w:tcW w:w="400" w:type="dxa"/>
            <w:vAlign w:val="bottom"/>
            <w:gridSpan w:val="4"/>
          </w:tcPr>
          <w:p>
            <w:pPr>
              <w:jc w:val="center"/>
              <w:ind w:right="20"/>
              <w:spacing w:after="0" w:line="17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30</w:t>
              </w:r>
            </w:hyperlink>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20" w:type="dxa"/>
            <w:vAlign w:val="bottom"/>
            <w:vMerge w:val="restart"/>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20" w:type="dxa"/>
            <w:vAlign w:val="bottom"/>
            <w:vMerge w:val="continue"/>
          </w:tcPr>
          <w:p>
            <w:pPr>
              <w:spacing w:after="0"/>
              <w:rPr>
                <w:sz w:val="15"/>
                <w:szCs w:val="15"/>
                <w:color w:val="auto"/>
              </w:rPr>
            </w:pPr>
          </w:p>
        </w:tc>
        <w:tc>
          <w:tcPr>
            <w:tcW w:w="580" w:type="dxa"/>
            <w:vAlign w:val="bottom"/>
            <w:gridSpan w:val="5"/>
            <w:shd w:val="clear" w:color="auto" w:fill="CBDBD1"/>
          </w:tcPr>
          <w:p>
            <w:pPr>
              <w:spacing w:after="0" w:line="176" w:lineRule="exact"/>
              <w:rPr>
                <w:rFonts w:ascii="Arial" w:cs="Arial" w:eastAsia="Arial" w:hAnsi="Arial"/>
                <w:sz w:val="18"/>
                <w:szCs w:val="18"/>
                <w:color w:val="0000EE"/>
                <w:w w:val="86"/>
              </w:rPr>
            </w:pPr>
            <w:hyperlink w:anchor="page42">
              <w:r>
                <w:rPr>
                  <w:rFonts w:ascii="Arial" w:cs="Arial" w:eastAsia="Arial" w:hAnsi="Arial"/>
                  <w:sz w:val="18"/>
                  <w:szCs w:val="18"/>
                  <w:color w:val="0000EE"/>
                  <w:w w:val="86"/>
                </w:rPr>
                <w:t>Item 14.</w:t>
              </w:r>
            </w:hyperlink>
          </w:p>
        </w:tc>
        <w:tc>
          <w:tcPr>
            <w:tcW w:w="140" w:type="dxa"/>
            <w:vAlign w:val="bottom"/>
            <w:gridSpan w:val="3"/>
            <w:shd w:val="clear" w:color="auto" w:fill="CBDBD1"/>
          </w:tcPr>
          <w:p>
            <w:pPr>
              <w:spacing w:after="0"/>
              <w:rPr>
                <w:sz w:val="15"/>
                <w:szCs w:val="15"/>
                <w:color w:val="auto"/>
              </w:rPr>
            </w:pPr>
          </w:p>
        </w:tc>
        <w:tc>
          <w:tcPr>
            <w:tcW w:w="5700" w:type="dxa"/>
            <w:vAlign w:val="bottom"/>
            <w:gridSpan w:val="25"/>
            <w:shd w:val="clear" w:color="auto" w:fill="CBDBD1"/>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Principal Accountant Fees and Services</w:t>
              </w:r>
            </w:hyperlink>
          </w:p>
        </w:tc>
        <w:tc>
          <w:tcPr>
            <w:tcW w:w="400" w:type="dxa"/>
            <w:vAlign w:val="bottom"/>
            <w:tcBorders>
              <w:right w:val="single" w:sz="8" w:color="CBDBD1"/>
            </w:tcBorders>
            <w:gridSpan w:val="4"/>
            <w:shd w:val="clear" w:color="auto" w:fill="CBDBD1"/>
          </w:tcPr>
          <w:p>
            <w:pPr>
              <w:jc w:val="center"/>
              <w:ind w:right="20"/>
              <w:spacing w:after="0" w:line="17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30</w:t>
              </w:r>
            </w:hyperlink>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20" w:type="dxa"/>
            <w:vAlign w:val="bottom"/>
          </w:tcPr>
          <w:p>
            <w:pPr>
              <w:spacing w:after="0" w:line="20" w:lineRule="exact"/>
              <w:rPr>
                <w:sz w:val="1"/>
                <w:szCs w:val="1"/>
                <w:color w:val="auto"/>
              </w:rPr>
            </w:pPr>
          </w:p>
        </w:tc>
        <w:tc>
          <w:tcPr>
            <w:tcW w:w="300" w:type="dxa"/>
            <w:vAlign w:val="bottom"/>
            <w:tcBorders>
              <w:top w:val="single" w:sz="8" w:color="0000EE"/>
            </w:tcBorders>
            <w:shd w:val="clear" w:color="auto" w:fill="CBDBD1"/>
          </w:tcPr>
          <w:p>
            <w:pPr>
              <w:spacing w:after="0" w:line="20" w:lineRule="exact"/>
              <w:rPr>
                <w:sz w:val="1"/>
                <w:szCs w:val="1"/>
                <w:color w:val="auto"/>
              </w:rPr>
            </w:pPr>
          </w:p>
        </w:tc>
        <w:tc>
          <w:tcPr>
            <w:tcW w:w="16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8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640" w:type="dxa"/>
            <w:vAlign w:val="bottom"/>
            <w:tcBorders>
              <w:top w:val="single" w:sz="8" w:color="0000EE"/>
            </w:tcBorders>
            <w:shd w:val="clear" w:color="auto" w:fill="CBDBD1"/>
          </w:tcPr>
          <w:p>
            <w:pPr>
              <w:spacing w:after="0" w:line="20" w:lineRule="exact"/>
              <w:rPr>
                <w:sz w:val="1"/>
                <w:szCs w:val="1"/>
                <w:color w:val="auto"/>
              </w:rPr>
            </w:pPr>
          </w:p>
        </w:tc>
        <w:tc>
          <w:tcPr>
            <w:tcW w:w="100" w:type="dxa"/>
            <w:vAlign w:val="bottom"/>
            <w:tcBorders>
              <w:top w:val="single" w:sz="8" w:color="0000EE"/>
            </w:tcBorders>
            <w:shd w:val="clear" w:color="auto" w:fill="CBDBD1"/>
          </w:tcPr>
          <w:p>
            <w:pPr>
              <w:spacing w:after="0" w:line="20" w:lineRule="exact"/>
              <w:rPr>
                <w:sz w:val="1"/>
                <w:szCs w:val="1"/>
                <w:color w:val="auto"/>
              </w:rPr>
            </w:pPr>
          </w:p>
        </w:tc>
        <w:tc>
          <w:tcPr>
            <w:tcW w:w="60" w:type="dxa"/>
            <w:vAlign w:val="bottom"/>
            <w:tcBorders>
              <w:top w:val="single" w:sz="8" w:color="0000EE"/>
            </w:tcBorders>
            <w:shd w:val="clear" w:color="auto" w:fill="CBDBD1"/>
          </w:tcPr>
          <w:p>
            <w:pPr>
              <w:spacing w:after="0" w:line="20" w:lineRule="exact"/>
              <w:rPr>
                <w:sz w:val="1"/>
                <w:szCs w:val="1"/>
                <w:color w:val="auto"/>
              </w:rPr>
            </w:pPr>
          </w:p>
        </w:tc>
        <w:tc>
          <w:tcPr>
            <w:tcW w:w="120" w:type="dxa"/>
            <w:vAlign w:val="bottom"/>
            <w:tcBorders>
              <w:top w:val="single" w:sz="8" w:color="0000EE"/>
            </w:tcBorders>
            <w:shd w:val="clear" w:color="auto" w:fill="CBDBD1"/>
          </w:tcPr>
          <w:p>
            <w:pPr>
              <w:spacing w:after="0" w:line="20" w:lineRule="exact"/>
              <w:rPr>
                <w:sz w:val="1"/>
                <w:szCs w:val="1"/>
                <w:color w:val="auto"/>
              </w:rPr>
            </w:pPr>
          </w:p>
        </w:tc>
        <w:tc>
          <w:tcPr>
            <w:tcW w:w="40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160" w:type="dxa"/>
            <w:vAlign w:val="bottom"/>
            <w:tcBorders>
              <w:top w:val="single" w:sz="8" w:color="0000EE"/>
            </w:tcBorders>
            <w:shd w:val="clear" w:color="auto" w:fill="CBDBD1"/>
          </w:tcPr>
          <w:p>
            <w:pPr>
              <w:spacing w:after="0" w:line="20" w:lineRule="exact"/>
              <w:rPr>
                <w:sz w:val="1"/>
                <w:szCs w:val="1"/>
                <w:color w:val="auto"/>
              </w:rPr>
            </w:pPr>
          </w:p>
        </w:tc>
        <w:tc>
          <w:tcPr>
            <w:tcW w:w="320" w:type="dxa"/>
            <w:vAlign w:val="bottom"/>
            <w:tcBorders>
              <w:top w:val="single" w:sz="8" w:color="0000EE"/>
              <w:right w:val="single" w:sz="8" w:color="CBDBD1"/>
            </w:tcBorders>
            <w:shd w:val="clear" w:color="auto" w:fill="CBDBD1"/>
          </w:tcPr>
          <w:p>
            <w:pPr>
              <w:spacing w:after="0" w:line="20" w:lineRule="exact"/>
              <w:rPr>
                <w:sz w:val="1"/>
                <w:szCs w:val="1"/>
                <w:color w:val="auto"/>
              </w:rPr>
            </w:pPr>
          </w:p>
        </w:tc>
        <w:tc>
          <w:tcPr>
            <w:tcW w:w="240" w:type="dxa"/>
            <w:vAlign w:val="bottom"/>
            <w:tcBorders>
              <w:top w:val="single" w:sz="8" w:color="0000EE"/>
            </w:tcBorders>
            <w:shd w:val="clear" w:color="auto" w:fill="CBDBD1"/>
          </w:tcPr>
          <w:p>
            <w:pPr>
              <w:spacing w:after="0" w:line="20" w:lineRule="exact"/>
              <w:rPr>
                <w:sz w:val="1"/>
                <w:szCs w:val="1"/>
                <w:color w:val="auto"/>
              </w:rPr>
            </w:pPr>
          </w:p>
        </w:tc>
        <w:tc>
          <w:tcPr>
            <w:tcW w:w="280" w:type="dxa"/>
            <w:vAlign w:val="bottom"/>
            <w:tcBorders>
              <w:top w:val="single" w:sz="8" w:color="0000EE"/>
            </w:tcBorders>
            <w:shd w:val="clear" w:color="auto" w:fill="CBDBD1"/>
          </w:tcPr>
          <w:p>
            <w:pPr>
              <w:spacing w:after="0" w:line="20" w:lineRule="exact"/>
              <w:rPr>
                <w:sz w:val="1"/>
                <w:szCs w:val="1"/>
                <w:color w:val="auto"/>
              </w:rPr>
            </w:pPr>
          </w:p>
        </w:tc>
        <w:tc>
          <w:tcPr>
            <w:tcW w:w="4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280" w:type="dxa"/>
            <w:vAlign w:val="bottom"/>
            <w:tcBorders>
              <w:top w:val="single" w:sz="8" w:color="0000EE"/>
            </w:tcBorders>
            <w:shd w:val="clear" w:color="auto" w:fill="CBDBD1"/>
          </w:tcPr>
          <w:p>
            <w:pPr>
              <w:spacing w:after="0" w:line="20" w:lineRule="exact"/>
              <w:rPr>
                <w:sz w:val="1"/>
                <w:szCs w:val="1"/>
                <w:color w:val="auto"/>
              </w:rPr>
            </w:pPr>
          </w:p>
        </w:tc>
        <w:tc>
          <w:tcPr>
            <w:tcW w:w="180" w:type="dxa"/>
            <w:vAlign w:val="bottom"/>
            <w:tcBorders>
              <w:top w:val="single" w:sz="8" w:color="0000EE"/>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340" w:type="dxa"/>
            <w:vAlign w:val="bottom"/>
            <w:tcBorders>
              <w:top w:val="single" w:sz="8" w:color="CBDBD1"/>
            </w:tcBorders>
            <w:shd w:val="clear" w:color="auto" w:fill="CBDBD1"/>
          </w:tcPr>
          <w:p>
            <w:pPr>
              <w:spacing w:after="0" w:line="20" w:lineRule="exact"/>
              <w:rPr>
                <w:sz w:val="1"/>
                <w:szCs w:val="1"/>
                <w:color w:val="auto"/>
              </w:rPr>
            </w:pPr>
          </w:p>
        </w:tc>
        <w:tc>
          <w:tcPr>
            <w:tcW w:w="440" w:type="dxa"/>
            <w:vAlign w:val="bottom"/>
            <w:tcBorders>
              <w:top w:val="single" w:sz="8" w:color="CBDBD1"/>
            </w:tcBorders>
            <w:shd w:val="clear" w:color="auto" w:fill="CBDBD1"/>
          </w:tcPr>
          <w:p>
            <w:pPr>
              <w:spacing w:after="0" w:line="20" w:lineRule="exact"/>
              <w:rPr>
                <w:sz w:val="1"/>
                <w:szCs w:val="1"/>
                <w:color w:val="auto"/>
              </w:rPr>
            </w:pPr>
          </w:p>
        </w:tc>
        <w:tc>
          <w:tcPr>
            <w:tcW w:w="320" w:type="dxa"/>
            <w:vAlign w:val="bottom"/>
            <w:tcBorders>
              <w:top w:val="single" w:sz="8" w:color="CBDBD1"/>
            </w:tcBorders>
            <w:shd w:val="clear" w:color="auto" w:fill="CBDBD1"/>
          </w:tcPr>
          <w:p>
            <w:pPr>
              <w:spacing w:after="0" w:line="20" w:lineRule="exact"/>
              <w:rPr>
                <w:sz w:val="1"/>
                <w:szCs w:val="1"/>
                <w:color w:val="auto"/>
              </w:rPr>
            </w:pPr>
          </w:p>
        </w:tc>
        <w:tc>
          <w:tcPr>
            <w:tcW w:w="260" w:type="dxa"/>
            <w:vAlign w:val="bottom"/>
            <w:tcBorders>
              <w:top w:val="single" w:sz="8" w:color="CBDBD1"/>
            </w:tcBorders>
            <w:shd w:val="clear" w:color="auto" w:fill="CBDBD1"/>
          </w:tcPr>
          <w:p>
            <w:pPr>
              <w:spacing w:after="0" w:line="20" w:lineRule="exact"/>
              <w:rPr>
                <w:sz w:val="1"/>
                <w:szCs w:val="1"/>
                <w:color w:val="auto"/>
              </w:rPr>
            </w:pPr>
          </w:p>
        </w:tc>
        <w:tc>
          <w:tcPr>
            <w:tcW w:w="1100" w:type="dxa"/>
            <w:vAlign w:val="bottom"/>
            <w:tcBorders>
              <w:top w:val="single" w:sz="8" w:color="CBDBD1"/>
            </w:tcBorders>
            <w:shd w:val="clear" w:color="auto" w:fill="CBDBD1"/>
          </w:tcPr>
          <w:p>
            <w:pPr>
              <w:spacing w:after="0" w:line="20" w:lineRule="exact"/>
              <w:rPr>
                <w:sz w:val="1"/>
                <w:szCs w:val="1"/>
                <w:color w:val="auto"/>
              </w:rPr>
            </w:pPr>
          </w:p>
        </w:tc>
        <w:tc>
          <w:tcPr>
            <w:tcW w:w="2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14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0000EE"/>
              <w:right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60" w:type="dxa"/>
            <w:vAlign w:val="bottom"/>
            <w:gridSpan w:val="15"/>
          </w:tcPr>
          <w:p>
            <w:pPr>
              <w:jc w:val="center"/>
              <w:ind w:right="2700"/>
              <w:spacing w:after="0"/>
              <w:rPr>
                <w:sz w:val="20"/>
                <w:szCs w:val="20"/>
                <w:color w:val="auto"/>
              </w:rPr>
            </w:pPr>
            <w:r>
              <w:rPr>
                <w:rFonts w:ascii="Arial" w:cs="Arial" w:eastAsia="Arial" w:hAnsi="Arial"/>
                <w:sz w:val="18"/>
                <w:szCs w:val="18"/>
                <w:color w:val="auto"/>
                <w:w w:val="94"/>
              </w:rPr>
              <w:t>PART IV</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20" w:type="dxa"/>
            <w:vAlign w:val="bottom"/>
            <w:vMerge w:val="restart"/>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320" w:type="dxa"/>
            <w:vAlign w:val="bottom"/>
            <w:vMerge w:val="continue"/>
          </w:tcPr>
          <w:p>
            <w:pPr>
              <w:spacing w:after="0"/>
              <w:rPr>
                <w:sz w:val="17"/>
                <w:szCs w:val="17"/>
                <w:color w:val="auto"/>
              </w:rPr>
            </w:pPr>
          </w:p>
        </w:tc>
        <w:tc>
          <w:tcPr>
            <w:tcW w:w="720" w:type="dxa"/>
            <w:vAlign w:val="bottom"/>
            <w:gridSpan w:val="8"/>
            <w:shd w:val="clear" w:color="auto" w:fill="CBDBD1"/>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Item 15.</w:t>
              </w:r>
            </w:hyperlink>
          </w:p>
        </w:tc>
        <w:tc>
          <w:tcPr>
            <w:tcW w:w="5700" w:type="dxa"/>
            <w:vAlign w:val="bottom"/>
            <w:gridSpan w:val="25"/>
            <w:shd w:val="clear" w:color="auto" w:fill="CBDBD1"/>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Exhibits, Financial Statement Schedules</w:t>
              </w:r>
            </w:hyperlink>
          </w:p>
        </w:tc>
        <w:tc>
          <w:tcPr>
            <w:tcW w:w="400" w:type="dxa"/>
            <w:vAlign w:val="bottom"/>
            <w:tcBorders>
              <w:right w:val="single" w:sz="8" w:color="CBDBD1"/>
            </w:tcBorders>
            <w:gridSpan w:val="4"/>
            <w:shd w:val="clear" w:color="auto" w:fill="CBDBD1"/>
          </w:tcPr>
          <w:p>
            <w:pPr>
              <w:jc w:val="center"/>
              <w:ind w:right="20"/>
              <w:spacing w:after="0" w:line="17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31</w:t>
              </w:r>
            </w:hyperlink>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2"/>
        </w:trPr>
        <w:tc>
          <w:tcPr>
            <w:tcW w:w="23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CBDBD1"/>
            </w:tcBorders>
          </w:tcPr>
          <w:p>
            <w:pPr>
              <w:spacing w:after="0"/>
              <w:rPr>
                <w:sz w:val="24"/>
                <w:szCs w:val="24"/>
                <w:color w:val="auto"/>
              </w:rPr>
            </w:pPr>
          </w:p>
        </w:tc>
        <w:tc>
          <w:tcPr>
            <w:tcW w:w="20" w:type="dxa"/>
            <w:vAlign w:val="bottom"/>
            <w:tcBorders>
              <w:top w:val="single" w:sz="8" w:color="CBDBD1"/>
            </w:tcBorders>
          </w:tcPr>
          <w:p>
            <w:pPr>
              <w:spacing w:after="0"/>
              <w:rPr>
                <w:sz w:val="24"/>
                <w:szCs w:val="24"/>
                <w:color w:val="auto"/>
              </w:rPr>
            </w:pPr>
          </w:p>
        </w:tc>
        <w:tc>
          <w:tcPr>
            <w:tcW w:w="100" w:type="dxa"/>
            <w:vAlign w:val="bottom"/>
            <w:tcBorders>
              <w:top w:val="single" w:sz="8" w:color="CBDBD1"/>
            </w:tcBorders>
          </w:tcPr>
          <w:p>
            <w:pPr>
              <w:spacing w:after="0"/>
              <w:rPr>
                <w:sz w:val="24"/>
                <w:szCs w:val="24"/>
                <w:color w:val="auto"/>
              </w:rPr>
            </w:pPr>
          </w:p>
        </w:tc>
        <w:tc>
          <w:tcPr>
            <w:tcW w:w="2860" w:type="dxa"/>
            <w:vAlign w:val="bottom"/>
            <w:tcBorders>
              <w:top w:val="single" w:sz="8" w:color="0000EE"/>
            </w:tcBorders>
            <w:gridSpan w:val="14"/>
          </w:tcPr>
          <w:p>
            <w:pPr>
              <w:jc w:val="center"/>
              <w:ind w:left="2390"/>
              <w:spacing w:after="0"/>
              <w:rPr>
                <w:sz w:val="20"/>
                <w:szCs w:val="20"/>
                <w:color w:val="auto"/>
              </w:rPr>
            </w:pPr>
            <w:r>
              <w:rPr>
                <w:rFonts w:ascii="Arial" w:cs="Arial" w:eastAsia="Arial" w:hAnsi="Arial"/>
                <w:sz w:val="18"/>
                <w:szCs w:val="18"/>
                <w:color w:val="auto"/>
                <w:w w:val="99"/>
              </w:rPr>
              <w:t>2</w:t>
            </w: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CBDBD1"/>
            </w:tcBorders>
          </w:tcPr>
          <w:p>
            <w:pPr>
              <w:spacing w:after="0"/>
              <w:rPr>
                <w:sz w:val="24"/>
                <w:szCs w:val="24"/>
                <w:color w:val="auto"/>
              </w:rPr>
            </w:pPr>
          </w:p>
        </w:tc>
        <w:tc>
          <w:tcPr>
            <w:tcW w:w="40" w:type="dxa"/>
            <w:vAlign w:val="bottom"/>
            <w:tcBorders>
              <w:top w:val="single" w:sz="8" w:color="CBDBD1"/>
            </w:tcBorders>
          </w:tcPr>
          <w:p>
            <w:pPr>
              <w:spacing w:after="0"/>
              <w:rPr>
                <w:sz w:val="24"/>
                <w:szCs w:val="24"/>
                <w:color w:val="auto"/>
              </w:rPr>
            </w:pPr>
          </w:p>
        </w:tc>
        <w:tc>
          <w:tcPr>
            <w:tcW w:w="20" w:type="dxa"/>
            <w:vAlign w:val="bottom"/>
            <w:tcBorders>
              <w:top w:val="single" w:sz="8" w:color="CBDBD1"/>
            </w:tcBorders>
          </w:tcPr>
          <w:p>
            <w:pPr>
              <w:spacing w:after="0"/>
              <w:rPr>
                <w:sz w:val="24"/>
                <w:szCs w:val="24"/>
                <w:color w:val="auto"/>
              </w:rPr>
            </w:pPr>
          </w:p>
        </w:tc>
        <w:tc>
          <w:tcPr>
            <w:tcW w:w="340" w:type="dxa"/>
            <w:vAlign w:val="bottom"/>
            <w:tcBorders>
              <w:top w:val="single" w:sz="8" w:color="CBDBD1"/>
            </w:tcBorders>
          </w:tcPr>
          <w:p>
            <w:pPr>
              <w:spacing w:after="0"/>
              <w:rPr>
                <w:sz w:val="24"/>
                <w:szCs w:val="24"/>
                <w:color w:val="auto"/>
              </w:rPr>
            </w:pPr>
          </w:p>
        </w:tc>
        <w:tc>
          <w:tcPr>
            <w:tcW w:w="440" w:type="dxa"/>
            <w:vAlign w:val="bottom"/>
            <w:tcBorders>
              <w:top w:val="single" w:sz="8" w:color="CBDBD1"/>
            </w:tcBorders>
          </w:tcPr>
          <w:p>
            <w:pPr>
              <w:spacing w:after="0"/>
              <w:rPr>
                <w:sz w:val="24"/>
                <w:szCs w:val="24"/>
                <w:color w:val="auto"/>
              </w:rPr>
            </w:pPr>
          </w:p>
        </w:tc>
        <w:tc>
          <w:tcPr>
            <w:tcW w:w="320" w:type="dxa"/>
            <w:vAlign w:val="bottom"/>
            <w:tcBorders>
              <w:top w:val="single" w:sz="8" w:color="CBDBD1"/>
            </w:tcBorders>
          </w:tcPr>
          <w:p>
            <w:pPr>
              <w:spacing w:after="0"/>
              <w:rPr>
                <w:sz w:val="24"/>
                <w:szCs w:val="24"/>
                <w:color w:val="auto"/>
              </w:rPr>
            </w:pPr>
          </w:p>
        </w:tc>
        <w:tc>
          <w:tcPr>
            <w:tcW w:w="260" w:type="dxa"/>
            <w:vAlign w:val="bottom"/>
            <w:tcBorders>
              <w:top w:val="single" w:sz="8" w:color="CBDBD1"/>
            </w:tcBorders>
          </w:tcPr>
          <w:p>
            <w:pPr>
              <w:spacing w:after="0"/>
              <w:rPr>
                <w:sz w:val="24"/>
                <w:szCs w:val="24"/>
                <w:color w:val="auto"/>
              </w:rPr>
            </w:pPr>
          </w:p>
        </w:tc>
        <w:tc>
          <w:tcPr>
            <w:tcW w:w="1100" w:type="dxa"/>
            <w:vAlign w:val="bottom"/>
            <w:tcBorders>
              <w:top w:val="single" w:sz="8" w:color="CBDBD1"/>
            </w:tcBorders>
          </w:tcPr>
          <w:p>
            <w:pPr>
              <w:spacing w:after="0"/>
              <w:rPr>
                <w:sz w:val="24"/>
                <w:szCs w:val="24"/>
                <w:color w:val="auto"/>
              </w:rPr>
            </w:pPr>
          </w:p>
        </w:tc>
        <w:tc>
          <w:tcPr>
            <w:tcW w:w="220" w:type="dxa"/>
            <w:vAlign w:val="bottom"/>
            <w:tcBorders>
              <w:top w:val="single" w:sz="8" w:color="CBDBD1"/>
            </w:tcBorders>
          </w:tcPr>
          <w:p>
            <w:pPr>
              <w:spacing w:after="0"/>
              <w:rPr>
                <w:sz w:val="24"/>
                <w:szCs w:val="24"/>
                <w:color w:val="auto"/>
              </w:rPr>
            </w:pPr>
          </w:p>
        </w:tc>
        <w:tc>
          <w:tcPr>
            <w:tcW w:w="20" w:type="dxa"/>
            <w:vAlign w:val="bottom"/>
            <w:tcBorders>
              <w:top w:val="single" w:sz="8" w:color="CBDBD1"/>
            </w:tcBorders>
          </w:tcPr>
          <w:p>
            <w:pPr>
              <w:spacing w:after="0"/>
              <w:rPr>
                <w:sz w:val="24"/>
                <w:szCs w:val="24"/>
                <w:color w:val="auto"/>
              </w:rPr>
            </w:pPr>
          </w:p>
        </w:tc>
        <w:tc>
          <w:tcPr>
            <w:tcW w:w="20" w:type="dxa"/>
            <w:vAlign w:val="bottom"/>
            <w:tcBorders>
              <w:top w:val="single" w:sz="8" w:color="CBDBD1"/>
            </w:tcBorders>
          </w:tcPr>
          <w:p>
            <w:pPr>
              <w:spacing w:after="0"/>
              <w:rPr>
                <w:sz w:val="24"/>
                <w:szCs w:val="24"/>
                <w:color w:val="auto"/>
              </w:rPr>
            </w:pPr>
          </w:p>
        </w:tc>
        <w:tc>
          <w:tcPr>
            <w:tcW w:w="140" w:type="dxa"/>
            <w:vAlign w:val="bottom"/>
            <w:tcBorders>
              <w:top w:val="single" w:sz="8" w:color="CBDBD1"/>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CBDBD1"/>
            </w:tcBorders>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3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-5498465</wp:posOffset>
            </wp:positionV>
            <wp:extent cx="285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5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conduct all of our operations through our wholly-owned subsidiary, OptimizeRx Michigan. We are a development-stage company that has developed a direct to consumer website, www.optimizerx.com (our “Site”), to help medical patients better afford and manage their rising healthcare costs. In addition, we provide unique advertising programs to the pharmaceutical and healthcare industries.</w:t>
      </w:r>
    </w:p>
    <w:p>
      <w:pPr>
        <w:spacing w:after="0" w:line="20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recognize that patients have increasing influence in their healthcare decisions, particularly in their medications: what to buy, where to buy, and how to buy. However, there is very little information available to consumers regarding how to access available savings and support programs. We developed our Site to enable consumers to meet their prescribed pharmacological therapies in the most cost-effective manner possible. Our Site is a portal that identifies programs and savings that are available to consumers, based upon their needs. By creating a portal by which consumers access savings on their pharmaceutical needs, we have also created a Site where pharmaceutical companies can reach consumers with their advertising and other programs.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 and Applications</w:t>
      </w:r>
    </w:p>
    <w:p>
      <w:pPr>
        <w:spacing w:after="0" w:line="256" w:lineRule="exact"/>
        <w:rPr>
          <w:sz w:val="20"/>
          <w:szCs w:val="20"/>
          <w:color w:val="auto"/>
        </w:rPr>
      </w:pPr>
    </w:p>
    <w:p>
      <w:pPr>
        <w:ind w:left="1740" w:right="180" w:hanging="934"/>
        <w:spacing w:after="0" w:line="297" w:lineRule="auto"/>
        <w:tabs>
          <w:tab w:leader="none" w:pos="1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OPTIMIZERx.com – Our Site is a portal to healthcare savings for patients to centrally review and participate in prescription and healthcare savings and support programs. We strive to provide all the information and guidance that patients undergoing long-term pharmaceutical treatments may require. Patients can search by their medication or their condition in order to access educational information regarding their condition, information regarding their medication, coupons for instant savings when they purchase their medications, information on free drug trials, and guidance to any other savings programs available to them.</w:t>
      </w:r>
    </w:p>
    <w:p>
      <w:pPr>
        <w:spacing w:after="0" w:line="158" w:lineRule="exact"/>
        <w:rPr>
          <w:rFonts w:ascii="Arial" w:cs="Arial" w:eastAsia="Arial" w:hAnsi="Arial"/>
          <w:sz w:val="16"/>
          <w:szCs w:val="16"/>
          <w:color w:val="auto"/>
        </w:rPr>
      </w:pPr>
    </w:p>
    <w:p>
      <w:pPr>
        <w:ind w:left="1740" w:right="180"/>
        <w:spacing w:after="0" w:line="279" w:lineRule="auto"/>
        <w:rPr>
          <w:rFonts w:ascii="Arial" w:cs="Arial" w:eastAsia="Arial" w:hAnsi="Arial"/>
          <w:sz w:val="16"/>
          <w:szCs w:val="16"/>
          <w:color w:val="auto"/>
        </w:rPr>
      </w:pPr>
      <w:r>
        <w:rPr>
          <w:rFonts w:ascii="Arial" w:cs="Arial" w:eastAsia="Arial" w:hAnsi="Arial"/>
          <w:sz w:val="17"/>
          <w:szCs w:val="17"/>
          <w:color w:val="auto"/>
        </w:rPr>
        <w:t>By providing information as well as significant savings opportunities to users of our Site, we hope to become the default medical website for both patients and the pharmaceutical industry. We feel that the aging of the baby boom generation, combined with the preponderance of internet usage to access information and savings in all areas, has created a large potential market for our Site. The Site is also the launching point for our other products, OFFERx and ADHERxE.</w:t>
      </w:r>
    </w:p>
    <w:p>
      <w:pPr>
        <w:spacing w:after="0" w:line="198" w:lineRule="exact"/>
        <w:rPr>
          <w:rFonts w:ascii="Arial" w:cs="Arial" w:eastAsia="Arial" w:hAnsi="Arial"/>
          <w:sz w:val="16"/>
          <w:szCs w:val="16"/>
          <w:color w:val="auto"/>
        </w:rPr>
      </w:pPr>
    </w:p>
    <w:p>
      <w:pPr>
        <w:ind w:left="1740" w:right="240" w:hanging="934"/>
        <w:spacing w:after="0" w:line="297" w:lineRule="auto"/>
        <w:tabs>
          <w:tab w:leader="none" w:pos="1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OFFERx – We have entered into an exclusive relationship with Cegedim Dendrite’s OPUS Health division (“OPUS”). OPUS specializes in developing pharmaceutical sales and marketing programs, having pioneered the use of pharmacy loyalty cards. They also have the largest pharmacy network in the industry, having contracted with over 61,000 pharmacies. Through our relationship with OPUS, we gain access to and have the opportunity to offer programs for the pharmacies in OPUS’s network. OPUS, in turn, manages the loyalty cards generated through the program, building their patient database as well.</w:t>
      </w:r>
    </w:p>
    <w:p>
      <w:pPr>
        <w:spacing w:after="0" w:line="158" w:lineRule="exact"/>
        <w:rPr>
          <w:rFonts w:ascii="Arial" w:cs="Arial" w:eastAsia="Arial" w:hAnsi="Arial"/>
          <w:sz w:val="16"/>
          <w:szCs w:val="16"/>
          <w:color w:val="auto"/>
        </w:rPr>
      </w:pPr>
    </w:p>
    <w:p>
      <w:pPr>
        <w:ind w:left="1740"/>
        <w:spacing w:after="0" w:line="273" w:lineRule="auto"/>
        <w:rPr>
          <w:rFonts w:ascii="Arial" w:cs="Arial" w:eastAsia="Arial" w:hAnsi="Arial"/>
          <w:sz w:val="16"/>
          <w:szCs w:val="16"/>
          <w:color w:val="auto"/>
        </w:rPr>
      </w:pPr>
      <w:r>
        <w:rPr>
          <w:rFonts w:ascii="Arial" w:cs="Arial" w:eastAsia="Arial" w:hAnsi="Arial"/>
          <w:sz w:val="17"/>
          <w:szCs w:val="17"/>
          <w:color w:val="auto"/>
        </w:rPr>
        <w:t>Our turn-key online platform, OFFERx, allows manufacturers to create, promote, and fulfill new medication offering programs directly in all of the pharmacies that participate in our system, which now includes the over 61,000 pharmacies in OPUS’s network. Through our simple online interface, pharmaceutical manufacturers can offer coupons, discounts, and free trials directly to patients on our Site. This gives a significant level of control to manufacturers regarding the timing and level of their discounts. It also allows unprecedented flexibility in responding to market conditions as manufacturers will no longer need to allow for the long lead times necessary to prepare, print, and distribute the materials traditionally required for such programs.</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ind w:left="1740" w:hanging="934"/>
        <w:spacing w:after="0" w:line="259" w:lineRule="auto"/>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ADHERxE – We previously entered into an exclusive relationship with S&amp;H Digital (“S&amp;H”), the Interactive division of Suddler and Hennessey of WPP healthcare communications agency. Subsequent to the reporting period, we have terminated the agreement with S&amp;H for non-performance. Instead of using S&amp;P services for creating the content and managing ADHERxE, we have built out a reporting scheme (through the SampleMD technology).</w:t>
      </w:r>
    </w:p>
    <w:p>
      <w:pPr>
        <w:spacing w:after="0" w:line="186" w:lineRule="exact"/>
        <w:rPr>
          <w:rFonts w:ascii="Arial" w:cs="Arial" w:eastAsia="Arial" w:hAnsi="Arial"/>
          <w:sz w:val="18"/>
          <w:szCs w:val="18"/>
          <w:color w:val="auto"/>
        </w:rPr>
      </w:pPr>
    </w:p>
    <w:p>
      <w:pPr>
        <w:ind w:left="1740" w:right="220"/>
        <w:spacing w:after="0" w:line="272" w:lineRule="auto"/>
        <w:rPr>
          <w:rFonts w:ascii="Arial" w:cs="Arial" w:eastAsia="Arial" w:hAnsi="Arial"/>
          <w:sz w:val="18"/>
          <w:szCs w:val="18"/>
          <w:color w:val="auto"/>
        </w:rPr>
      </w:pPr>
      <w:r>
        <w:rPr>
          <w:rFonts w:ascii="Arial" w:cs="Arial" w:eastAsia="Arial" w:hAnsi="Arial"/>
          <w:sz w:val="17"/>
          <w:szCs w:val="17"/>
          <w:color w:val="auto"/>
        </w:rPr>
        <w:t>AHERxE is our turn-key online platform that allows manufacturers to engage and monitor patients each month in exchange for activation of their monthly co-pay coupons. Pharmaceutical companies that wish to monitor the usage and effectiveness of their products through online surveys are able to provide incentives for patients to participate in the surveys by providing discounts through online coupons available on our Site. Patients complete an initial survey to determine their treatment status. Each month, when patients respond to reminder emails and complete the manufacturer’s ongoing survey, they receive a coupon for discounts on their medications copays. This helps patients afford their medications and provides a way for pharmaceutical companies to track patient usage and results of treatment programs.</w:t>
      </w:r>
    </w:p>
    <w:p>
      <w:pPr>
        <w:spacing w:after="0" w:line="204" w:lineRule="exact"/>
        <w:rPr>
          <w:rFonts w:ascii="Arial" w:cs="Arial" w:eastAsia="Arial" w:hAnsi="Arial"/>
          <w:sz w:val="18"/>
          <w:szCs w:val="18"/>
          <w:color w:val="auto"/>
        </w:rPr>
      </w:pPr>
    </w:p>
    <w:p>
      <w:pPr>
        <w:ind w:left="1740" w:hanging="934"/>
        <w:spacing w:after="0" w:line="312" w:lineRule="auto"/>
        <w:tabs>
          <w:tab w:leader="none" w:pos="1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SampleMD - Today, almost 2/3 of doctors’ offices ban or limit drug representative and samples. Although samples are still valuable, many healthcare systems and doctors are looking for an easier, more effective way to increase affordable access and adherence to their prescribed branded medications which lead us during the past year to develop our direct to physician solution called SampleMD.</w:t>
      </w:r>
    </w:p>
    <w:p>
      <w:pPr>
        <w:spacing w:after="0" w:line="146" w:lineRule="exact"/>
        <w:rPr>
          <w:rFonts w:ascii="Arial" w:cs="Arial" w:eastAsia="Arial" w:hAnsi="Arial"/>
          <w:sz w:val="16"/>
          <w:szCs w:val="16"/>
          <w:color w:val="auto"/>
        </w:rPr>
      </w:pPr>
    </w:p>
    <w:p>
      <w:pPr>
        <w:ind w:left="1740"/>
        <w:spacing w:after="0" w:line="289" w:lineRule="auto"/>
        <w:rPr>
          <w:rFonts w:ascii="Arial" w:cs="Arial" w:eastAsia="Arial" w:hAnsi="Arial"/>
          <w:sz w:val="16"/>
          <w:szCs w:val="16"/>
          <w:color w:val="auto"/>
        </w:rPr>
      </w:pPr>
      <w:r>
        <w:rPr>
          <w:rFonts w:ascii="Arial" w:cs="Arial" w:eastAsia="Arial" w:hAnsi="Arial"/>
          <w:sz w:val="16"/>
          <w:szCs w:val="16"/>
          <w:color w:val="auto"/>
        </w:rPr>
        <w:t>SampleMD is a revolutionary downloadable virtual "Patient Support Center" that allows doctors and staff to access a universe of sample vouchers, co-pay coupons and the fulfillment and adjudication of claims directly from their desktops. Doctors and healthcare providers utilize the SampleMD application from their computer desktops or integrate it into their EMR and/or e-Prescribe systems to search, print or electronically dispense drug samples and co-pay coupons through a national network of pharmacies. SampleMD eliminates the need for physicians to manage and store physical drug samples by offering a more convenient and efficient way to allocate, administer and track samples and co-pay savings provided to their patients. Doctors can also review a branded drug's formulary status within the patients' insurance plan to determine at what level the product is paid/reimbursed. With an integrated automated communications capability, SampleMD will also provide on-going patient support and delivery of monthly co-pay savings to promote continued drug compliance for chronic conditions such as diabetes, heart disease and asthma.</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With our marketing partners, we intend to promote OPTIMIZERx and SampleMD primarily through the following:</w:t>
      </w:r>
    </w:p>
    <w:p>
      <w:pPr>
        <w:spacing w:after="0" w:line="252" w:lineRule="exact"/>
        <w:rPr>
          <w:sz w:val="20"/>
          <w:szCs w:val="20"/>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Internet Marketing</w:t>
      </w:r>
    </w:p>
    <w:p>
      <w:pPr>
        <w:spacing w:after="0" w:line="23"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Public Relations Campaigns</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Physician Offices</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Direct to Consumer Marketing</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Newspaper and Advertising</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Cable TV</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Pharmacy Partners</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Fortune 500 Employers- Benefits Departments</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Unions and Other Church and Civic organizations</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Physician Organizations and Associations</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Strategic Relationships</w:t>
      </w:r>
    </w:p>
    <w:p>
      <w:pPr>
        <w:spacing w:after="0" w:line="23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distribution and sales purposes, we rely on internal and independent sales representatives. Additionally, we have entered into co-promotional agreements with both OPUS and S&amp;H as detailed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All of our officers and directors are part of our continual research development team and monitor new technologies, trends, services, and partnerships that can help us provide additional services and increased value to the healthcare and pharmaceutical industries and to the patients we serve.</w:t>
      </w:r>
    </w:p>
    <w:p>
      <w:pPr>
        <w:spacing w:after="0" w:line="17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Additionally, for the development of SampleMD and enhancements to our technology, OPTIMIZERx has aligned with the Engineering and Information Technology department of Oakland University in Rochester Michigan. They bring highly skilled technology and application developers as well as a solid knowledge of the medical industry.</w:t>
      </w:r>
    </w:p>
    <w:p>
      <w:pPr>
        <w:spacing w:after="0" w:line="208"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As mentioned prior, we are currently in the launch phase of SampleMD, our direct to physician solution aimed at simplifying the business processes of providing, administrating, and distributing branded prescription medications to patients. Our continued efforts, complimenting SampleMD with OPTIMIZERx is to provide better affordability for better healthcare.</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We seek to educate our team through an understanding of all market dynamics that have the potential to affect our business in both the short and long</w:t>
      </w:r>
    </w:p>
    <w:p>
      <w:pPr>
        <w:spacing w:after="0" w:line="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term. Our primary goal is to help patients better afford and access the medicines their doctors prescribe, as well as other healthcare products and services they need. Based on this goal, we continually seek better ways to meet this mission through the use of improved technology, user feedback, and working closely with the pharmaceutical industry. We are continually seeking new ways we can engage the pharmaceutical industry to provide new support programs to patients in need of their products.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We will compete in the highly competitive pharmaceutical and healthcare advertising industry that is dominated by large well-known companies with established names, solid market niches, wide arrays of product offerings and marketing networks. Our largest competitors include a variety of healthcare website publishers and networks who provide online advertising competition to OPTIMIZERx.com, including Quality Health, WebMD, McKesson, and Drugs.com.</w:t>
      </w:r>
    </w:p>
    <w:p>
      <w:pPr>
        <w:spacing w:after="0" w:line="214" w:lineRule="exact"/>
        <w:rPr>
          <w:sz w:val="20"/>
          <w:szCs w:val="20"/>
          <w:color w:val="auto"/>
        </w:rPr>
      </w:pPr>
    </w:p>
    <w:p>
      <w:pPr>
        <w:ind w:left="660" w:hanging="139"/>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Quality Health – Quality Health hosts an interactive website that allows users to research information regarding medical conditions, medications, and treatments. Visitors to their website can also search for doctors or health centers in their area, both generally and specific to their condition.</w:t>
      </w:r>
    </w:p>
    <w:p>
      <w:pPr>
        <w:spacing w:after="0" w:line="150" w:lineRule="exact"/>
        <w:rPr>
          <w:rFonts w:ascii="Arial" w:cs="Arial" w:eastAsia="Arial" w:hAnsi="Arial"/>
          <w:sz w:val="16"/>
          <w:szCs w:val="16"/>
          <w:color w:val="auto"/>
        </w:rPr>
      </w:pPr>
    </w:p>
    <w:p>
      <w:pPr>
        <w:jc w:val="both"/>
        <w:ind w:left="660" w:hanging="139"/>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WebMD – WebMD provides in-depth reference material regarding medical conditions and medicines to users. Individuals can search for a diagnosis via symptoms or research details regarding their previously diagnosed medical conditions. Online support forums are also hosted for patients with particularly challenging conditions.</w:t>
      </w:r>
    </w:p>
    <w:p>
      <w:pPr>
        <w:spacing w:after="0" w:line="208" w:lineRule="exact"/>
        <w:rPr>
          <w:rFonts w:ascii="Arial" w:cs="Arial" w:eastAsia="Arial" w:hAnsi="Arial"/>
          <w:sz w:val="18"/>
          <w:szCs w:val="18"/>
          <w:color w:val="auto"/>
        </w:rPr>
      </w:pPr>
    </w:p>
    <w:p>
      <w:pPr>
        <w:jc w:val="both"/>
        <w:ind w:left="660" w:hanging="139"/>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McKesson – McKesson Corporation has been providing health care services in the United States for over 175 years. They act as a distributor for pharmaceutical companies to a network of pharmacies, and have developed online solutions for customers, third-party payors, and manufacturers. McKesson has significantly greater financial resources and brand recognition than we do.</w:t>
      </w:r>
    </w:p>
    <w:p>
      <w:pPr>
        <w:spacing w:after="0" w:line="208" w:lineRule="exact"/>
        <w:rPr>
          <w:rFonts w:ascii="Arial" w:cs="Arial" w:eastAsia="Arial" w:hAnsi="Arial"/>
          <w:sz w:val="18"/>
          <w:szCs w:val="18"/>
          <w:color w:val="auto"/>
        </w:rPr>
      </w:pPr>
    </w:p>
    <w:p>
      <w:pPr>
        <w:jc w:val="both"/>
        <w:ind w:left="660" w:hanging="139"/>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Drugs.com – Drugs.com provides free, accurate, and independent advice on more than 24,000 prescription drugs, over-the-counter medicines, and natural products. Their data sources include Micromedex™, Cerner Multum™, Wolters Kluwer™, and others. Users can search by condition or medication.</w:t>
      </w:r>
    </w:p>
    <w:p>
      <w:pPr>
        <w:spacing w:after="0" w:line="20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Companies who provide similar offer redemption services through a network of pharmacies, such as McKesson, could seek to disrupt our exclusive partnership with OPUS. However, each of our competitors could also be a partner in co-promotion of exclusive offer and adherence campaigns we create on behalf of the client through OFFERx and ADHERxE.</w:t>
      </w:r>
    </w:p>
    <w:p>
      <w:pPr>
        <w:spacing w:after="0" w:line="20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competitors who have not done so already may be able to enter into the field by developing a website to promote health care offers. However, most may be limited in their ability to create, promote and manage new and exclusive prescription trials or offers. Additionally, with ADHERxE and the ability to create multiple offers activated each month for returning patients who sign up, we believe that we are uniquely positioned with significant barriers to entry for potential competitors in this area.</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All key aspects of our promotional and offer development platforms are pending patent review. However, business is not predicated on being awarded patent exclusiveness. Rather, patent protection represents a huge asset and further opportunity upon its receipt.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OPTIMIZERx is a licensed trademark.</w:t>
      </w:r>
    </w:p>
    <w:p>
      <w:pPr>
        <w:spacing w:after="0" w:line="225"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Our intellectual property is developed significantly each month. Since inception, we have developed and launched OFFERx and ADHERxE, and we are further integrating these platforms to provide more robust offerings. OPTIMIZERx.com and OFFERx are patent pending.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our patents and patent applications as of the date hereof:</w:t>
      </w:r>
    </w:p>
    <w:p>
      <w:pPr>
        <w:sectPr>
          <w:pgSz w:w="11900" w:h="16838" w:orient="portrait"/>
          <w:cols w:equalWidth="0" w:num="1">
            <w:col w:w="11420"/>
          </w:cols>
          <w:pgMar w:left="240" w:top="121" w:right="239" w:bottom="1440" w:gutter="0" w:footer="0" w:header="0"/>
        </w:sectPr>
      </w:pPr>
    </w:p>
    <w:p>
      <w:pPr>
        <w:spacing w:after="0" w:line="248" w:lineRule="exact"/>
        <w:rPr>
          <w:sz w:val="20"/>
          <w:szCs w:val="20"/>
          <w:color w:val="auto"/>
        </w:rPr>
      </w:pPr>
    </w:p>
    <w:p>
      <w:pPr>
        <w:ind w:left="3020"/>
        <w:spacing w:after="0"/>
        <w:tabs>
          <w:tab w:leader="none" w:pos="5060" w:val="left"/>
        </w:tabs>
        <w:rPr>
          <w:sz w:val="20"/>
          <w:szCs w:val="20"/>
          <w:color w:val="auto"/>
        </w:rPr>
      </w:pPr>
      <w:r>
        <w:rPr>
          <w:rFonts w:ascii="Arial" w:cs="Arial" w:eastAsia="Arial" w:hAnsi="Arial"/>
          <w:sz w:val="18"/>
          <w:szCs w:val="18"/>
          <w:b w:val="1"/>
          <w:bCs w:val="1"/>
          <w:color w:val="auto"/>
        </w:rPr>
        <w:t>App Number/</w:t>
      </w:r>
      <w:r>
        <w:rPr>
          <w:sz w:val="20"/>
          <w:szCs w:val="20"/>
          <w:color w:val="auto"/>
        </w:rPr>
        <w:tab/>
      </w:r>
      <w:r>
        <w:rPr>
          <w:rFonts w:ascii="Arial" w:cs="Arial" w:eastAsia="Arial" w:hAnsi="Arial"/>
          <w:sz w:val="16"/>
          <w:szCs w:val="16"/>
          <w:b w:val="1"/>
          <w:bCs w:val="1"/>
          <w:color w:val="auto"/>
        </w:rPr>
        <w:t>Brief Summary</w:t>
      </w:r>
    </w:p>
    <w:p>
      <w:pPr>
        <w:spacing w:after="0" w:line="27" w:lineRule="exact"/>
        <w:rPr>
          <w:sz w:val="20"/>
          <w:szCs w:val="20"/>
          <w:color w:val="auto"/>
        </w:rPr>
      </w:pPr>
    </w:p>
    <w:p>
      <w:pPr>
        <w:ind w:left="3120"/>
        <w:spacing w:after="0"/>
        <w:tabs>
          <w:tab w:leader="none" w:pos="4900" w:val="left"/>
        </w:tabs>
        <w:rPr>
          <w:sz w:val="20"/>
          <w:szCs w:val="20"/>
          <w:color w:val="auto"/>
        </w:rPr>
      </w:pPr>
      <w:r>
        <w:rPr>
          <w:rFonts w:ascii="Arial" w:cs="Arial" w:eastAsia="Arial" w:hAnsi="Arial"/>
          <w:sz w:val="18"/>
          <w:szCs w:val="18"/>
          <w:b w:val="1"/>
          <w:bCs w:val="1"/>
          <w:color w:val="auto"/>
        </w:rPr>
        <w:t>Filing Date</w:t>
      </w:r>
      <w:r>
        <w:rPr>
          <w:sz w:val="20"/>
          <w:szCs w:val="20"/>
          <w:color w:val="auto"/>
        </w:rPr>
        <w:tab/>
      </w:r>
      <w:r>
        <w:rPr>
          <w:rFonts w:ascii="Arial" w:cs="Arial" w:eastAsia="Arial" w:hAnsi="Arial"/>
          <w:sz w:val="16"/>
          <w:szCs w:val="16"/>
          <w:b w:val="1"/>
          <w:bCs w:val="1"/>
          <w:color w:val="auto"/>
        </w:rPr>
        <w:t>(Products Covered)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5715</wp:posOffset>
            </wp:positionV>
            <wp:extent cx="27012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0129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831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31850" cy="17145"/>
                    </a:xfrm>
                    <a:prstGeom prst="rect">
                      <a:avLst/>
                    </a:prstGeom>
                    <a:noFill/>
                  </pic:spPr>
                </pic:pic>
              </a:graphicData>
            </a:graphic>
          </wp:anchor>
        </w:drawing>
      </w:r>
    </w:p>
    <w:p>
      <w:pPr>
        <w:spacing w:after="0" w:line="74" w:lineRule="exact"/>
        <w:rPr>
          <w:sz w:val="20"/>
          <w:szCs w:val="20"/>
          <w:color w:val="auto"/>
        </w:rPr>
      </w:pPr>
    </w:p>
    <w:p>
      <w:pPr>
        <w:sectPr>
          <w:pgSz w:w="11900" w:h="16838" w:orient="portrait"/>
          <w:cols w:equalWidth="0" w:num="2">
            <w:col w:w="6540" w:space="720"/>
            <w:col w:w="4160"/>
          </w:cols>
          <w:pgMar w:left="240" w:top="121" w:right="239" w:bottom="1440" w:gutter="0" w:footer="0" w:header="0"/>
          <w:type w:val="continuous"/>
        </w:sectPr>
      </w:pPr>
    </w:p>
    <w:p>
      <w:pPr>
        <w:ind w:left="2860"/>
        <w:spacing w:after="0"/>
        <w:rPr>
          <w:sz w:val="20"/>
          <w:szCs w:val="20"/>
          <w:color w:val="auto"/>
        </w:rPr>
      </w:pPr>
      <w:r>
        <w:rPr>
          <w:rFonts w:ascii="Arial" w:cs="Arial" w:eastAsia="Arial" w:hAnsi="Arial"/>
          <w:sz w:val="16"/>
          <w:szCs w:val="16"/>
          <w:color w:val="auto"/>
        </w:rPr>
        <w:t>S.N. 11/528,292</w:t>
      </w:r>
    </w:p>
    <w:p>
      <w:pPr>
        <w:spacing w:after="0" w:line="46"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September 27,</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2006</w:t>
      </w:r>
    </w:p>
    <w:p>
      <w:pPr>
        <w:spacing w:after="0" w:line="103"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S.N. 61/277,161</w:t>
      </w:r>
    </w:p>
    <w:p>
      <w:pPr>
        <w:spacing w:after="0" w:line="46"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September</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21,2009</w:t>
      </w:r>
    </w:p>
    <w:p>
      <w:pPr>
        <w:spacing w:after="0" w:line="20" w:lineRule="exact"/>
        <w:rPr>
          <w:sz w:val="20"/>
          <w:szCs w:val="20"/>
          <w:color w:val="auto"/>
        </w:rPr>
      </w:pPr>
      <w:r>
        <w:rPr>
          <w:sz w:val="20"/>
          <w:szCs w:val="20"/>
          <w:color w:val="auto"/>
        </w:rPr>
        <w:br w:type="column"/>
      </w:r>
    </w:p>
    <w:p>
      <w:pPr>
        <w:ind w:left="180"/>
        <w:spacing w:after="0" w:line="256" w:lineRule="auto"/>
        <w:rPr>
          <w:sz w:val="20"/>
          <w:szCs w:val="20"/>
          <w:color w:val="auto"/>
        </w:rPr>
      </w:pPr>
      <w:r>
        <w:rPr>
          <w:rFonts w:ascii="Arial" w:cs="Arial" w:eastAsia="Arial" w:hAnsi="Arial"/>
          <w:sz w:val="18"/>
          <w:szCs w:val="18"/>
          <w:color w:val="auto"/>
        </w:rPr>
        <w:t>System for providing patient savings and promoting health care product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-906780</wp:posOffset>
            </wp:positionH>
            <wp:positionV relativeFrom="paragraph">
              <wp:posOffset>-410845</wp:posOffset>
            </wp:positionV>
            <wp:extent cx="3618865"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411480"/>
                    </a:xfrm>
                    <a:prstGeom prst="rect">
                      <a:avLst/>
                    </a:prstGeom>
                    <a:noFill/>
                  </pic:spPr>
                </pic:pic>
              </a:graphicData>
            </a:graphic>
          </wp:anchor>
        </w:drawing>
      </w:r>
    </w:p>
    <w:p>
      <w:pPr>
        <w:ind w:right="280"/>
        <w:spacing w:after="0" w:line="273" w:lineRule="auto"/>
        <w:rPr>
          <w:sz w:val="20"/>
          <w:szCs w:val="20"/>
          <w:color w:val="auto"/>
        </w:rPr>
      </w:pPr>
      <w:r>
        <w:rPr>
          <w:rFonts w:ascii="Arial" w:cs="Arial" w:eastAsia="Arial" w:hAnsi="Arial"/>
          <w:sz w:val="17"/>
          <w:szCs w:val="17"/>
          <w:color w:val="auto"/>
        </w:rPr>
        <w:t>VIRTUAL SAMPLE CABINET SYSTEM AND METHOD FOR PRESCRIPTION DRUG MARKETING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Patent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application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pending.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Patent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application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pending</w:t>
      </w:r>
    </w:p>
    <w:p>
      <w:pPr>
        <w:spacing w:after="0" w:line="342" w:lineRule="exact"/>
        <w:rPr>
          <w:sz w:val="20"/>
          <w:szCs w:val="20"/>
          <w:color w:val="auto"/>
        </w:rPr>
      </w:pPr>
    </w:p>
    <w:p>
      <w:pPr>
        <w:sectPr>
          <w:pgSz w:w="11900" w:h="16838" w:orient="portrait"/>
          <w:cols w:equalWidth="0" w:num="3">
            <w:col w:w="4040" w:space="260"/>
            <w:col w:w="2640" w:space="320"/>
            <w:col w:w="4160"/>
          </w:cols>
          <w:pgMar w:left="240" w:top="121"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 and Abuse Laws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Anti-Kickback Statutes</w:t>
      </w:r>
    </w:p>
    <w:p>
      <w:pPr>
        <w:spacing w:after="0" w:line="25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federal healthcare program Anti-Kickback Statute prohibits persons from knowingly and willfully soliciting, offering, receiving or providing remuneration, directly or indirectly, in exchange for or to induce either the referral of an individual for, or the furnishing, arranging for or recommending a good or service for which payment may be made in whole or part under a federal healthcare program such as Medicare or Medicaid. The definition of remuneration has been broadly interpreted to include anything of value, including for example gifts, discounts, the furnishing of supplies or equipment, credit arrangements, payments of cash and waivers of payments. Several courts have interpreted the statute's intent requirement to mean that if any one purpose of an arrangement involving remuneration is to induce referrals or otherwise generate business involving goods or services reimbursed in whole or in part under federal healthcare programs, the statute has been violated. The law contains a few statutory exceptions, including payments to bona fide employees, certain discounts and certain payments to group purchasing organizations. Violations can result in significant penalties, imprisonment and exclusion from Medicare, Medicaid and other federal healthcare programs. Exclusion of a manufacturer would preclude any federal healthcare program from paying for its products. In addition, kickback arrangements can provide the basis for an action under the Federal False Claims Act, which is discussed in more detail below. The Anti-Kickback Statute is broad and potentially prohibits many arrangements and practices that are lawful in businesses outside of the healthcare industry. Recognizing that the Anti-Kickback Statute is broad and may technically prohibit many innocuous or beneficial arrangements, the Office of Inspector General of Health and Human Services, or OIG, issued a series of regulations, known as the safe harbors, beginning in July 1991. These safe harbors set forth provisions that, if all the applicable requirements are met, will assure healthcare providers and other parties that they will not be prosecuted under the Anti-Kickback Statute. The failure of a transaction or arrangement to fit precisely within one or more safe harbors does not necessarily mean that it is illegal or that prosecution will be pursued. However, conduct and business arrangements that do not fully satisfy each applicable safe harbor may result in increased scrutiny by government enforcement authorities such as the OIG. Arrangements that implicate the Anti-Kickback Law, and that do not fall within a safe harbor, are analyzed by the OIG on a case-by-case basis. Government officials have focused recent enforcement efforts on, among other things, the sales and marketing activities of healthcare companies, and recently have brought cases against individuals or entities with personnel who allegedly offered unlawful inducements to potential or existing customers in an attempt to procure their business. Settlements of these cases by healthcare companies have involved significant fines and/or penalties and in some instances criminal pleas. In addition to the Federal Anti-Kickback Statute, many states have their own kickback laws. Often, these laws closely follow the language of the federal law, although they do not always have the same exceptions or safe harbors. In some states, these anti-kickback laws apply with respect to all payors, including commercial health insurance companies.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False Claims Laws</w:t>
      </w:r>
    </w:p>
    <w:p>
      <w:pPr>
        <w:spacing w:after="0" w:line="25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Federal false claims laws prohibit any person from knowingly presenting, or causing to be presented, a false claim for payment to the federal government or knowingly making, or causing to be made, a false statement to get a false claim paid. Manufacturers can be held liable under false claims laws, even if they do not submit claims to the government, if they are found to have caused submission of false claims. The Federal Civil False Claims Act also includes whistle blower provisions that allow private citizens to bring suit against an entity or individual on behalf of the United States and to recover a portion of any monetary recovery. Many of the recent highly publicized settlements in the healthcare industry related to sales and marketing practices have been cases brought under the False Claims Act. The majority of states also have statutes or regulations similar to the federal false claims laws, which apply to items and services reimbursed under Medicaid and other state programs, or, in several states, apply regardless of the payor. Sanctions under these federal and state laws may include civil monetary penalties, exclusion of a manufacturer's products from reimbursement under government programs, criminal fines and imprisonment.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 and Security</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Health Insurance Portability and Accountability Act of 1996, or HIPAA, and the rules promulgated there under require certain entities, referred to as covered entities, to comply with established standards, including standards regarding the privacy and security of protected health information, or PHI. HIPAA further requires that covered entities enter into agreements meeting certain regulatory requirements with their business associates, as such term is defined by HIPAA, which, among other things, obligate the business associates to safeguard the covered entity's PHI against improper use and disclosure. While not directly regulated by HIPAA, our customers or distributors might face significant contractual liability pursuant to such an agreement if the business associate breaches the agreement or causes the covered entity to fail to comply with HIPAA. It is possible that HIPPA compliance could become a substantial regulatory burden and expense to our operations, although we do not believe that this will occur as a general website publisher.</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25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Optimizer Systems, LLC was formed in the State of Michigan on January 31, 2006. It then became a corporation in the state of Michigan on October 22, 2007 and changed its name to OptimizeRx Corporation on October 22, 2007. On April 14, 2008, our company, known at the time as RFID Ltd., consummated entering into a share exchange agreement with the stockholders of OptimizeRx Corporation, pursuant to which the stockholders of OptimizeRx Corporation exchanged all of the issued and outstanding capital stock of OptimizeRx Corporation for 10,664,000 shares of common stock of RFID Ltd.. As of April 30, 2008, RFID’s officers and directors resigned their positions and RFID changed its business to OptimizeRx’s business. As a result, the historical discussion and financial statements included in this annual report are those of OptimizeRx Corporation. On April 15, 2008, RFID Ltd’s corporate name was changed to OptimizeRx Corporation. On September 4, 2008, we then completed a migratory merger, thereby changing our state of incorporation from Colorado to Nevada, resulting in the current corporate structure in which we, OptimizeRx Corporation, a Nevada corporation is the parent corporation, and OptimizeRx Corporation, a Michigan Corporation is our wholly-owned subsidiary.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 of January 30, 2010, we had four full-time employees and one independent sales contractor who perform various services for us. We also engage consultants, independent sales representatives, investor relations, accounting and legal services. We also established a relationship with Oakland University for technical and programming resources.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conduct our operations through our wholly-owned subsidiary, OptimizeRx Michigan.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Currently, we do not own any real estate. Our principal executive offices are located at 407 Sixth Street, Rochester, Michigan, 48307. We have entered into a six-month lease for this 2,000 square foot facility, with a cost of approximately $2,500 per month. We believe that our properties are adequate for our current needs, but growth potential towards mid to end of 2010 may require larger facilities due to anticipated addition of personnel. We do not have any policies regarding investments in real estate, securities or other forms of property.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are not a party to any pending legal proceeding. We are not aware of any pending legal proceeding to which any of our officers, directors, or any beneficial holders of 5% or more of our voting securities are adverse to us or have a material interest adverse to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 matters were submitted to a vote of our shareholders during the fourth quarter of our fiscal year ended December 31, 2009.</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u w:val="single" w:color="auto"/>
          <w:color w:val="auto"/>
        </w:rPr>
        <w:t>PART II</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and Related Stockholder Matters and Issuer Purchases of Equity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Since October 28, 2009, our common stock has been quoted on the OTC Bulletin Board, under the symbol “OPRX.”</w:t>
      </w:r>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following table sets forth the range of high and low bid quotations for our common stock for each of the periods indicated as reported by the OTC Bulletin Board. These quotations reflect inter-dealer prices, without retail mark-up, mark-down or commission and may not necessarily represent actual transactions.</w:t>
      </w:r>
    </w:p>
    <w:p>
      <w:pPr>
        <w:spacing w:after="0" w:line="208"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Fiscal Year Ending December 31, 2009</w:t>
      </w:r>
    </w:p>
    <w:p>
      <w:pPr>
        <w:spacing w:after="0" w:line="23" w:lineRule="exact"/>
        <w:rPr>
          <w:sz w:val="20"/>
          <w:szCs w:val="20"/>
          <w:color w:val="auto"/>
        </w:rPr>
      </w:pPr>
    </w:p>
    <w:tbl>
      <w:tblPr>
        <w:tblLayout w:type="fixed"/>
        <w:tblInd w:w="3440" w:type="dxa"/>
        <w:tblCellMar>
          <w:top w:w="0" w:type="dxa"/>
          <w:left w:w="0" w:type="dxa"/>
          <w:bottom w:w="0" w:type="dxa"/>
          <w:right w:w="0" w:type="dxa"/>
        </w:tblCellMar>
      </w:tblPr>
      <w:tr>
        <w:trPr>
          <w:trHeight w:val="230"/>
        </w:trPr>
        <w:tc>
          <w:tcPr>
            <w:tcW w:w="1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Quarter Ended</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High $</w:t>
            </w:r>
          </w:p>
        </w:tc>
        <w:tc>
          <w:tcPr>
            <w:tcW w:w="36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center"/>
              <w:ind w:right="250"/>
              <w:spacing w:after="0"/>
              <w:rPr>
                <w:sz w:val="20"/>
                <w:szCs w:val="20"/>
                <w:color w:val="auto"/>
              </w:rPr>
            </w:pPr>
            <w:r>
              <w:rPr>
                <w:rFonts w:ascii="Arial" w:cs="Arial" w:eastAsia="Arial" w:hAnsi="Arial"/>
                <w:sz w:val="18"/>
                <w:szCs w:val="18"/>
                <w:color w:val="auto"/>
                <w:w w:val="99"/>
              </w:rPr>
              <w:t>Low $</w:t>
            </w:r>
          </w:p>
        </w:tc>
      </w:tr>
      <w:tr>
        <w:trPr>
          <w:trHeight w:val="216"/>
        </w:trPr>
        <w:tc>
          <w:tcPr>
            <w:tcW w:w="150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88"/>
              </w:rPr>
              <w:t>December 31, 2009</w:t>
            </w:r>
          </w:p>
        </w:tc>
        <w:tc>
          <w:tcPr>
            <w:tcW w:w="1520" w:type="dxa"/>
            <w:vAlign w:val="bottom"/>
            <w:gridSpan w:val="2"/>
            <w:shd w:val="clear" w:color="auto" w:fill="CBDBD1"/>
          </w:tcPr>
          <w:p>
            <w:pPr>
              <w:jc w:val="center"/>
              <w:ind w:left="250"/>
              <w:spacing w:after="0"/>
              <w:rPr>
                <w:sz w:val="20"/>
                <w:szCs w:val="20"/>
                <w:color w:val="auto"/>
              </w:rPr>
            </w:pPr>
            <w:r>
              <w:rPr>
                <w:rFonts w:ascii="Arial" w:cs="Arial" w:eastAsia="Arial" w:hAnsi="Arial"/>
                <w:sz w:val="18"/>
                <w:szCs w:val="18"/>
                <w:color w:val="auto"/>
                <w:w w:val="85"/>
              </w:rPr>
              <w:t>2.20</w:t>
            </w:r>
          </w:p>
        </w:tc>
        <w:tc>
          <w:tcPr>
            <w:tcW w:w="360" w:type="dxa"/>
            <w:vAlign w:val="bottom"/>
            <w:shd w:val="clear" w:color="auto" w:fill="CBDBD1"/>
          </w:tcPr>
          <w:p>
            <w:pPr>
              <w:spacing w:after="0"/>
              <w:rPr>
                <w:sz w:val="18"/>
                <w:szCs w:val="18"/>
                <w:color w:val="auto"/>
              </w:rPr>
            </w:pPr>
          </w:p>
        </w:tc>
        <w:tc>
          <w:tcPr>
            <w:tcW w:w="320" w:type="dxa"/>
            <w:vAlign w:val="bottom"/>
            <w:shd w:val="clear" w:color="auto" w:fill="CBDBD1"/>
          </w:tcPr>
          <w:p>
            <w:pPr>
              <w:spacing w:after="0"/>
              <w:rPr>
                <w:sz w:val="18"/>
                <w:szCs w:val="18"/>
                <w:color w:val="auto"/>
              </w:rPr>
            </w:pPr>
          </w:p>
        </w:tc>
        <w:tc>
          <w:tcPr>
            <w:tcW w:w="860" w:type="dxa"/>
            <w:vAlign w:val="bottom"/>
            <w:shd w:val="clear" w:color="auto" w:fill="CBDBD1"/>
          </w:tcPr>
          <w:p>
            <w:pPr>
              <w:jc w:val="center"/>
              <w:ind w:right="250"/>
              <w:spacing w:after="0"/>
              <w:rPr>
                <w:sz w:val="20"/>
                <w:szCs w:val="20"/>
                <w:color w:val="auto"/>
              </w:rPr>
            </w:pPr>
            <w:r>
              <w:rPr>
                <w:rFonts w:ascii="Arial" w:cs="Arial" w:eastAsia="Arial" w:hAnsi="Arial"/>
                <w:sz w:val="18"/>
                <w:szCs w:val="18"/>
                <w:color w:val="auto"/>
                <w:w w:val="91"/>
              </w:rPr>
              <w:t>0.10</w:t>
            </w: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color w:val="auto"/>
                <w:w w:val="88"/>
              </w:rPr>
              <w:t>September 30, 2009</w:t>
            </w:r>
          </w:p>
        </w:tc>
        <w:tc>
          <w:tcPr>
            <w:tcW w:w="1520" w:type="dxa"/>
            <w:vAlign w:val="bottom"/>
            <w:gridSpan w:val="2"/>
          </w:tcPr>
          <w:p>
            <w:pPr>
              <w:jc w:val="center"/>
              <w:ind w:left="250"/>
              <w:spacing w:after="0"/>
              <w:rPr>
                <w:sz w:val="20"/>
                <w:szCs w:val="20"/>
                <w:color w:val="auto"/>
              </w:rPr>
            </w:pPr>
            <w:r>
              <w:rPr>
                <w:rFonts w:ascii="Arial" w:cs="Arial" w:eastAsia="Arial" w:hAnsi="Arial"/>
                <w:sz w:val="18"/>
                <w:szCs w:val="18"/>
                <w:color w:val="auto"/>
                <w:w w:val="85"/>
              </w:rPr>
              <w:t>3.00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center"/>
              <w:ind w:right="250"/>
              <w:spacing w:after="0"/>
              <w:rPr>
                <w:sz w:val="20"/>
                <w:szCs w:val="20"/>
                <w:color w:val="auto"/>
              </w:rPr>
            </w:pPr>
            <w:r>
              <w:rPr>
                <w:rFonts w:ascii="Arial" w:cs="Arial" w:eastAsia="Arial" w:hAnsi="Arial"/>
                <w:sz w:val="18"/>
                <w:szCs w:val="18"/>
                <w:color w:val="auto"/>
                <w:w w:val="91"/>
              </w:rPr>
              <w:t>0.20</w:t>
            </w:r>
          </w:p>
        </w:tc>
      </w:tr>
      <w:tr>
        <w:trPr>
          <w:trHeight w:val="216"/>
        </w:trPr>
        <w:tc>
          <w:tcPr>
            <w:tcW w:w="150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87"/>
              </w:rPr>
              <w:t>June 30, 2009</w:t>
            </w:r>
          </w:p>
        </w:tc>
        <w:tc>
          <w:tcPr>
            <w:tcW w:w="1520" w:type="dxa"/>
            <w:vAlign w:val="bottom"/>
            <w:gridSpan w:val="2"/>
            <w:shd w:val="clear" w:color="auto" w:fill="CBDBD1"/>
          </w:tcPr>
          <w:p>
            <w:pPr>
              <w:jc w:val="center"/>
              <w:ind w:left="250"/>
              <w:spacing w:after="0"/>
              <w:rPr>
                <w:sz w:val="20"/>
                <w:szCs w:val="20"/>
                <w:color w:val="auto"/>
              </w:rPr>
            </w:pPr>
            <w:r>
              <w:rPr>
                <w:rFonts w:ascii="Arial" w:cs="Arial" w:eastAsia="Arial" w:hAnsi="Arial"/>
                <w:sz w:val="18"/>
                <w:szCs w:val="18"/>
                <w:color w:val="auto"/>
                <w:w w:val="85"/>
              </w:rPr>
              <w:t>4.00</w:t>
            </w:r>
          </w:p>
        </w:tc>
        <w:tc>
          <w:tcPr>
            <w:tcW w:w="360" w:type="dxa"/>
            <w:vAlign w:val="bottom"/>
            <w:shd w:val="clear" w:color="auto" w:fill="CBDBD1"/>
          </w:tcPr>
          <w:p>
            <w:pPr>
              <w:spacing w:after="0"/>
              <w:rPr>
                <w:sz w:val="18"/>
                <w:szCs w:val="18"/>
                <w:color w:val="auto"/>
              </w:rPr>
            </w:pPr>
          </w:p>
        </w:tc>
        <w:tc>
          <w:tcPr>
            <w:tcW w:w="320" w:type="dxa"/>
            <w:vAlign w:val="bottom"/>
            <w:shd w:val="clear" w:color="auto" w:fill="CBDBD1"/>
          </w:tcPr>
          <w:p>
            <w:pPr>
              <w:spacing w:after="0"/>
              <w:rPr>
                <w:sz w:val="18"/>
                <w:szCs w:val="18"/>
                <w:color w:val="auto"/>
              </w:rPr>
            </w:pPr>
          </w:p>
        </w:tc>
        <w:tc>
          <w:tcPr>
            <w:tcW w:w="860" w:type="dxa"/>
            <w:vAlign w:val="bottom"/>
            <w:shd w:val="clear" w:color="auto" w:fill="CBDBD1"/>
          </w:tcPr>
          <w:p>
            <w:pPr>
              <w:jc w:val="center"/>
              <w:ind w:right="250"/>
              <w:spacing w:after="0"/>
              <w:rPr>
                <w:sz w:val="20"/>
                <w:szCs w:val="20"/>
                <w:color w:val="auto"/>
              </w:rPr>
            </w:pPr>
            <w:r>
              <w:rPr>
                <w:rFonts w:ascii="Arial" w:cs="Arial" w:eastAsia="Arial" w:hAnsi="Arial"/>
                <w:sz w:val="18"/>
                <w:szCs w:val="18"/>
                <w:color w:val="auto"/>
                <w:w w:val="91"/>
              </w:rPr>
              <w:t>1.05</w:t>
            </w:r>
          </w:p>
        </w:tc>
      </w:tr>
      <w:tr>
        <w:trPr>
          <w:trHeight w:val="230"/>
        </w:trPr>
        <w:tc>
          <w:tcPr>
            <w:tcW w:w="1500" w:type="dxa"/>
            <w:vAlign w:val="bottom"/>
          </w:tcPr>
          <w:p>
            <w:pPr>
              <w:jc w:val="center"/>
              <w:spacing w:after="0"/>
              <w:rPr>
                <w:sz w:val="20"/>
                <w:szCs w:val="20"/>
                <w:color w:val="auto"/>
              </w:rPr>
            </w:pPr>
            <w:r>
              <w:rPr>
                <w:rFonts w:ascii="Arial" w:cs="Arial" w:eastAsia="Arial" w:hAnsi="Arial"/>
                <w:sz w:val="18"/>
                <w:szCs w:val="18"/>
                <w:color w:val="auto"/>
                <w:w w:val="92"/>
              </w:rPr>
              <w:t>March 31, 2009</w:t>
            </w:r>
          </w:p>
        </w:tc>
        <w:tc>
          <w:tcPr>
            <w:tcW w:w="1520" w:type="dxa"/>
            <w:vAlign w:val="bottom"/>
            <w:gridSpan w:val="2"/>
          </w:tcPr>
          <w:p>
            <w:pPr>
              <w:jc w:val="center"/>
              <w:ind w:left="250"/>
              <w:spacing w:after="0"/>
              <w:rPr>
                <w:sz w:val="20"/>
                <w:szCs w:val="20"/>
                <w:color w:val="auto"/>
              </w:rPr>
            </w:pPr>
            <w:r>
              <w:rPr>
                <w:rFonts w:ascii="Arial" w:cs="Arial" w:eastAsia="Arial" w:hAnsi="Arial"/>
                <w:sz w:val="18"/>
                <w:szCs w:val="18"/>
                <w:color w:val="auto"/>
                <w:w w:val="85"/>
              </w:rPr>
              <w:t>4.25</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center"/>
              <w:ind w:right="250"/>
              <w:spacing w:after="0"/>
              <w:rPr>
                <w:sz w:val="20"/>
                <w:szCs w:val="20"/>
                <w:color w:val="auto"/>
              </w:rPr>
            </w:pPr>
            <w:r>
              <w:rPr>
                <w:rFonts w:ascii="Arial" w:cs="Arial" w:eastAsia="Arial" w:hAnsi="Arial"/>
                <w:sz w:val="18"/>
                <w:szCs w:val="18"/>
                <w:color w:val="auto"/>
                <w:w w:val="91"/>
              </w:rPr>
              <w:t>0.40</w:t>
            </w:r>
          </w:p>
        </w:tc>
      </w:tr>
      <w:tr>
        <w:trPr>
          <w:trHeight w:val="695"/>
        </w:trPr>
        <w:tc>
          <w:tcPr>
            <w:tcW w:w="3700" w:type="dxa"/>
            <w:vAlign w:val="bottom"/>
            <w:tcBorders>
              <w:bottom w:val="single" w:sz="8" w:color="auto"/>
            </w:tcBorders>
            <w:gridSpan w:val="5"/>
          </w:tcPr>
          <w:p>
            <w:pPr>
              <w:ind w:left="860"/>
              <w:spacing w:after="0"/>
              <w:rPr>
                <w:sz w:val="20"/>
                <w:szCs w:val="20"/>
                <w:color w:val="auto"/>
              </w:rPr>
            </w:pPr>
            <w:r>
              <w:rPr>
                <w:rFonts w:ascii="Arial" w:cs="Arial" w:eastAsia="Arial" w:hAnsi="Arial"/>
                <w:sz w:val="18"/>
                <w:szCs w:val="18"/>
                <w:color w:val="auto"/>
                <w:w w:val="89"/>
              </w:rPr>
              <w:t>Fiscal Year Ending December 31, 2008</w:t>
            </w:r>
          </w:p>
        </w:tc>
        <w:tc>
          <w:tcPr>
            <w:tcW w:w="860" w:type="dxa"/>
            <w:vAlign w:val="bottom"/>
            <w:tcBorders>
              <w:bottom w:val="single" w:sz="8" w:color="auto"/>
            </w:tcBorders>
          </w:tcPr>
          <w:p>
            <w:pPr>
              <w:spacing w:after="0"/>
              <w:rPr>
                <w:sz w:val="24"/>
                <w:szCs w:val="24"/>
                <w:color w:val="auto"/>
              </w:rPr>
            </w:pPr>
          </w:p>
        </w:tc>
      </w:tr>
      <w:tr>
        <w:trPr>
          <w:trHeight w:val="223"/>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Quarter Ended</w:t>
            </w:r>
          </w:p>
        </w:tc>
        <w:tc>
          <w:tcPr>
            <w:tcW w:w="340" w:type="dxa"/>
            <w:vAlign w:val="bottom"/>
          </w:tcPr>
          <w:p>
            <w:pPr>
              <w:spacing w:after="0"/>
              <w:rPr>
                <w:sz w:val="19"/>
                <w:szCs w:val="19"/>
                <w:color w:val="auto"/>
              </w:rPr>
            </w:pPr>
          </w:p>
        </w:tc>
        <w:tc>
          <w:tcPr>
            <w:tcW w:w="11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High $</w:t>
            </w:r>
          </w:p>
        </w:tc>
        <w:tc>
          <w:tcPr>
            <w:tcW w:w="3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99"/>
              </w:rPr>
              <w:t>Low $</w:t>
            </w:r>
          </w:p>
        </w:tc>
      </w:tr>
      <w:tr>
        <w:trPr>
          <w:trHeight w:val="216"/>
        </w:trPr>
        <w:tc>
          <w:tcPr>
            <w:tcW w:w="150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88"/>
              </w:rPr>
              <w:t>December 31, 2008</w:t>
            </w:r>
          </w:p>
        </w:tc>
        <w:tc>
          <w:tcPr>
            <w:tcW w:w="1520" w:type="dxa"/>
            <w:vAlign w:val="bottom"/>
            <w:gridSpan w:val="2"/>
            <w:shd w:val="clear" w:color="auto" w:fill="CBDBD1"/>
          </w:tcPr>
          <w:p>
            <w:pPr>
              <w:jc w:val="center"/>
              <w:ind w:left="250"/>
              <w:spacing w:after="0"/>
              <w:rPr>
                <w:sz w:val="20"/>
                <w:szCs w:val="20"/>
                <w:color w:val="auto"/>
              </w:rPr>
            </w:pPr>
            <w:r>
              <w:rPr>
                <w:rFonts w:ascii="Arial" w:cs="Arial" w:eastAsia="Arial" w:hAnsi="Arial"/>
                <w:sz w:val="18"/>
                <w:szCs w:val="18"/>
                <w:color w:val="auto"/>
                <w:w w:val="85"/>
              </w:rPr>
              <w:t>4.30</w:t>
            </w:r>
          </w:p>
        </w:tc>
        <w:tc>
          <w:tcPr>
            <w:tcW w:w="360" w:type="dxa"/>
            <w:vAlign w:val="bottom"/>
            <w:shd w:val="clear" w:color="auto" w:fill="CBDBD1"/>
          </w:tcPr>
          <w:p>
            <w:pPr>
              <w:spacing w:after="0"/>
              <w:rPr>
                <w:sz w:val="18"/>
                <w:szCs w:val="18"/>
                <w:color w:val="auto"/>
              </w:rPr>
            </w:pPr>
          </w:p>
        </w:tc>
        <w:tc>
          <w:tcPr>
            <w:tcW w:w="320" w:type="dxa"/>
            <w:vAlign w:val="bottom"/>
            <w:shd w:val="clear" w:color="auto" w:fill="CBDBD1"/>
          </w:tcPr>
          <w:p>
            <w:pPr>
              <w:spacing w:after="0"/>
              <w:rPr>
                <w:sz w:val="18"/>
                <w:szCs w:val="18"/>
                <w:color w:val="auto"/>
              </w:rPr>
            </w:pPr>
          </w:p>
        </w:tc>
        <w:tc>
          <w:tcPr>
            <w:tcW w:w="860" w:type="dxa"/>
            <w:vAlign w:val="bottom"/>
            <w:shd w:val="clear" w:color="auto" w:fill="CBDBD1"/>
          </w:tcPr>
          <w:p>
            <w:pPr>
              <w:jc w:val="center"/>
              <w:ind w:right="250"/>
              <w:spacing w:after="0"/>
              <w:rPr>
                <w:sz w:val="20"/>
                <w:szCs w:val="20"/>
                <w:color w:val="auto"/>
              </w:rPr>
            </w:pPr>
            <w:r>
              <w:rPr>
                <w:rFonts w:ascii="Arial" w:cs="Arial" w:eastAsia="Arial" w:hAnsi="Arial"/>
                <w:sz w:val="18"/>
                <w:szCs w:val="18"/>
                <w:color w:val="auto"/>
                <w:w w:val="91"/>
              </w:rPr>
              <w:t>1.56</w:t>
            </w: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color w:val="auto"/>
                <w:w w:val="88"/>
              </w:rPr>
              <w:t>September 30, 2008</w:t>
            </w:r>
          </w:p>
        </w:tc>
        <w:tc>
          <w:tcPr>
            <w:tcW w:w="1520" w:type="dxa"/>
            <w:vAlign w:val="bottom"/>
            <w:gridSpan w:val="2"/>
          </w:tcPr>
          <w:p>
            <w:pPr>
              <w:jc w:val="center"/>
              <w:ind w:left="250"/>
              <w:spacing w:after="0"/>
              <w:rPr>
                <w:sz w:val="20"/>
                <w:szCs w:val="20"/>
                <w:color w:val="auto"/>
              </w:rPr>
            </w:pPr>
            <w:r>
              <w:rPr>
                <w:rFonts w:ascii="Arial" w:cs="Arial" w:eastAsia="Arial" w:hAnsi="Arial"/>
                <w:sz w:val="18"/>
                <w:szCs w:val="18"/>
                <w:color w:val="auto"/>
                <w:w w:val="85"/>
              </w:rPr>
              <w:t>4.20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center"/>
              <w:ind w:right="250"/>
              <w:spacing w:after="0"/>
              <w:rPr>
                <w:sz w:val="20"/>
                <w:szCs w:val="20"/>
                <w:color w:val="auto"/>
              </w:rPr>
            </w:pPr>
            <w:r>
              <w:rPr>
                <w:rFonts w:ascii="Arial" w:cs="Arial" w:eastAsia="Arial" w:hAnsi="Arial"/>
                <w:sz w:val="18"/>
                <w:szCs w:val="18"/>
                <w:color w:val="auto"/>
                <w:w w:val="91"/>
              </w:rPr>
              <w:t>3.90</w:t>
            </w:r>
          </w:p>
        </w:tc>
      </w:tr>
      <w:tr>
        <w:trPr>
          <w:trHeight w:val="216"/>
        </w:trPr>
        <w:tc>
          <w:tcPr>
            <w:tcW w:w="150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87"/>
              </w:rPr>
              <w:t>June 30, 2008</w:t>
            </w:r>
          </w:p>
        </w:tc>
        <w:tc>
          <w:tcPr>
            <w:tcW w:w="1520" w:type="dxa"/>
            <w:vAlign w:val="bottom"/>
            <w:gridSpan w:val="2"/>
            <w:shd w:val="clear" w:color="auto" w:fill="CBDBD1"/>
          </w:tcPr>
          <w:p>
            <w:pPr>
              <w:jc w:val="center"/>
              <w:ind w:left="250"/>
              <w:spacing w:after="0"/>
              <w:rPr>
                <w:sz w:val="20"/>
                <w:szCs w:val="20"/>
                <w:color w:val="auto"/>
              </w:rPr>
            </w:pPr>
            <w:r>
              <w:rPr>
                <w:rFonts w:ascii="Arial" w:cs="Arial" w:eastAsia="Arial" w:hAnsi="Arial"/>
                <w:sz w:val="18"/>
                <w:szCs w:val="18"/>
                <w:color w:val="auto"/>
                <w:w w:val="93"/>
              </w:rPr>
              <w:t>15.00</w:t>
            </w:r>
          </w:p>
        </w:tc>
        <w:tc>
          <w:tcPr>
            <w:tcW w:w="360" w:type="dxa"/>
            <w:vAlign w:val="bottom"/>
            <w:shd w:val="clear" w:color="auto" w:fill="CBDBD1"/>
          </w:tcPr>
          <w:p>
            <w:pPr>
              <w:spacing w:after="0"/>
              <w:rPr>
                <w:sz w:val="18"/>
                <w:szCs w:val="18"/>
                <w:color w:val="auto"/>
              </w:rPr>
            </w:pPr>
          </w:p>
        </w:tc>
        <w:tc>
          <w:tcPr>
            <w:tcW w:w="320" w:type="dxa"/>
            <w:vAlign w:val="bottom"/>
            <w:shd w:val="clear" w:color="auto" w:fill="CBDBD1"/>
          </w:tcPr>
          <w:p>
            <w:pPr>
              <w:spacing w:after="0"/>
              <w:rPr>
                <w:sz w:val="18"/>
                <w:szCs w:val="18"/>
                <w:color w:val="auto"/>
              </w:rPr>
            </w:pPr>
          </w:p>
        </w:tc>
        <w:tc>
          <w:tcPr>
            <w:tcW w:w="860" w:type="dxa"/>
            <w:vAlign w:val="bottom"/>
            <w:shd w:val="clear" w:color="auto" w:fill="CBDBD1"/>
          </w:tcPr>
          <w:p>
            <w:pPr>
              <w:jc w:val="center"/>
              <w:ind w:right="250"/>
              <w:spacing w:after="0"/>
              <w:rPr>
                <w:sz w:val="20"/>
                <w:szCs w:val="20"/>
                <w:color w:val="auto"/>
              </w:rPr>
            </w:pPr>
            <w:r>
              <w:rPr>
                <w:rFonts w:ascii="Arial" w:cs="Arial" w:eastAsia="Arial" w:hAnsi="Arial"/>
                <w:sz w:val="18"/>
                <w:szCs w:val="18"/>
                <w:color w:val="auto"/>
                <w:w w:val="91"/>
              </w:rPr>
              <w:t>3.90</w:t>
            </w:r>
          </w:p>
        </w:tc>
      </w:tr>
      <w:tr>
        <w:trPr>
          <w:trHeight w:val="230"/>
        </w:trPr>
        <w:tc>
          <w:tcPr>
            <w:tcW w:w="1500" w:type="dxa"/>
            <w:vAlign w:val="bottom"/>
          </w:tcPr>
          <w:p>
            <w:pPr>
              <w:jc w:val="center"/>
              <w:spacing w:after="0"/>
              <w:rPr>
                <w:sz w:val="20"/>
                <w:szCs w:val="20"/>
                <w:color w:val="auto"/>
              </w:rPr>
            </w:pPr>
            <w:r>
              <w:rPr>
                <w:rFonts w:ascii="Arial" w:cs="Arial" w:eastAsia="Arial" w:hAnsi="Arial"/>
                <w:sz w:val="18"/>
                <w:szCs w:val="18"/>
                <w:color w:val="auto"/>
                <w:w w:val="92"/>
              </w:rPr>
              <w:t>March 31, 2008</w:t>
            </w:r>
          </w:p>
        </w:tc>
        <w:tc>
          <w:tcPr>
            <w:tcW w:w="1520" w:type="dxa"/>
            <w:vAlign w:val="bottom"/>
            <w:gridSpan w:val="2"/>
          </w:tcPr>
          <w:p>
            <w:pPr>
              <w:jc w:val="center"/>
              <w:ind w:left="250"/>
              <w:spacing w:after="0"/>
              <w:rPr>
                <w:sz w:val="20"/>
                <w:szCs w:val="20"/>
                <w:color w:val="auto"/>
              </w:rPr>
            </w:pPr>
            <w:r>
              <w:rPr>
                <w:rFonts w:ascii="Arial" w:cs="Arial" w:eastAsia="Arial" w:hAnsi="Arial"/>
                <w:sz w:val="18"/>
                <w:szCs w:val="18"/>
                <w:color w:val="auto"/>
                <w:w w:val="85"/>
              </w:rPr>
              <w:t>7.00</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center"/>
              <w:ind w:right="250"/>
              <w:spacing w:after="0"/>
              <w:rPr>
                <w:sz w:val="20"/>
                <w:szCs w:val="20"/>
                <w:color w:val="auto"/>
              </w:rPr>
            </w:pPr>
            <w:r>
              <w:rPr>
                <w:rFonts w:ascii="Arial" w:cs="Arial" w:eastAsia="Arial" w:hAnsi="Arial"/>
                <w:sz w:val="18"/>
                <w:szCs w:val="18"/>
                <w:color w:val="auto"/>
                <w:w w:val="91"/>
              </w:rPr>
              <w:t>4.00</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On March 30, 2010, the last sales price per share of our common stock was $1.90.</w:t>
      </w:r>
    </w:p>
    <w:p>
      <w:pPr>
        <w:spacing w:after="0" w:line="200" w:lineRule="exact"/>
        <w:rPr>
          <w:sz w:val="20"/>
          <w:szCs w:val="20"/>
          <w:color w:val="auto"/>
        </w:rPr>
      </w:pPr>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2" w:right="71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Penny Stock</w:t>
      </w:r>
    </w:p>
    <w:p>
      <w:pPr>
        <w:spacing w:after="0" w:line="25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SEC has adopted rules that regulate broker-dealer practices in connection with transactions in penny stocks. Penny stocks are generally equity securities with a market price of less than $5.00, other than securities registered on certain national securities exchanges or quoted on the NASDAQ system, provided that current price and volume information with respect to transactions in such securities is provided by the exchange or system. The penny stock rules require a broker-dealer, prior to a transaction in a penny stock, to deliver a standardized risk disclosure document prepared by the SEC, that: (a) contains a description of the nature and level of risk in the market for penny stocks in both public offerings and secondary trading; (b) contains a description of the broker's or dealer's duties to the customer and of the rights and remedies available to the customer with respect to a violation of such duties or other requirements of the securities laws; (c) contains a brief, clear, narrative description of a dealer market, including bid and ask prices for penny stocks and the significance of the spread between the bid and ask price; (d) contains a toll-free telephone number for inquiries on disciplinary actions; (e) defines significant terms in the disclosure document or in the conduct of trading in penny stocks; and (f) contains such other information and is in such form, including language, type size and format, as the SEC shall require by rule or regulation.</w:t>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broker-dealer also must provide, prior to effecting any transaction in a penny stock, the customer with (a) bid and offer quotations for the penny stock; (b) the compensation of the broker-dealer and its salesperson in the transaction; (c) the number of shares to which such bid and ask prices apply, or other comparable information relating to the depth and liquidity of the market for such stock; and (d) a monthly account statement showing the market value of each penny stock held in the customer's account.</w:t>
      </w:r>
    </w:p>
    <w:p>
      <w:pPr>
        <w:spacing w:after="0" w:line="21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addition, the penny stock rules require that prior to a transaction in a penny stock not otherwise exempt from those rules, the broker-dealer must make a special written determination that the penny stock is a suitable investment for the purchaser and receive the purchaser's written acknowledgment of the receipt of a risk disclosure statement, a written agreement as to transactions involving penny stocks, and a signed and dated copy of a written suitability statement.</w:t>
      </w:r>
    </w:p>
    <w:p>
      <w:pPr>
        <w:spacing w:after="0" w:line="17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These disclosure requirements may have the effect of reducing the trading activity for our common stock. Therefore, stockholders may have difficulty selling our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w:t>
      </w:r>
    </w:p>
    <w:p>
      <w:pPr>
        <w:spacing w:after="0" w:line="25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December 31, 2009, we had 12,826,117 shares of our common stock issued and outstanding, held by 332 shareholders of record, not including those held in street name.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currently intend to retain future earnings for the operation of our business. We have never declared or paid cash dividends on our common stock, and we do not anticipate paying any cash dividends in the foreseeable future.</w:t>
      </w:r>
    </w:p>
    <w:p>
      <w:pPr>
        <w:spacing w:after="0" w:line="1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the event that a dividend is declared, common stockholders on the record date are entitled to share ratably in any dividends that may be declared from time to time on the common stock by our board of directors from funds legally available.</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There are no restrictions in our articles of incorporation or bylaws that restrict us from declaring dividends. The Nevada Revised Statutes, however, do prohibit us from declaring dividends where, after giving effect to the distribution of the dividend:</w:t>
      </w:r>
    </w:p>
    <w:p>
      <w:pPr>
        <w:spacing w:after="0" w:line="197"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would not be able to pay our debts as they become due in the usual course of business; or</w:t>
      </w:r>
    </w:p>
    <w:p>
      <w:pPr>
        <w:spacing w:after="0" w:line="252"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total assets would be less than the sum of our total liabilities, plus the amount that would be needed to satisfy the rights of shareholders who have preferential rights superior to those receiving the distribution.</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2008, 35 preferred shares were issued for $3,500,000. Issuance costs totaled $515,000 resulting in net proceeds of $2,985,000. The 35 shares are convertible to 3,500,000 shares of common stock and bear a 10% cumulative dividend. In addition, there was a warrant issued to purchase 6,000,000 shares of common stock at an exercise price of $2 for a period of seven years.</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the preferred stock are entitled to semi-annual dividends payable on the stated value of the Series A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A preferred stock shall also be convertible at the option of the holder into that number of shares of common stock of the Company at the stated value of such share at a $1 conversion price.</w:t>
      </w:r>
    </w:p>
    <w:p>
      <w:pPr>
        <w:spacing w:after="0" w:line="22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 The shares are required to be redeemed on September 5, 2010. As of December 31, 2009, the cumulative dividend was $547,774; however, it has not yet been declared.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3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March 5, 2008, our Board of Directors adopted the 2008 Company Stock Option Plan. The purpose of this plan is to provide incentives to attract, retain and motivate eligible persons whose present and potential contributions are important to our success, by offering them an opportunity to participate in the our future performance through awards of options, the right to purchase common stock and stock bonuses. We reserved 1,490,000 shares of our Common Stock for awards to be made under the 2008 Plan. The 2008 Plan is administered by a committee of two or more members of the Board of Directors or, if no committee is appointed, then by the Board of Directors. The committee, or the Board of Directors if there is no committee, determines who is eligible to receive awards under the plan, grant awards and interpret the 2008 Plan.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We also have warrants outstanding to purchase 7,086,500 shares of our common stock as of December 31, 2009.</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Compensation Plans as of December 31, 2008</w:t>
      </w:r>
    </w:p>
    <w:p>
      <w:pPr>
        <w:spacing w:after="0" w:line="1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rPr>
              <w:t>A</w:t>
            </w:r>
          </w:p>
        </w:tc>
        <w:tc>
          <w:tcPr>
            <w:tcW w:w="1740" w:type="dxa"/>
            <w:vAlign w:val="bottom"/>
          </w:tcPr>
          <w:p>
            <w:pPr>
              <w:jc w:val="center"/>
              <w:ind w:right="10"/>
              <w:spacing w:after="0"/>
              <w:rPr>
                <w:sz w:val="20"/>
                <w:szCs w:val="20"/>
                <w:color w:val="auto"/>
              </w:rPr>
            </w:pPr>
            <w:r>
              <w:rPr>
                <w:rFonts w:ascii="Arial" w:cs="Arial" w:eastAsia="Arial" w:hAnsi="Arial"/>
                <w:sz w:val="18"/>
                <w:szCs w:val="18"/>
                <w:color w:val="auto"/>
                <w:w w:val="99"/>
              </w:rPr>
              <w:t>B</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C</w:t>
            </w:r>
          </w:p>
        </w:tc>
      </w:tr>
      <w:tr>
        <w:trPr>
          <w:trHeight w:val="216"/>
        </w:trPr>
        <w:tc>
          <w:tcPr>
            <w:tcW w:w="2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2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0"/>
              </w:rPr>
              <w:t>remaining available</w:t>
            </w:r>
          </w:p>
        </w:tc>
      </w:tr>
      <w:tr>
        <w:trPr>
          <w:trHeight w:val="216"/>
        </w:trPr>
        <w:tc>
          <w:tcPr>
            <w:tcW w:w="2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w:t>
            </w:r>
          </w:p>
        </w:tc>
        <w:tc>
          <w:tcPr>
            <w:tcW w:w="17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Weighted-average</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8"/>
              </w:rPr>
              <w:t>for future issuance</w:t>
            </w:r>
          </w:p>
        </w:tc>
      </w:tr>
      <w:tr>
        <w:trPr>
          <w:trHeight w:val="216"/>
        </w:trPr>
        <w:tc>
          <w:tcPr>
            <w:tcW w:w="2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6"/>
              </w:rPr>
              <w:t>to be issued upon</w:t>
            </w:r>
          </w:p>
        </w:tc>
        <w:tc>
          <w:tcPr>
            <w:tcW w:w="174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exercise price of</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0"/>
              </w:rPr>
              <w:t>under equity</w:t>
            </w:r>
          </w:p>
        </w:tc>
      </w:tr>
      <w:tr>
        <w:trPr>
          <w:trHeight w:val="216"/>
        </w:trPr>
        <w:tc>
          <w:tcPr>
            <w:tcW w:w="2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5"/>
              </w:rPr>
              <w:t>exercise of</w:t>
            </w:r>
          </w:p>
        </w:tc>
        <w:tc>
          <w:tcPr>
            <w:tcW w:w="174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outstanding options,</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7"/>
              </w:rPr>
              <w:t>compensation plans</w:t>
            </w:r>
          </w:p>
        </w:tc>
      </w:tr>
      <w:tr>
        <w:trPr>
          <w:trHeight w:val="216"/>
        </w:trPr>
        <w:tc>
          <w:tcPr>
            <w:tcW w:w="2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7"/>
              </w:rPr>
              <w:t>outstanding options,</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2"/>
              </w:rPr>
              <w:t>warrants and right</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7"/>
              </w:rPr>
              <w:t>(excluding securities</w:t>
            </w:r>
          </w:p>
        </w:tc>
      </w:tr>
      <w:tr>
        <w:trPr>
          <w:trHeight w:val="216"/>
        </w:trPr>
        <w:tc>
          <w:tcPr>
            <w:tcW w:w="2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2"/>
              </w:rPr>
              <w:t>warrants and rights</w:t>
            </w:r>
          </w:p>
        </w:tc>
        <w:tc>
          <w:tcPr>
            <w:tcW w:w="17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9"/>
              </w:rPr>
              <w:t>reflected in column</w:t>
            </w:r>
          </w:p>
        </w:tc>
      </w:tr>
      <w:tr>
        <w:trPr>
          <w:trHeight w:val="234"/>
        </w:trPr>
        <w:tc>
          <w:tcPr>
            <w:tcW w:w="3840" w:type="dxa"/>
            <w:vAlign w:val="bottom"/>
            <w:gridSpan w:val="2"/>
          </w:tcPr>
          <w:p>
            <w:pPr>
              <w:ind w:left="2240"/>
              <w:spacing w:after="0"/>
              <w:rPr>
                <w:sz w:val="20"/>
                <w:szCs w:val="20"/>
                <w:color w:val="auto"/>
              </w:rPr>
            </w:pPr>
            <w:r>
              <w:rPr>
                <w:rFonts w:ascii="Arial" w:cs="Arial" w:eastAsia="Arial" w:hAnsi="Arial"/>
                <w:sz w:val="18"/>
                <w:szCs w:val="18"/>
                <w:b w:val="1"/>
                <w:bCs w:val="1"/>
                <w:color w:val="auto"/>
              </w:rPr>
              <w:t>Plan Category</w:t>
            </w:r>
          </w:p>
        </w:tc>
        <w:tc>
          <w:tcPr>
            <w:tcW w:w="18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6"/>
              </w:rPr>
              <w:t>(A))</w:t>
            </w:r>
          </w:p>
        </w:tc>
      </w:tr>
      <w:tr>
        <w:trPr>
          <w:trHeight w:val="202"/>
        </w:trPr>
        <w:tc>
          <w:tcPr>
            <w:tcW w:w="2240" w:type="dxa"/>
            <w:vAlign w:val="bottom"/>
          </w:tcPr>
          <w:p>
            <w:pPr>
              <w:spacing w:after="0"/>
              <w:rPr>
                <w:sz w:val="17"/>
                <w:szCs w:val="17"/>
                <w:color w:val="auto"/>
              </w:rPr>
            </w:pPr>
          </w:p>
        </w:tc>
        <w:tc>
          <w:tcPr>
            <w:tcW w:w="160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w w:val="94"/>
              </w:rPr>
              <w:t>Equity compensation</w:t>
            </w:r>
          </w:p>
        </w:tc>
        <w:tc>
          <w:tcPr>
            <w:tcW w:w="1800" w:type="dxa"/>
            <w:vAlign w:val="bottom"/>
            <w:shd w:val="clear" w:color="auto" w:fill="CBDBD1"/>
          </w:tcPr>
          <w:p>
            <w:pPr>
              <w:jc w:val="right"/>
              <w:spacing w:after="0" w:line="201" w:lineRule="exact"/>
              <w:rPr>
                <w:sz w:val="20"/>
                <w:szCs w:val="20"/>
                <w:color w:val="auto"/>
              </w:rPr>
            </w:pPr>
            <w:r>
              <w:rPr>
                <w:rFonts w:ascii="Arial" w:cs="Arial" w:eastAsia="Arial" w:hAnsi="Arial"/>
                <w:sz w:val="18"/>
                <w:szCs w:val="18"/>
                <w:color w:val="auto"/>
              </w:rPr>
              <w:t>-</w:t>
            </w:r>
          </w:p>
        </w:tc>
        <w:tc>
          <w:tcPr>
            <w:tcW w:w="1740" w:type="dxa"/>
            <w:vAlign w:val="bottom"/>
            <w:shd w:val="clear" w:color="auto" w:fill="CBDBD1"/>
          </w:tcPr>
          <w:p>
            <w:pPr>
              <w:jc w:val="right"/>
              <w:spacing w:after="0" w:line="201" w:lineRule="exact"/>
              <w:rPr>
                <w:sz w:val="20"/>
                <w:szCs w:val="20"/>
                <w:color w:val="auto"/>
              </w:rPr>
            </w:pPr>
            <w:r>
              <w:rPr>
                <w:rFonts w:ascii="Arial" w:cs="Arial" w:eastAsia="Arial" w:hAnsi="Arial"/>
                <w:sz w:val="18"/>
                <w:szCs w:val="18"/>
                <w:color w:val="auto"/>
              </w:rPr>
              <w:t>-</w:t>
            </w:r>
          </w:p>
        </w:tc>
        <w:tc>
          <w:tcPr>
            <w:tcW w:w="1700" w:type="dxa"/>
            <w:vAlign w:val="bottom"/>
            <w:shd w:val="clear" w:color="auto" w:fill="CBDBD1"/>
          </w:tcPr>
          <w:p>
            <w:pPr>
              <w:jc w:val="right"/>
              <w:spacing w:after="0" w:line="201" w:lineRule="exact"/>
              <w:rPr>
                <w:sz w:val="20"/>
                <w:szCs w:val="20"/>
                <w:color w:val="auto"/>
              </w:rPr>
            </w:pPr>
            <w:r>
              <w:rPr>
                <w:rFonts w:ascii="Arial" w:cs="Arial" w:eastAsia="Arial" w:hAnsi="Arial"/>
                <w:sz w:val="18"/>
                <w:szCs w:val="18"/>
                <w:color w:val="auto"/>
              </w:rPr>
              <w:t>-</w:t>
            </w:r>
          </w:p>
        </w:tc>
      </w:tr>
      <w:tr>
        <w:trPr>
          <w:trHeight w:val="216"/>
        </w:trPr>
        <w:tc>
          <w:tcPr>
            <w:tcW w:w="2240" w:type="dxa"/>
            <w:vAlign w:val="bottom"/>
          </w:tcPr>
          <w:p>
            <w:pPr>
              <w:spacing w:after="0"/>
              <w:rPr>
                <w:sz w:val="18"/>
                <w:szCs w:val="18"/>
                <w:color w:val="auto"/>
              </w:rPr>
            </w:pPr>
          </w:p>
        </w:tc>
        <w:tc>
          <w:tcPr>
            <w:tcW w:w="1600" w:type="dxa"/>
            <w:vAlign w:val="bottom"/>
            <w:shd w:val="clear" w:color="auto" w:fill="CBDBD1"/>
          </w:tcPr>
          <w:p>
            <w:pPr>
              <w:spacing w:after="0"/>
              <w:rPr>
                <w:sz w:val="20"/>
                <w:szCs w:val="20"/>
                <w:color w:val="auto"/>
              </w:rPr>
            </w:pPr>
            <w:r>
              <w:rPr>
                <w:rFonts w:ascii="Arial" w:cs="Arial" w:eastAsia="Arial" w:hAnsi="Arial"/>
                <w:sz w:val="18"/>
                <w:szCs w:val="18"/>
                <w:color w:val="auto"/>
              </w:rPr>
              <w:t>plans</w:t>
            </w:r>
          </w:p>
        </w:tc>
        <w:tc>
          <w:tcPr>
            <w:tcW w:w="1800" w:type="dxa"/>
            <w:vAlign w:val="bottom"/>
            <w:shd w:val="clear" w:color="auto" w:fill="CBDBD1"/>
          </w:tcPr>
          <w:p>
            <w:pPr>
              <w:spacing w:after="0"/>
              <w:rPr>
                <w:sz w:val="18"/>
                <w:szCs w:val="18"/>
                <w:color w:val="auto"/>
              </w:rPr>
            </w:pPr>
          </w:p>
        </w:tc>
        <w:tc>
          <w:tcPr>
            <w:tcW w:w="1740" w:type="dxa"/>
            <w:vAlign w:val="bottom"/>
            <w:shd w:val="clear" w:color="auto" w:fill="CBDBD1"/>
          </w:tcPr>
          <w:p>
            <w:pPr>
              <w:spacing w:after="0"/>
              <w:rPr>
                <w:sz w:val="18"/>
                <w:szCs w:val="18"/>
                <w:color w:val="auto"/>
              </w:rPr>
            </w:pPr>
          </w:p>
        </w:tc>
        <w:tc>
          <w:tcPr>
            <w:tcW w:w="1700" w:type="dxa"/>
            <w:vAlign w:val="bottom"/>
            <w:shd w:val="clear" w:color="auto" w:fill="CBDBD1"/>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1600" w:type="dxa"/>
            <w:vAlign w:val="bottom"/>
            <w:shd w:val="clear" w:color="auto" w:fill="CBDBD1"/>
          </w:tcPr>
          <w:p>
            <w:pPr>
              <w:spacing w:after="0"/>
              <w:rPr>
                <w:sz w:val="20"/>
                <w:szCs w:val="20"/>
                <w:color w:val="auto"/>
              </w:rPr>
            </w:pPr>
            <w:r>
              <w:rPr>
                <w:rFonts w:ascii="Arial" w:cs="Arial" w:eastAsia="Arial" w:hAnsi="Arial"/>
                <w:sz w:val="18"/>
                <w:szCs w:val="18"/>
                <w:color w:val="auto"/>
                <w:w w:val="95"/>
              </w:rPr>
              <w:t>approved by security</w:t>
            </w:r>
          </w:p>
        </w:tc>
        <w:tc>
          <w:tcPr>
            <w:tcW w:w="1800" w:type="dxa"/>
            <w:vAlign w:val="bottom"/>
            <w:shd w:val="clear" w:color="auto" w:fill="CBDBD1"/>
          </w:tcPr>
          <w:p>
            <w:pPr>
              <w:spacing w:after="0"/>
              <w:rPr>
                <w:sz w:val="18"/>
                <w:szCs w:val="18"/>
                <w:color w:val="auto"/>
              </w:rPr>
            </w:pPr>
          </w:p>
        </w:tc>
        <w:tc>
          <w:tcPr>
            <w:tcW w:w="1740" w:type="dxa"/>
            <w:vAlign w:val="bottom"/>
            <w:shd w:val="clear" w:color="auto" w:fill="CBDBD1"/>
          </w:tcPr>
          <w:p>
            <w:pPr>
              <w:spacing w:after="0"/>
              <w:rPr>
                <w:sz w:val="18"/>
                <w:szCs w:val="18"/>
                <w:color w:val="auto"/>
              </w:rPr>
            </w:pPr>
          </w:p>
        </w:tc>
        <w:tc>
          <w:tcPr>
            <w:tcW w:w="1700" w:type="dxa"/>
            <w:vAlign w:val="bottom"/>
            <w:shd w:val="clear" w:color="auto" w:fill="CBDBD1"/>
          </w:tcPr>
          <w:p>
            <w:pPr>
              <w:spacing w:after="0"/>
              <w:rPr>
                <w:sz w:val="18"/>
                <w:szCs w:val="18"/>
                <w:color w:val="auto"/>
              </w:rPr>
            </w:pPr>
          </w:p>
        </w:tc>
      </w:tr>
      <w:tr>
        <w:trPr>
          <w:trHeight w:val="230"/>
        </w:trPr>
        <w:tc>
          <w:tcPr>
            <w:tcW w:w="2240" w:type="dxa"/>
            <w:vAlign w:val="bottom"/>
          </w:tcPr>
          <w:p>
            <w:pPr>
              <w:spacing w:after="0"/>
              <w:rPr>
                <w:sz w:val="20"/>
                <w:szCs w:val="20"/>
                <w:color w:val="auto"/>
              </w:rPr>
            </w:pPr>
          </w:p>
        </w:tc>
        <w:tc>
          <w:tcPr>
            <w:tcW w:w="1600" w:type="dxa"/>
            <w:vAlign w:val="bottom"/>
            <w:shd w:val="clear" w:color="auto" w:fill="CBDBD1"/>
          </w:tcPr>
          <w:p>
            <w:pPr>
              <w:spacing w:after="0"/>
              <w:rPr>
                <w:sz w:val="20"/>
                <w:szCs w:val="20"/>
                <w:color w:val="auto"/>
              </w:rPr>
            </w:pPr>
            <w:r>
              <w:rPr>
                <w:rFonts w:ascii="Arial" w:cs="Arial" w:eastAsia="Arial" w:hAnsi="Arial"/>
                <w:sz w:val="18"/>
                <w:szCs w:val="18"/>
                <w:color w:val="auto"/>
              </w:rPr>
              <w:t>holders</w:t>
            </w:r>
          </w:p>
        </w:tc>
        <w:tc>
          <w:tcPr>
            <w:tcW w:w="1800" w:type="dxa"/>
            <w:vAlign w:val="bottom"/>
            <w:shd w:val="clear" w:color="auto" w:fill="CBDBD1"/>
          </w:tcPr>
          <w:p>
            <w:pPr>
              <w:spacing w:after="0"/>
              <w:rPr>
                <w:sz w:val="20"/>
                <w:szCs w:val="20"/>
                <w:color w:val="auto"/>
              </w:rPr>
            </w:pPr>
          </w:p>
        </w:tc>
        <w:tc>
          <w:tcPr>
            <w:tcW w:w="1740" w:type="dxa"/>
            <w:vAlign w:val="bottom"/>
            <w:shd w:val="clear" w:color="auto" w:fill="CBDBD1"/>
          </w:tcPr>
          <w:p>
            <w:pPr>
              <w:spacing w:after="0"/>
              <w:rPr>
                <w:sz w:val="20"/>
                <w:szCs w:val="20"/>
                <w:color w:val="auto"/>
              </w:rPr>
            </w:pPr>
          </w:p>
        </w:tc>
        <w:tc>
          <w:tcPr>
            <w:tcW w:w="1700" w:type="dxa"/>
            <w:vAlign w:val="bottom"/>
            <w:shd w:val="clear" w:color="auto" w:fill="CBDBD1"/>
          </w:tcPr>
          <w:p>
            <w:pPr>
              <w:spacing w:after="0"/>
              <w:rPr>
                <w:sz w:val="20"/>
                <w:szCs w:val="20"/>
                <w:color w:val="auto"/>
              </w:rPr>
            </w:pPr>
          </w:p>
        </w:tc>
      </w:tr>
      <w:tr>
        <w:trPr>
          <w:trHeight w:val="202"/>
        </w:trPr>
        <w:tc>
          <w:tcPr>
            <w:tcW w:w="2240" w:type="dxa"/>
            <w:vAlign w:val="bottom"/>
          </w:tcPr>
          <w:p>
            <w:pPr>
              <w:spacing w:after="0"/>
              <w:rPr>
                <w:sz w:val="17"/>
                <w:szCs w:val="17"/>
                <w:color w:val="auto"/>
              </w:rPr>
            </w:pPr>
          </w:p>
        </w:tc>
        <w:tc>
          <w:tcPr>
            <w:tcW w:w="1600" w:type="dxa"/>
            <w:vAlign w:val="bottom"/>
          </w:tcPr>
          <w:p>
            <w:pPr>
              <w:spacing w:after="0" w:line="201" w:lineRule="exact"/>
              <w:rPr>
                <w:sz w:val="20"/>
                <w:szCs w:val="20"/>
                <w:color w:val="auto"/>
              </w:rPr>
            </w:pPr>
            <w:r>
              <w:rPr>
                <w:rFonts w:ascii="Arial" w:cs="Arial" w:eastAsia="Arial" w:hAnsi="Arial"/>
                <w:sz w:val="18"/>
                <w:szCs w:val="18"/>
                <w:color w:val="auto"/>
                <w:w w:val="94"/>
              </w:rPr>
              <w:t>Equity compensation</w:t>
            </w:r>
          </w:p>
        </w:tc>
        <w:tc>
          <w:tcPr>
            <w:tcW w:w="1800" w:type="dxa"/>
            <w:vAlign w:val="bottom"/>
          </w:tcPr>
          <w:p>
            <w:pPr>
              <w:jc w:val="right"/>
              <w:spacing w:after="0" w:line="201" w:lineRule="exact"/>
              <w:rPr>
                <w:sz w:val="20"/>
                <w:szCs w:val="20"/>
                <w:color w:val="auto"/>
              </w:rPr>
            </w:pPr>
            <w:r>
              <w:rPr>
                <w:rFonts w:ascii="Arial" w:cs="Arial" w:eastAsia="Arial" w:hAnsi="Arial"/>
                <w:sz w:val="18"/>
                <w:szCs w:val="18"/>
                <w:color w:val="auto"/>
              </w:rPr>
              <w:t>7,336,500</w:t>
            </w:r>
          </w:p>
        </w:tc>
        <w:tc>
          <w:tcPr>
            <w:tcW w:w="1740" w:type="dxa"/>
            <w:vAlign w:val="bottom"/>
          </w:tcPr>
          <w:p>
            <w:pPr>
              <w:jc w:val="right"/>
              <w:spacing w:after="0" w:line="201" w:lineRule="exact"/>
              <w:rPr>
                <w:sz w:val="20"/>
                <w:szCs w:val="20"/>
                <w:color w:val="auto"/>
              </w:rPr>
            </w:pPr>
            <w:r>
              <w:rPr>
                <w:rFonts w:ascii="Arial" w:cs="Arial" w:eastAsia="Arial" w:hAnsi="Arial"/>
                <w:sz w:val="18"/>
                <w:szCs w:val="18"/>
                <w:color w:val="auto"/>
              </w:rPr>
              <w:t>$1.84</w:t>
            </w:r>
          </w:p>
        </w:tc>
        <w:tc>
          <w:tcPr>
            <w:tcW w:w="1700" w:type="dxa"/>
            <w:vAlign w:val="bottom"/>
          </w:tcPr>
          <w:p>
            <w:pPr>
              <w:jc w:val="right"/>
              <w:spacing w:after="0" w:line="201" w:lineRule="exact"/>
              <w:rPr>
                <w:sz w:val="20"/>
                <w:szCs w:val="20"/>
                <w:color w:val="auto"/>
              </w:rPr>
            </w:pPr>
            <w:r>
              <w:rPr>
                <w:rFonts w:ascii="Arial" w:cs="Arial" w:eastAsia="Arial" w:hAnsi="Arial"/>
                <w:sz w:val="18"/>
                <w:szCs w:val="18"/>
                <w:color w:val="auto"/>
              </w:rPr>
              <w:t>1,220,000</w:t>
            </w:r>
          </w:p>
        </w:tc>
      </w:tr>
      <w:tr>
        <w:trPr>
          <w:trHeight w:val="216"/>
        </w:trPr>
        <w:tc>
          <w:tcPr>
            <w:tcW w:w="3840" w:type="dxa"/>
            <w:vAlign w:val="bottom"/>
            <w:gridSpan w:val="2"/>
          </w:tcPr>
          <w:p>
            <w:pPr>
              <w:ind w:left="2240"/>
              <w:spacing w:after="0"/>
              <w:rPr>
                <w:sz w:val="20"/>
                <w:szCs w:val="20"/>
                <w:color w:val="auto"/>
              </w:rPr>
            </w:pPr>
            <w:r>
              <w:rPr>
                <w:rFonts w:ascii="Arial" w:cs="Arial" w:eastAsia="Arial" w:hAnsi="Arial"/>
                <w:sz w:val="18"/>
                <w:szCs w:val="18"/>
                <w:color w:val="auto"/>
              </w:rPr>
              <w:t>plans</w:t>
            </w:r>
          </w:p>
        </w:tc>
        <w:tc>
          <w:tcPr>
            <w:tcW w:w="18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3840" w:type="dxa"/>
            <w:vAlign w:val="bottom"/>
            <w:gridSpan w:val="2"/>
          </w:tcPr>
          <w:p>
            <w:pPr>
              <w:ind w:left="2240"/>
              <w:spacing w:after="0"/>
              <w:rPr>
                <w:sz w:val="20"/>
                <w:szCs w:val="20"/>
                <w:color w:val="auto"/>
              </w:rPr>
            </w:pPr>
            <w:r>
              <w:rPr>
                <w:rFonts w:ascii="Arial" w:cs="Arial" w:eastAsia="Arial" w:hAnsi="Arial"/>
                <w:sz w:val="18"/>
                <w:szCs w:val="18"/>
                <w:color w:val="auto"/>
              </w:rPr>
              <w:t>not approved by</w:t>
            </w:r>
          </w:p>
        </w:tc>
        <w:tc>
          <w:tcPr>
            <w:tcW w:w="18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3840" w:type="dxa"/>
            <w:vAlign w:val="bottom"/>
            <w:gridSpan w:val="2"/>
          </w:tcPr>
          <w:p>
            <w:pPr>
              <w:ind w:left="2240"/>
              <w:spacing w:after="0"/>
              <w:rPr>
                <w:sz w:val="20"/>
                <w:szCs w:val="20"/>
                <w:color w:val="auto"/>
              </w:rPr>
            </w:pPr>
            <w:r>
              <w:rPr>
                <w:rFonts w:ascii="Arial" w:cs="Arial" w:eastAsia="Arial" w:hAnsi="Arial"/>
                <w:sz w:val="18"/>
                <w:szCs w:val="18"/>
                <w:color w:val="auto"/>
              </w:rPr>
              <w:t>security</w:t>
            </w:r>
          </w:p>
        </w:tc>
        <w:tc>
          <w:tcPr>
            <w:tcW w:w="18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3840" w:type="dxa"/>
            <w:vAlign w:val="bottom"/>
            <w:gridSpan w:val="2"/>
          </w:tcPr>
          <w:p>
            <w:pPr>
              <w:ind w:left="2240"/>
              <w:spacing w:after="0"/>
              <w:rPr>
                <w:sz w:val="20"/>
                <w:szCs w:val="20"/>
                <w:color w:val="auto"/>
              </w:rPr>
            </w:pPr>
            <w:r>
              <w:rPr>
                <w:rFonts w:ascii="Arial" w:cs="Arial" w:eastAsia="Arial" w:hAnsi="Arial"/>
                <w:sz w:val="18"/>
                <w:szCs w:val="18"/>
                <w:color w:val="auto"/>
              </w:rPr>
              <w:t>holders</w:t>
            </w:r>
          </w:p>
        </w:tc>
        <w:tc>
          <w:tcPr>
            <w:tcW w:w="18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16"/>
        </w:trPr>
        <w:tc>
          <w:tcPr>
            <w:tcW w:w="2240" w:type="dxa"/>
            <w:vAlign w:val="bottom"/>
          </w:tcPr>
          <w:p>
            <w:pPr>
              <w:spacing w:after="0"/>
              <w:rPr>
                <w:sz w:val="18"/>
                <w:szCs w:val="18"/>
                <w:color w:val="auto"/>
              </w:rPr>
            </w:pPr>
          </w:p>
        </w:tc>
        <w:tc>
          <w:tcPr>
            <w:tcW w:w="1600" w:type="dxa"/>
            <w:vAlign w:val="bottom"/>
            <w:shd w:val="clear" w:color="auto" w:fill="CBDBD1"/>
          </w:tcPr>
          <w:p>
            <w:pPr>
              <w:spacing w:after="0"/>
              <w:rPr>
                <w:sz w:val="20"/>
                <w:szCs w:val="20"/>
                <w:color w:val="auto"/>
              </w:rPr>
            </w:pPr>
            <w:r>
              <w:rPr>
                <w:rFonts w:ascii="Arial" w:cs="Arial" w:eastAsia="Arial" w:hAnsi="Arial"/>
                <w:sz w:val="18"/>
                <w:szCs w:val="18"/>
                <w:color w:val="auto"/>
              </w:rPr>
              <w:t>Total</w:t>
            </w:r>
          </w:p>
        </w:tc>
        <w:tc>
          <w:tcPr>
            <w:tcW w:w="18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7,336,500</w:t>
            </w:r>
          </w:p>
        </w:tc>
        <w:tc>
          <w:tcPr>
            <w:tcW w:w="17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$1.84</w:t>
            </w:r>
          </w:p>
        </w:tc>
        <w:tc>
          <w:tcPr>
            <w:tcW w:w="17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1,220,000</w:t>
            </w:r>
          </w:p>
        </w:tc>
      </w:tr>
      <w:tr>
        <w:trPr>
          <w:trHeight w:val="459"/>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Recent Sales of Unregistered Securities</w:t>
            </w:r>
          </w:p>
        </w:tc>
        <w:tc>
          <w:tcPr>
            <w:tcW w:w="18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have 500,000,000 shares of $.001 par value common stock authorized as of December 31, 2009. There were 12,262,958 common shares issued and outstanding at December 31, 2009.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issued 284,000 shares of our common stock as compensation for services during the year ended December 31, 2009.</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We issued $265,908 shares of common stock upon the exercise of cashless warrants and $100,000 shares of common stock for $35,000 in cash.</w:t>
      </w:r>
    </w:p>
    <w:p>
      <w:pPr>
        <w:spacing w:after="0" w:line="26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issued 300,000 stock warrants in connection with non-employee services. We also issued 750,000 options as part of employment agreements with various employees.</w:t>
      </w:r>
    </w:p>
    <w:p>
      <w:pPr>
        <w:spacing w:after="0" w:line="19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These issuances were deemed to be exempt under rule 506 of Regulation D and Section 4(2) of the Securities Act of 1933, as amended, since, among other things, the transactions did not involve a public offering, the investors were accredited investors and / or qualified institutional buyers, the investors had access to information about the Company and their investment, the investors took the securities for investment and not resale, and the Company took appropriate measures to restrict the transfer of the securities.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Certain statements,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These forward-looking statements generally are identified by the words “believes,” “project,” “expects,” “anticipates,” “estimates,” “intends,” “strategy,” “plan,” “may,” “will,” “would,” “will be,” “will continue,” “will likely result,” and similar expressions. We intend such forward-looking statements to be covered by the safe-harbor provisions for forward-looking statements contained in the Private Securities Litigation Reform Act of 1995, and are including this statement for purposes of complying with those safe-harbor provisions.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affect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 We undertake no obligation to update or revise publicly any forward-looking statements, whether as a result of new information, future events or otherwise. Further information concerning our business, including additional factors that could materially affect our financial results, is included herein and in our other filings with the SEC.</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We are a development-stage company located in Michigan. Since our formation, our initial concentration had been on developing our direct to consumer business strategy and obtaining financing. We planned to expand awareness, traffic and database to our patient savings portal OPTIMIZERx.com, as well as the launch of our offer development systems OFFERx™ and ADHERxE. The primary components of our direct to consumer business are :</w:t>
      </w:r>
    </w:p>
    <w:p>
      <w:pPr>
        <w:spacing w:after="0" w:line="147" w:lineRule="exact"/>
        <w:rPr>
          <w:sz w:val="20"/>
          <w:szCs w:val="20"/>
          <w:color w:val="auto"/>
        </w:rPr>
      </w:pPr>
    </w:p>
    <w:p>
      <w:pPr>
        <w:ind w:left="1440" w:hanging="460"/>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online patient savings portal OPTIMIZERx.com and our network affiliates</w:t>
      </w:r>
    </w:p>
    <w:p>
      <w:pPr>
        <w:spacing w:after="0" w:line="23" w:lineRule="exact"/>
        <w:rPr>
          <w:rFonts w:ascii="Arial" w:cs="Arial" w:eastAsia="Arial" w:hAnsi="Arial"/>
          <w:sz w:val="18"/>
          <w:szCs w:val="18"/>
          <w:color w:val="auto"/>
        </w:rPr>
      </w:pPr>
    </w:p>
    <w:p>
      <w:pPr>
        <w:ind w:left="1440" w:hanging="460"/>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OFFERx to develop, promote and fulfill new offers from pharmaceutical and healthcare manufactures</w:t>
      </w:r>
    </w:p>
    <w:p>
      <w:pPr>
        <w:spacing w:after="0" w:line="9" w:lineRule="exact"/>
        <w:rPr>
          <w:rFonts w:ascii="Arial" w:cs="Arial" w:eastAsia="Arial" w:hAnsi="Arial"/>
          <w:sz w:val="18"/>
          <w:szCs w:val="18"/>
          <w:color w:val="auto"/>
        </w:rPr>
      </w:pPr>
    </w:p>
    <w:p>
      <w:pPr>
        <w:ind w:left="1440" w:hanging="460"/>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ADHERxE to allow manufacturers to re-engage their customers through the activation of new savings each month</w:t>
      </w:r>
    </w:p>
    <w:p>
      <w:pPr>
        <w:spacing w:after="0" w:line="2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plan to generate revenues through: (i) advertising sales from our Site and affiliate network; (ii) its database; (iii) direct marketing and sponsorships and (iv) our platforms to create, promote and manage new savings offers for additional clients.</w:t>
      </w:r>
    </w:p>
    <w:p>
      <w:pPr>
        <w:spacing w:after="0" w:line="19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have acquired over two million members to date. Upon this, management has been preparing and addressing all key issues to successfully serve and monetize the membership database, including: content, procurement of advertising sponsorships, technology and distribution. We originally planned to extend our reach and visibility through increased online, print and broadcast marketing to increase traffic and our database of qualified health care consumers. However, with our current membership base, along with the short period of time since acquiring the majority of our members and the sales cycle of attaining sponsorship and industry advertising programs to this new asset, we have minimually engaged in marketing to our database.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Management continues to believe the OPTIMIZERx database will be a very significant, on-going revenue stream over time. Currently we have a number of advertising proposals pending to major pharmaceutical companies and agencies, including Lilly, AstraZeneca, Publicis and Novartis, and are working with media and channel partners to continue to seek new ways to monetize</w:t>
      </w:r>
    </w:p>
    <w:p>
      <w:pPr>
        <w:spacing w:after="0" w:line="208"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During the past year, the company had also begun to develop its Direct to Physician solution ‘SampleMD. Today, almost 2/3 of doctors’ offices ban or limit drug representative and samples. Although samples are still valuable, many healthcare systems and doctors are looking for an easier, more effective way to increase affordable access and adherence to their prescribed branded medications. Based on this we have built SampleMD, a solution targeting providing a new way to administer and distribute samples and co-pays direct from the physician and benefiting the patient consumer.</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SampleMD was announced to the marketplace in October 2009 with great interest from the physician groups, IDN’s and GPO’s as well as the pharmaceutical manufacturers. With ease of use for the physicians, sample can again be prescribed to validate treatment of patients, and with greater reporting capabilities, the manufacturers now gain greater transparency to information relative to sample distribution and utilization. SampleMD will be launched within its first physician groups in spring of 2010 witih full roll out by summer / fall 2010.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2009 and 2008</w:t>
      </w:r>
    </w:p>
    <w:p>
      <w:pPr>
        <w:spacing w:after="0" w:line="256"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Since inception until December 31, 2009, we have generated $210,727 from advertising and use of our database. In the same period, we have incurred operating expenses in the amount of $4,906,090 related to funding the development of the business plan, new products and platforms and raising capital.</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Revenues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Our total revenue reported for the year ended December 31, 2009 was $26,723, a decrease from $83,686 for the year ended December 31, 2008.</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increased to $2,673,782 for the year ended December 31, 2009 from $1,591,738 for the year ended December 31, 2008. Our operating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expenses for the year ended December 31, 2009 consisted mainly of advertising expenses of $668,751, consulting fees of $852,736, salaries and wages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$524,500, website maintenance of $143,014, legal and accounting fees of $146,252, and travel expenses of $60,671. Our operating expenses for the year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ended December 31, 2008 consisted mainly of advertising expenses of $380,497, stock based compensation expenses of $333,004, consulting fees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$322,625, salaries and wages of $151,593, commission expenses of $87,825, website maintenance of $76,746, legal and accounting fees of $58,934,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travel expenses of $54,929.</w:t>
      </w: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2" w:right="29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Expenses</w:t>
      </w:r>
    </w:p>
    <w:p>
      <w:pPr>
        <w:spacing w:after="0" w:line="25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Other expenses decreased to $1,908,630 for the year ended December 31, 2009 from $2,740,801 for the year ended December 31, 2008. The decrease in other expenses for the year ended December 31, 2009 from the prior year is primarily attributable to a decrease in warrant based compensation. For the year ended December 31, 2009 we expensed $1,939,257 in warrant based compensation, as opposed to $2,745,280 in warrant based compensation for the year ended December 31, 2008.</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loss for the year ended December 31, 2009 was $4,555,689, compared to net loss of $4,248,853 for the year ended December 31, 2008.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December 31, 2009, we had total current assets of $678,951 and total assets in the amount of $890,142. Our total current liabilities as of December 31, 2009 were $37,830. We had working capital of $641,121 as of December 31, 2009.</w:t>
      </w:r>
    </w:p>
    <w:p>
      <w:pPr>
        <w:spacing w:after="0" w:line="19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Operating activities used $1,769,562 in cash for the year ended December 31, 2009. Our net loss of $4,555,689 was the primary component of our negative operating cash flow, offset mainly by $1,939,257 in stock warrants issued for services and $1,008,240 in stock options issued for compensation. Cash flows used by investing activities during the year ended December 31, 2009 was $107,700 for web development costs. Cash flows provided by financing activities during the year ended December 31, 2009 amounted to $31,000 and consisted of $35,000 as proceeds from the conversion of stock warrants offset by $4,000 in repayment of notes payable to related parties.</w:t>
      </w:r>
    </w:p>
    <w:p>
      <w:pPr>
        <w:spacing w:after="0" w:line="21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Sept 8, 2008 we received gross proceeds of $3,500,000 (net $2,985,000) from VICIS Capital for preferred equity share sales which was used towards our working capital.</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monthly use of funds is for general operations, product development, sales and marketing. Our operational overhead is generally minimized through our small staff and use of independent contractors.</w:t>
      </w:r>
    </w:p>
    <w:p>
      <w:pPr>
        <w:spacing w:after="0" w:line="19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Management feels that our current cash balance will allow us to meet the expenses required to continue the current level of operation to mid 2010, which does not include provision for financial support by revenue. Our expenses are expected to be roughly $110,000 to 120,000 per month, so we will need an additional $750,000 to $1,000,000 to carry us to the end of 2010 without the assistance of revenues.</w:t>
      </w:r>
    </w:p>
    <w:p>
      <w:pPr>
        <w:spacing w:after="0" w:line="208"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Based upon our current financial condition, we do not have sufficient cash to operate our business at the current level for the next twelve months. We intend to fund operations through increased sales and debt and/or equity financing arrangements, which may be insufficient to fund expenditures or other cash requirements. We plan to seek additional financing in a private equity offering to secure funding for operations. There can be no assurance that we will be successful in raising additional funding. If we are not able to secure additional funding, the implementation of our business plan will be impaired. There can be no assurance that such additional financing will be available to us on acceptable terms or at all.</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2009, there were no off 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25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Effective January 1, 2006, the Company adopted SFAS No. 123 (revised), "Share-Based Payment" (SFAS 123(R)) utilizing the modified prospective approach. Prior to the adoption of SFAS 123(R) we accounted for stock option grant in accordance with APB Opinion No. 25, “Accounting for Stock Issued to Employees," and accordingly, recognized compensation expense for stock option grants using the intrinsic value method.</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modified prospective approach, SFAS 123(R) applies to new awards and to awards that were outstanding on January 1, 2006 that are subsequently modified, repurchased or cancelled. Under the modified prospective approach, compensation cost recognized in the first quarter of fiscal 2006 includes compensation cost for all share-based payments granted prior to, but not yet vested as of January 1, 2006, based on the grant-date fair value estimated in accordance with the original provisions of SFAS 123, and compensation cost for all share-based payments granted subsequent to January 1, 2006 based on the grant-date fair value estimated in accordance with the provisions of SFAS 123(R). For all quarters after the first quarter of fiscal 2006, compensation costs recognized will include compensation costs for all share-based payments granted based on the grant date fair value estimated in accordance with the provisions of SFAS 123(R).</w:t>
      </w:r>
    </w:p>
    <w:p>
      <w:pPr>
        <w:spacing w:after="0" w:line="21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fair value of each option granted in 2009 is estimated on the date of grant using the Black-Scholes option-pricing model with the following weighted average assumptions: dividend yield of 0%, expected volatility of 44% to 233%, risk-free interest rate of .04% to .15% and expected life of 60 months. The Company recognized expense of $1,939,257 on the 1,050,000 options and warrants in 2009.</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2" w:right="3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Index to Financial Statements Required by Article 8 of Regulation S-X:</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Audited Financial Statements: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F-1</w:t>
              </w:r>
            </w:hyperlink>
          </w:p>
        </w:tc>
        <w:tc>
          <w:tcPr>
            <w:tcW w:w="740" w:type="dxa"/>
            <w:vAlign w:val="bottom"/>
          </w:tcPr>
          <w:p>
            <w:pPr>
              <w:spacing w:after="0"/>
              <w:rPr>
                <w:sz w:val="17"/>
                <w:szCs w:val="17"/>
                <w:color w:val="auto"/>
              </w:rPr>
            </w:pPr>
          </w:p>
        </w:tc>
        <w:tc>
          <w:tcPr>
            <w:tcW w:w="10420" w:type="dxa"/>
            <w:vAlign w:val="bottom"/>
            <w:gridSpan w:val="7"/>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Report of Independent Registered Public Accounting Firm</w:t>
              </w:r>
            </w:hyperlink>
          </w:p>
        </w:tc>
      </w:tr>
      <w:tr>
        <w:trPr>
          <w:trHeight w:val="20"/>
        </w:trPr>
        <w:tc>
          <w:tcPr>
            <w:tcW w:w="2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60" w:type="dxa"/>
            <w:vAlign w:val="bottom"/>
          </w:tcPr>
          <w:p>
            <w:pPr>
              <w:spacing w:after="0" w:line="196" w:lineRule="exact"/>
              <w:rPr>
                <w:rFonts w:ascii="Arial" w:cs="Arial" w:eastAsia="Arial" w:hAnsi="Arial"/>
                <w:sz w:val="18"/>
                <w:szCs w:val="18"/>
                <w:color w:val="0000EE"/>
                <w:w w:val="88"/>
              </w:rPr>
            </w:pPr>
            <w:hyperlink w:anchor="page21">
              <w:r>
                <w:rPr>
                  <w:rFonts w:ascii="Arial" w:cs="Arial" w:eastAsia="Arial" w:hAnsi="Arial"/>
                  <w:sz w:val="18"/>
                  <w:szCs w:val="18"/>
                  <w:color w:val="0000EE"/>
                  <w:w w:val="88"/>
                </w:rPr>
                <w:t>F-2</w:t>
              </w:r>
            </w:hyperlink>
          </w:p>
        </w:tc>
        <w:tc>
          <w:tcPr>
            <w:tcW w:w="740" w:type="dxa"/>
            <w:vAlign w:val="bottom"/>
          </w:tcPr>
          <w:p>
            <w:pPr>
              <w:spacing w:after="0"/>
              <w:rPr>
                <w:sz w:val="17"/>
                <w:szCs w:val="17"/>
                <w:color w:val="auto"/>
              </w:rPr>
            </w:pPr>
          </w:p>
        </w:tc>
        <w:tc>
          <w:tcPr>
            <w:tcW w:w="10420" w:type="dxa"/>
            <w:vAlign w:val="bottom"/>
            <w:gridSpan w:val="7"/>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ConsolidatedBalance Sheets as of December 31, 2009 and 2008;</w:t>
              </w:r>
            </w:hyperlink>
          </w:p>
        </w:tc>
      </w:tr>
      <w:tr>
        <w:trPr>
          <w:trHeight w:val="20"/>
        </w:trPr>
        <w:tc>
          <w:tcPr>
            <w:tcW w:w="2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22">
              <w:r>
                <w:rPr>
                  <w:rFonts w:ascii="Arial" w:cs="Arial" w:eastAsia="Arial" w:hAnsi="Arial"/>
                  <w:sz w:val="18"/>
                  <w:szCs w:val="18"/>
                  <w:color w:val="0000EE"/>
                  <w:w w:val="88"/>
                </w:rPr>
                <w:t>F-3</w:t>
              </w:r>
            </w:hyperlink>
          </w:p>
        </w:tc>
        <w:tc>
          <w:tcPr>
            <w:tcW w:w="740" w:type="dxa"/>
            <w:vAlign w:val="bottom"/>
          </w:tcPr>
          <w:p>
            <w:pPr>
              <w:spacing w:after="0"/>
              <w:rPr>
                <w:sz w:val="17"/>
                <w:szCs w:val="17"/>
                <w:color w:val="auto"/>
              </w:rPr>
            </w:pPr>
          </w:p>
        </w:tc>
        <w:tc>
          <w:tcPr>
            <w:tcW w:w="94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Statements of Operations for the years ended December 31, 2009 and 2008, and the periods from inception to December 31, 2009;</w:t>
              </w:r>
            </w:hyperlink>
          </w:p>
        </w:tc>
        <w:tc>
          <w:tcPr>
            <w:tcW w:w="1000" w:type="dxa"/>
            <w:vAlign w:val="bottom"/>
          </w:tcPr>
          <w:p>
            <w:pPr>
              <w:spacing w:after="0"/>
              <w:rPr>
                <w:sz w:val="17"/>
                <w:szCs w:val="17"/>
                <w:color w:val="auto"/>
              </w:rPr>
            </w:pPr>
          </w:p>
        </w:tc>
      </w:tr>
      <w:tr>
        <w:trPr>
          <w:trHeight w:val="196"/>
        </w:trPr>
        <w:tc>
          <w:tcPr>
            <w:tcW w:w="2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F-4</w:t>
              </w:r>
            </w:hyperlink>
          </w:p>
        </w:tc>
        <w:tc>
          <w:tcPr>
            <w:tcW w:w="740" w:type="dxa"/>
            <w:vAlign w:val="bottom"/>
          </w:tcPr>
          <w:p>
            <w:pPr>
              <w:spacing w:after="0"/>
              <w:rPr>
                <w:sz w:val="17"/>
                <w:szCs w:val="17"/>
                <w:color w:val="auto"/>
              </w:rPr>
            </w:pPr>
          </w:p>
        </w:tc>
        <w:tc>
          <w:tcPr>
            <w:tcW w:w="606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Statement of Stockholders’ Equity for period from inception to December 31, 2009;</w:t>
              </w:r>
            </w:hyperlink>
          </w:p>
        </w:tc>
        <w:tc>
          <w:tcPr>
            <w:tcW w:w="4360" w:type="dxa"/>
            <w:vAlign w:val="bottom"/>
            <w:gridSpan w:val="3"/>
          </w:tcPr>
          <w:p>
            <w:pPr>
              <w:spacing w:after="0"/>
              <w:rPr>
                <w:sz w:val="17"/>
                <w:szCs w:val="17"/>
                <w:color w:val="auto"/>
              </w:rPr>
            </w:pPr>
          </w:p>
        </w:tc>
      </w:tr>
      <w:tr>
        <w:trPr>
          <w:trHeight w:val="196"/>
        </w:trPr>
        <w:tc>
          <w:tcPr>
            <w:tcW w:w="2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24">
              <w:r>
                <w:rPr>
                  <w:rFonts w:ascii="Arial" w:cs="Arial" w:eastAsia="Arial" w:hAnsi="Arial"/>
                  <w:sz w:val="18"/>
                  <w:szCs w:val="18"/>
                  <w:color w:val="0000EE"/>
                  <w:w w:val="88"/>
                </w:rPr>
                <w:t>F-5</w:t>
              </w:r>
            </w:hyperlink>
          </w:p>
        </w:tc>
        <w:tc>
          <w:tcPr>
            <w:tcW w:w="740" w:type="dxa"/>
            <w:vAlign w:val="bottom"/>
          </w:tcPr>
          <w:p>
            <w:pPr>
              <w:spacing w:after="0"/>
              <w:rPr>
                <w:sz w:val="17"/>
                <w:szCs w:val="17"/>
                <w:color w:val="auto"/>
              </w:rPr>
            </w:pPr>
          </w:p>
        </w:tc>
        <w:tc>
          <w:tcPr>
            <w:tcW w:w="94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Statements of Cash Flows for the year ended December 31, 2009 and 2008, and the periods from inception to December 31, 2009;</w:t>
              </w:r>
            </w:hyperlink>
          </w:p>
        </w:tc>
        <w:tc>
          <w:tcPr>
            <w:tcW w:w="1020" w:type="dxa"/>
            <w:vAlign w:val="bottom"/>
            <w:gridSpan w:val="2"/>
          </w:tcPr>
          <w:p>
            <w:pPr>
              <w:spacing w:after="0"/>
              <w:rPr>
                <w:sz w:val="17"/>
                <w:szCs w:val="17"/>
                <w:color w:val="auto"/>
              </w:rPr>
            </w:pPr>
          </w:p>
        </w:tc>
      </w:tr>
      <w:tr>
        <w:trPr>
          <w:trHeight w:val="196"/>
        </w:trPr>
        <w:tc>
          <w:tcPr>
            <w:tcW w:w="260" w:type="dxa"/>
            <w:vAlign w:val="bottom"/>
          </w:tcPr>
          <w:p>
            <w:pPr>
              <w:spacing w:after="0" w:line="196"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F-6</w:t>
              </w:r>
            </w:hyperlink>
          </w:p>
        </w:tc>
        <w:tc>
          <w:tcPr>
            <w:tcW w:w="740" w:type="dxa"/>
            <w:vAlign w:val="bottom"/>
          </w:tcPr>
          <w:p>
            <w:pPr>
              <w:spacing w:after="0"/>
              <w:rPr>
                <w:sz w:val="17"/>
                <w:szCs w:val="17"/>
                <w:color w:val="auto"/>
              </w:rPr>
            </w:pPr>
          </w:p>
        </w:tc>
        <w:tc>
          <w:tcPr>
            <w:tcW w:w="10420" w:type="dxa"/>
            <w:vAlign w:val="bottom"/>
            <w:gridSpan w:val="7"/>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Notes to Financial Statements</w:t>
              </w:r>
            </w:hyperlink>
          </w:p>
        </w:tc>
      </w:tr>
      <w:tr>
        <w:trPr>
          <w:trHeight w:val="723"/>
        </w:trPr>
        <w:tc>
          <w:tcPr>
            <w:tcW w:w="26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2160" w:type="dxa"/>
            <w:vAlign w:val="bottom"/>
            <w:tcBorders>
              <w:top w:val="single" w:sz="8" w:color="0000EE"/>
            </w:tcBorders>
          </w:tcPr>
          <w:p>
            <w:pPr>
              <w:spacing w:after="0"/>
              <w:rPr>
                <w:sz w:val="24"/>
                <w:szCs w:val="24"/>
                <w:color w:val="auto"/>
              </w:rPr>
            </w:pPr>
          </w:p>
        </w:tc>
        <w:tc>
          <w:tcPr>
            <w:tcW w:w="3900" w:type="dxa"/>
            <w:vAlign w:val="bottom"/>
            <w:gridSpan w:val="3"/>
          </w:tcPr>
          <w:p>
            <w:pPr>
              <w:jc w:val="right"/>
              <w:ind w:right="1260"/>
              <w:spacing w:after="0"/>
              <w:rPr>
                <w:sz w:val="20"/>
                <w:szCs w:val="20"/>
                <w:color w:val="auto"/>
              </w:rPr>
            </w:pPr>
            <w:r>
              <w:rPr>
                <w:rFonts w:ascii="Arial" w:cs="Arial" w:eastAsia="Arial" w:hAnsi="Arial"/>
                <w:sz w:val="18"/>
                <w:szCs w:val="18"/>
                <w:color w:val="auto"/>
              </w:rPr>
              <w:t>19</w:t>
            </w:r>
          </w:p>
        </w:tc>
        <w:tc>
          <w:tcPr>
            <w:tcW w:w="3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8"/>
        </w:trPr>
        <w:tc>
          <w:tcPr>
            <w:tcW w:w="2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160" w:type="dxa"/>
            <w:vAlign w:val="bottom"/>
            <w:tcBorders>
              <w:bottom w:val="single" w:sz="8" w:color="808080"/>
            </w:tcBorders>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642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4280" w:type="dxa"/>
            <w:vAlign w:val="bottom"/>
            <w:vMerge w:val="restart"/>
          </w:tcPr>
          <w:p>
            <w:pPr>
              <w:jc w:val="right"/>
              <w:spacing w:after="0"/>
              <w:rPr>
                <w:sz w:val="20"/>
                <w:szCs w:val="20"/>
                <w:color w:val="auto"/>
              </w:rPr>
            </w:pPr>
            <w:r>
              <w:rPr>
                <w:rFonts w:ascii="Arial" w:cs="Arial" w:eastAsia="Arial" w:hAnsi="Arial"/>
                <w:sz w:val="22"/>
                <w:szCs w:val="22"/>
                <w:color w:val="auto"/>
              </w:rPr>
              <w:t>&amp; #160;</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280" w:type="dxa"/>
            <w:vAlign w:val="bottom"/>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20" w:type="dxa"/>
            <w:vAlign w:val="bottom"/>
            <w:gridSpan w:val="3"/>
          </w:tcPr>
          <w:p>
            <w:pPr>
              <w:spacing w:after="0" w:line="196" w:lineRule="exact"/>
              <w:rPr>
                <w:sz w:val="20"/>
                <w:szCs w:val="20"/>
                <w:color w:val="auto"/>
              </w:rPr>
            </w:pPr>
            <w:r>
              <w:rPr>
                <w:rFonts w:ascii="Arial" w:cs="Arial" w:eastAsia="Arial" w:hAnsi="Arial"/>
                <w:sz w:val="18"/>
                <w:szCs w:val="18"/>
                <w:color w:val="auto"/>
              </w:rPr>
              <w:t>Silberstein Ungar, PLLC CPAs and Business Advisors</w:t>
            </w:r>
          </w:p>
        </w:tc>
        <w:tc>
          <w:tcPr>
            <w:tcW w:w="428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20" w:type="dxa"/>
            <w:vAlign w:val="bottom"/>
            <w:tcBorders>
              <w:top w:val="single" w:sz="8" w:color="auto"/>
            </w:tcBorders>
          </w:tcPr>
          <w:p>
            <w:pPr>
              <w:spacing w:after="0"/>
              <w:rPr>
                <w:sz w:val="19"/>
                <w:szCs w:val="19"/>
                <w:color w:val="auto"/>
              </w:rPr>
            </w:pPr>
          </w:p>
        </w:tc>
        <w:tc>
          <w:tcPr>
            <w:tcW w:w="2900" w:type="dxa"/>
            <w:vAlign w:val="bottom"/>
            <w:tcBorders>
              <w:top w:val="single" w:sz="8" w:color="auto"/>
            </w:tcBorders>
          </w:tcPr>
          <w:p>
            <w:pPr>
              <w:spacing w:after="0"/>
              <w:rPr>
                <w:sz w:val="19"/>
                <w:szCs w:val="19"/>
                <w:color w:val="auto"/>
              </w:rPr>
            </w:pPr>
          </w:p>
        </w:tc>
        <w:tc>
          <w:tcPr>
            <w:tcW w:w="2500" w:type="dxa"/>
            <w:vAlign w:val="bottom"/>
          </w:tcPr>
          <w:p>
            <w:pPr>
              <w:spacing w:after="0"/>
              <w:rPr>
                <w:sz w:val="19"/>
                <w:szCs w:val="19"/>
                <w:color w:val="auto"/>
              </w:rPr>
            </w:pPr>
          </w:p>
        </w:tc>
        <w:tc>
          <w:tcPr>
            <w:tcW w:w="4280" w:type="dxa"/>
            <w:vAlign w:val="bottom"/>
          </w:tcPr>
          <w:p>
            <w:pPr>
              <w:jc w:val="right"/>
              <w:spacing w:after="0"/>
              <w:rPr>
                <w:sz w:val="20"/>
                <w:szCs w:val="20"/>
                <w:color w:val="auto"/>
              </w:rPr>
            </w:pPr>
            <w:r>
              <w:rPr>
                <w:rFonts w:ascii="Arial" w:cs="Arial" w:eastAsia="Arial" w:hAnsi="Arial"/>
                <w:sz w:val="18"/>
                <w:szCs w:val="18"/>
                <w:color w:val="auto"/>
              </w:rPr>
              <w:t>Phone (248)</w:t>
            </w:r>
          </w:p>
        </w:tc>
        <w:tc>
          <w:tcPr>
            <w:tcW w:w="720" w:type="dxa"/>
            <w:vAlign w:val="bottom"/>
          </w:tcPr>
          <w:p>
            <w:pPr>
              <w:jc w:val="right"/>
              <w:spacing w:after="0"/>
              <w:rPr>
                <w:sz w:val="20"/>
                <w:szCs w:val="20"/>
                <w:color w:val="auto"/>
              </w:rPr>
            </w:pPr>
            <w:r>
              <w:rPr>
                <w:rFonts w:ascii="Arial" w:cs="Arial" w:eastAsia="Arial" w:hAnsi="Arial"/>
                <w:sz w:val="18"/>
                <w:szCs w:val="18"/>
                <w:color w:val="auto"/>
                <w:w w:val="91"/>
              </w:rPr>
              <w:t>203-0080</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280" w:type="dxa"/>
            <w:vAlign w:val="bottom"/>
          </w:tcPr>
          <w:p>
            <w:pPr>
              <w:jc w:val="right"/>
              <w:spacing w:after="0"/>
              <w:rPr>
                <w:sz w:val="20"/>
                <w:szCs w:val="20"/>
                <w:color w:val="auto"/>
              </w:rPr>
            </w:pPr>
            <w:r>
              <w:rPr>
                <w:rFonts w:ascii="Arial" w:cs="Arial" w:eastAsia="Arial" w:hAnsi="Arial"/>
                <w:sz w:val="18"/>
                <w:szCs w:val="18"/>
                <w:color w:val="auto"/>
              </w:rPr>
              <w:t>Fax (248)</w:t>
            </w:r>
          </w:p>
        </w:tc>
        <w:tc>
          <w:tcPr>
            <w:tcW w:w="720" w:type="dxa"/>
            <w:vAlign w:val="bottom"/>
          </w:tcPr>
          <w:p>
            <w:pPr>
              <w:jc w:val="right"/>
              <w:spacing w:after="0"/>
              <w:rPr>
                <w:sz w:val="20"/>
                <w:szCs w:val="20"/>
                <w:color w:val="auto"/>
              </w:rPr>
            </w:pPr>
            <w:r>
              <w:rPr>
                <w:rFonts w:ascii="Arial" w:cs="Arial" w:eastAsia="Arial" w:hAnsi="Arial"/>
                <w:sz w:val="18"/>
                <w:szCs w:val="18"/>
                <w:color w:val="auto"/>
                <w:w w:val="91"/>
              </w:rPr>
              <w:t>281-0940</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30600 Telegraph Road, Suite 2175</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Bingham Farms, MI 48025-4586</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www.sucpas.com</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Michigan</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OptimizeRx Corporation, as of December 31, 2009 and 2008, and the related consolidated statements of operations, stockholders’ equity (deficit), and cash flows for the years then ended and the period from January 31, 2006 (inception) to December 31, 2009. These financial statements are the responsibility of the Companies management. Our responsibility is to express an opinion on these financial statements based on our audits.</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The Company has determined that it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0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OptimizeRx Corporation, as of December 31, 2009 and 2008 and the results of their operations and cash flows for the years then ended and for the period from January 31, 2006 (inception) to December 31, 2009, in conformity with accounting principles generally accepted in the United States.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consolidated financial statements have been prepared assuming that the OptimizeRx Corporation will continue as a going concern. As discussed in Note 14 to the financial statements, the Company has limited working capital, has received limited revenue from sales of products or services, and has incurred losses from operations. These factors raise substantial doubt about the Company’s ability to continue as a going concern. Management’s plans with regard to these matters are described in Note 14. The accompanying consolidated financial statements do not include any adjustments that might result from the outcome of this uncertainty.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Silberstein Ungar, PLLC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Silberstein Ungar, PLLC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Bingham Farms,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30, 2010</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BALANCE SHEETS</w:t>
      </w:r>
    </w:p>
    <w:p>
      <w:pPr>
        <w:spacing w:after="0" w:line="18" w:lineRule="exact"/>
        <w:rPr>
          <w:sz w:val="20"/>
          <w:szCs w:val="20"/>
          <w:color w:val="auto"/>
        </w:rPr>
      </w:pPr>
    </w:p>
    <w:tbl>
      <w:tblPr>
        <w:tblLayout w:type="fixed"/>
        <w:tblInd w:w="20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60" w:type="dxa"/>
            <w:vAlign w:val="bottom"/>
            <w:gridSpan w:val="4"/>
          </w:tcPr>
          <w:p>
            <w:pPr>
              <w:ind w:left="2100"/>
              <w:spacing w:after="0"/>
              <w:rPr>
                <w:sz w:val="20"/>
                <w:szCs w:val="20"/>
                <w:color w:val="auto"/>
              </w:rPr>
            </w:pPr>
            <w:r>
              <w:rPr>
                <w:rFonts w:ascii="Arial" w:cs="Arial" w:eastAsia="Arial" w:hAnsi="Arial"/>
                <w:sz w:val="18"/>
                <w:szCs w:val="18"/>
                <w:b w:val="1"/>
                <w:bCs w:val="1"/>
                <w:color w:val="auto"/>
              </w:rPr>
              <w:t>AS OF DECEMBER 31, 2009 AND 2008</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020" w:type="dxa"/>
            <w:vAlign w:val="bottom"/>
          </w:tcPr>
          <w:p>
            <w:pPr>
              <w:ind w:left="166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BDBD1"/>
          </w:tcPr>
          <w:p>
            <w:pPr>
              <w:ind w:left="3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BDBD1"/>
          </w:tcPr>
          <w:p>
            <w:pPr>
              <w:jc w:val="right"/>
              <w:ind w:right="20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656,394</w:t>
            </w:r>
          </w:p>
        </w:tc>
        <w:tc>
          <w:tcPr>
            <w:tcW w:w="120" w:type="dxa"/>
            <w:vAlign w:val="bottom"/>
            <w:shd w:val="clear" w:color="auto" w:fill="CBDBD1"/>
          </w:tcPr>
          <w:p>
            <w:pPr>
              <w:spacing w:after="0"/>
              <w:rPr>
                <w:sz w:val="18"/>
                <w:szCs w:val="18"/>
                <w:color w:val="auto"/>
              </w:rPr>
            </w:pPr>
          </w:p>
        </w:tc>
        <w:tc>
          <w:tcPr>
            <w:tcW w:w="360" w:type="dxa"/>
            <w:vAlign w:val="bottom"/>
            <w:shd w:val="clear" w:color="auto" w:fill="CBDBD1"/>
          </w:tcPr>
          <w:p>
            <w:pPr>
              <w:jc w:val="right"/>
              <w:ind w:right="20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2,502,656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Account receivable – trade</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14,465</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BDBD1"/>
          </w:tcPr>
          <w:p>
            <w:pPr>
              <w:ind w:left="320"/>
              <w:spacing w:after="0"/>
              <w:rPr>
                <w:sz w:val="20"/>
                <w:szCs w:val="20"/>
                <w:color w:val="auto"/>
              </w:rPr>
            </w:pPr>
            <w:r>
              <w:rPr>
                <w:rFonts w:ascii="Arial" w:cs="Arial" w:eastAsia="Arial" w:hAnsi="Arial"/>
                <w:sz w:val="18"/>
                <w:szCs w:val="18"/>
                <w:color w:val="auto"/>
              </w:rPr>
              <w:t>Account receivable – employee</w:t>
            </w:r>
          </w:p>
        </w:tc>
        <w:tc>
          <w:tcPr>
            <w:tcW w:w="360" w:type="dxa"/>
            <w:vAlign w:val="bottom"/>
            <w:shd w:val="clear" w:color="auto" w:fill="CBDBD1"/>
          </w:tcPr>
          <w:p>
            <w:pPr>
              <w:spacing w:after="0"/>
              <w:rPr>
                <w:sz w:val="18"/>
                <w:szCs w:val="18"/>
                <w:color w:val="auto"/>
              </w:rPr>
            </w:pPr>
          </w:p>
        </w:tc>
        <w:tc>
          <w:tcPr>
            <w:tcW w:w="1380" w:type="dxa"/>
            <w:vAlign w:val="bottom"/>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0</w:t>
            </w:r>
          </w:p>
        </w:tc>
        <w:tc>
          <w:tcPr>
            <w:tcW w:w="360" w:type="dxa"/>
            <w:vAlign w:val="bottom"/>
            <w:shd w:val="clear" w:color="auto" w:fill="CBDBD1"/>
          </w:tcPr>
          <w:p>
            <w:pPr>
              <w:spacing w:after="0"/>
              <w:rPr>
                <w:sz w:val="18"/>
                <w:szCs w:val="18"/>
                <w:color w:val="auto"/>
              </w:rPr>
            </w:pPr>
          </w:p>
        </w:tc>
        <w:tc>
          <w:tcPr>
            <w:tcW w:w="12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1,346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Prepaid expenses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8,092</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Total Current Assets</w:t>
            </w:r>
          </w:p>
        </w:tc>
        <w:tc>
          <w:tcPr>
            <w:tcW w:w="360" w:type="dxa"/>
            <w:vAlign w:val="bottom"/>
            <w:shd w:val="clear" w:color="auto" w:fill="CBDBD1"/>
          </w:tcPr>
          <w:p>
            <w:pPr>
              <w:spacing w:after="0"/>
              <w:rPr>
                <w:sz w:val="18"/>
                <w:szCs w:val="18"/>
                <w:color w:val="auto"/>
              </w:rPr>
            </w:pPr>
          </w:p>
        </w:tc>
        <w:tc>
          <w:tcPr>
            <w:tcW w:w="12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678,951</w:t>
            </w:r>
          </w:p>
        </w:tc>
        <w:tc>
          <w:tcPr>
            <w:tcW w:w="120" w:type="dxa"/>
            <w:vAlign w:val="bottom"/>
            <w:shd w:val="clear" w:color="auto" w:fill="CBDBD1"/>
          </w:tcPr>
          <w:p>
            <w:pPr>
              <w:spacing w:after="0"/>
              <w:rPr>
                <w:sz w:val="18"/>
                <w:szCs w:val="18"/>
                <w:color w:val="auto"/>
              </w:rPr>
            </w:pPr>
          </w:p>
        </w:tc>
        <w:tc>
          <w:tcPr>
            <w:tcW w:w="360" w:type="dxa"/>
            <w:vAlign w:val="bottom"/>
            <w:shd w:val="clear" w:color="auto" w:fill="CBDBD1"/>
          </w:tcPr>
          <w:p>
            <w:pPr>
              <w:spacing w:after="0"/>
              <w:rPr>
                <w:sz w:val="18"/>
                <w:szCs w:val="18"/>
                <w:color w:val="auto"/>
              </w:rPr>
            </w:pPr>
          </w:p>
        </w:tc>
        <w:tc>
          <w:tcPr>
            <w:tcW w:w="12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2,507,294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Property and Equipment, net</w:t>
            </w:r>
          </w:p>
        </w:tc>
        <w:tc>
          <w:tcPr>
            <w:tcW w:w="360" w:type="dxa"/>
            <w:vAlign w:val="bottom"/>
            <w:shd w:val="clear" w:color="auto" w:fill="CBDBD1"/>
          </w:tcPr>
          <w:p>
            <w:pPr>
              <w:spacing w:after="0"/>
              <w:rPr>
                <w:sz w:val="18"/>
                <w:szCs w:val="18"/>
                <w:color w:val="auto"/>
              </w:rPr>
            </w:pPr>
          </w:p>
        </w:tc>
        <w:tc>
          <w:tcPr>
            <w:tcW w:w="1380" w:type="dxa"/>
            <w:vAlign w:val="bottom"/>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13,581</w:t>
            </w:r>
          </w:p>
        </w:tc>
        <w:tc>
          <w:tcPr>
            <w:tcW w:w="360" w:type="dxa"/>
            <w:vAlign w:val="bottom"/>
            <w:shd w:val="clear" w:color="auto" w:fill="CBDBD1"/>
          </w:tcPr>
          <w:p>
            <w:pPr>
              <w:spacing w:after="0"/>
              <w:rPr>
                <w:sz w:val="18"/>
                <w:szCs w:val="18"/>
                <w:color w:val="auto"/>
              </w:rPr>
            </w:pPr>
          </w:p>
        </w:tc>
        <w:tc>
          <w:tcPr>
            <w:tcW w:w="12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15,270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20" w:type="dxa"/>
            <w:vAlign w:val="bottom"/>
            <w:tcBorders>
              <w:bottom w:val="single" w:sz="8" w:color="CBDBD1"/>
            </w:tcBorders>
            <w:shd w:val="clear" w:color="auto" w:fill="CBDBD1"/>
          </w:tcPr>
          <w:p>
            <w:pPr>
              <w:spacing w:after="0"/>
              <w:rPr>
                <w:sz w:val="20"/>
                <w:szCs w:val="20"/>
                <w:color w:val="auto"/>
              </w:rPr>
            </w:pPr>
            <w:r>
              <w:rPr>
                <w:rFonts w:ascii="Arial" w:cs="Arial" w:eastAsia="Arial" w:hAnsi="Arial"/>
                <w:sz w:val="18"/>
                <w:szCs w:val="18"/>
                <w:b w:val="1"/>
                <w:bCs w:val="1"/>
                <w:color w:val="auto"/>
              </w:rPr>
              <w:t>Web Development Costs, net</w:t>
            </w:r>
          </w:p>
        </w:tc>
        <w:tc>
          <w:tcPr>
            <w:tcW w:w="360" w:type="dxa"/>
            <w:vAlign w:val="bottom"/>
            <w:tcBorders>
              <w:bottom w:val="single" w:sz="8" w:color="auto"/>
            </w:tcBorders>
            <w:shd w:val="clear" w:color="auto" w:fill="CBDBD1"/>
          </w:tcPr>
          <w:p>
            <w:pPr>
              <w:spacing w:after="0"/>
              <w:rPr>
                <w:sz w:val="19"/>
                <w:szCs w:val="19"/>
                <w:color w:val="auto"/>
              </w:rPr>
            </w:pPr>
          </w:p>
        </w:tc>
        <w:tc>
          <w:tcPr>
            <w:tcW w:w="126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197,610</w:t>
            </w:r>
          </w:p>
        </w:tc>
        <w:tc>
          <w:tcPr>
            <w:tcW w:w="120" w:type="dxa"/>
            <w:vAlign w:val="bottom"/>
            <w:tcBorders>
              <w:bottom w:val="single" w:sz="8" w:color="CBDBD1"/>
            </w:tcBorders>
            <w:shd w:val="clear" w:color="auto" w:fill="CBDBD1"/>
          </w:tcPr>
          <w:p>
            <w:pPr>
              <w:spacing w:after="0"/>
              <w:rPr>
                <w:sz w:val="19"/>
                <w:szCs w:val="19"/>
                <w:color w:val="auto"/>
              </w:rPr>
            </w:pPr>
          </w:p>
        </w:tc>
        <w:tc>
          <w:tcPr>
            <w:tcW w:w="360" w:type="dxa"/>
            <w:vAlign w:val="bottom"/>
            <w:tcBorders>
              <w:bottom w:val="single" w:sz="8" w:color="auto"/>
            </w:tcBorders>
            <w:shd w:val="clear" w:color="auto" w:fill="CBDBD1"/>
          </w:tcPr>
          <w:p>
            <w:pPr>
              <w:spacing w:after="0"/>
              <w:rPr>
                <w:sz w:val="19"/>
                <w:szCs w:val="19"/>
                <w:color w:val="auto"/>
              </w:rPr>
            </w:pPr>
          </w:p>
        </w:tc>
        <w:tc>
          <w:tcPr>
            <w:tcW w:w="128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120,737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020" w:type="dxa"/>
            <w:vAlign w:val="bottom"/>
            <w:tcBorders>
              <w:bottom w:val="single" w:sz="8" w:color="CBDBD1"/>
            </w:tcBorders>
            <w:shd w:val="clear" w:color="auto" w:fill="CBDBD1"/>
          </w:tcPr>
          <w:p>
            <w:pPr>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bottom w:val="single" w:sz="8" w:color="auto"/>
            </w:tcBorders>
            <w:shd w:val="clear" w:color="auto" w:fill="CBDBD1"/>
          </w:tcPr>
          <w:p>
            <w:pPr>
              <w:jc w:val="right"/>
              <w:ind w:right="20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890,142</w:t>
            </w:r>
          </w:p>
        </w:tc>
        <w:tc>
          <w:tcPr>
            <w:tcW w:w="120" w:type="dxa"/>
            <w:vAlign w:val="bottom"/>
            <w:tcBorders>
              <w:bottom w:val="single" w:sz="8" w:color="CBDBD1"/>
            </w:tcBorders>
            <w:shd w:val="clear" w:color="auto" w:fill="CBDBD1"/>
          </w:tcPr>
          <w:p>
            <w:pPr>
              <w:spacing w:after="0"/>
              <w:rPr>
                <w:sz w:val="22"/>
                <w:szCs w:val="22"/>
                <w:color w:val="auto"/>
              </w:rPr>
            </w:pPr>
          </w:p>
        </w:tc>
        <w:tc>
          <w:tcPr>
            <w:tcW w:w="360" w:type="dxa"/>
            <w:vAlign w:val="bottom"/>
            <w:tcBorders>
              <w:bottom w:val="single" w:sz="8" w:color="auto"/>
            </w:tcBorders>
            <w:shd w:val="clear" w:color="auto" w:fill="CBDBD1"/>
          </w:tcPr>
          <w:p>
            <w:pPr>
              <w:jc w:val="right"/>
              <w:ind w:right="20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2,643,301</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BDBD1"/>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shd w:val="clear" w:color="auto" w:fill="CBDBD1"/>
          </w:tcPr>
          <w:p>
            <w:pPr>
              <w:spacing w:after="0"/>
              <w:rPr>
                <w:sz w:val="18"/>
                <w:szCs w:val="18"/>
                <w:color w:val="auto"/>
              </w:rPr>
            </w:pPr>
          </w:p>
        </w:tc>
        <w:tc>
          <w:tcPr>
            <w:tcW w:w="126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360" w:type="dxa"/>
            <w:vAlign w:val="bottom"/>
            <w:shd w:val="clear" w:color="auto" w:fill="CBDBD1"/>
          </w:tcPr>
          <w:p>
            <w:pPr>
              <w:spacing w:after="0"/>
              <w:rPr>
                <w:sz w:val="18"/>
                <w:szCs w:val="18"/>
                <w:color w:val="auto"/>
              </w:rPr>
            </w:pPr>
          </w:p>
        </w:tc>
        <w:tc>
          <w:tcPr>
            <w:tcW w:w="128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BDBD1"/>
          </w:tcPr>
          <w:p>
            <w:pPr>
              <w:ind w:left="32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BDBD1"/>
          </w:tcPr>
          <w:p>
            <w:pPr>
              <w:jc w:val="right"/>
              <w:ind w:right="20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33,224</w:t>
            </w:r>
          </w:p>
        </w:tc>
        <w:tc>
          <w:tcPr>
            <w:tcW w:w="360" w:type="dxa"/>
            <w:vAlign w:val="bottom"/>
            <w:shd w:val="clear" w:color="auto" w:fill="CBDBD1"/>
          </w:tcPr>
          <w:p>
            <w:pPr>
              <w:jc w:val="right"/>
              <w:ind w:right="20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171,864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4,606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Borders>
              <w:bottom w:val="single" w:sz="8" w:color="CBDBD1"/>
            </w:tcBorders>
            <w:shd w:val="clear" w:color="auto" w:fill="CBDBD1"/>
          </w:tcPr>
          <w:p>
            <w:pPr>
              <w:ind w:left="320"/>
              <w:spacing w:after="0"/>
              <w:rPr>
                <w:sz w:val="20"/>
                <w:szCs w:val="20"/>
                <w:color w:val="auto"/>
              </w:rPr>
            </w:pPr>
            <w:r>
              <w:rPr>
                <w:rFonts w:ascii="Arial" w:cs="Arial" w:eastAsia="Arial" w:hAnsi="Arial"/>
                <w:sz w:val="18"/>
                <w:szCs w:val="18"/>
                <w:color w:val="auto"/>
              </w:rPr>
              <w:t>Notes payable – related parties</w:t>
            </w:r>
          </w:p>
        </w:tc>
        <w:tc>
          <w:tcPr>
            <w:tcW w:w="360" w:type="dxa"/>
            <w:vAlign w:val="bottom"/>
            <w:tcBorders>
              <w:bottom w:val="single" w:sz="8" w:color="auto"/>
            </w:tcBorders>
            <w:shd w:val="clear" w:color="auto" w:fill="CBDBD1"/>
          </w:tcPr>
          <w:p>
            <w:pPr>
              <w:spacing w:after="0"/>
              <w:rPr>
                <w:sz w:val="19"/>
                <w:szCs w:val="19"/>
                <w:color w:val="auto"/>
              </w:rPr>
            </w:pPr>
          </w:p>
        </w:tc>
        <w:tc>
          <w:tcPr>
            <w:tcW w:w="126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BDBD1"/>
            </w:tcBorders>
            <w:shd w:val="clear" w:color="auto" w:fill="CBDBD1"/>
          </w:tcPr>
          <w:p>
            <w:pPr>
              <w:spacing w:after="0"/>
              <w:rPr>
                <w:sz w:val="19"/>
                <w:szCs w:val="19"/>
                <w:color w:val="auto"/>
              </w:rPr>
            </w:pPr>
          </w:p>
        </w:tc>
        <w:tc>
          <w:tcPr>
            <w:tcW w:w="360" w:type="dxa"/>
            <w:vAlign w:val="bottom"/>
            <w:tcBorders>
              <w:bottom w:val="single" w:sz="8" w:color="auto"/>
            </w:tcBorders>
            <w:shd w:val="clear" w:color="auto" w:fill="CBDBD1"/>
          </w:tcPr>
          <w:p>
            <w:pPr>
              <w:spacing w:after="0"/>
              <w:rPr>
                <w:sz w:val="19"/>
                <w:szCs w:val="19"/>
                <w:color w:val="auto"/>
              </w:rPr>
            </w:pPr>
          </w:p>
        </w:tc>
        <w:tc>
          <w:tcPr>
            <w:tcW w:w="128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4,000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37,830</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217,797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shd w:val="clear" w:color="auto" w:fill="CBDBD1"/>
          </w:tcPr>
          <w:p>
            <w:pPr>
              <w:spacing w:after="0"/>
              <w:rPr>
                <w:sz w:val="18"/>
                <w:szCs w:val="18"/>
                <w:color w:val="auto"/>
              </w:rPr>
            </w:pPr>
          </w:p>
        </w:tc>
        <w:tc>
          <w:tcPr>
            <w:tcW w:w="360" w:type="dxa"/>
            <w:vAlign w:val="bottom"/>
            <w:shd w:val="clear" w:color="auto" w:fill="CBDBD1"/>
          </w:tcPr>
          <w:p>
            <w:pPr>
              <w:spacing w:after="0"/>
              <w:rPr>
                <w:sz w:val="18"/>
                <w:szCs w:val="18"/>
                <w:color w:val="auto"/>
              </w:rPr>
            </w:pPr>
          </w:p>
        </w:tc>
        <w:tc>
          <w:tcPr>
            <w:tcW w:w="126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360" w:type="dxa"/>
            <w:vAlign w:val="bottom"/>
            <w:shd w:val="clear" w:color="auto" w:fill="CBDBD1"/>
          </w:tcPr>
          <w:p>
            <w:pPr>
              <w:spacing w:after="0"/>
              <w:rPr>
                <w:sz w:val="18"/>
                <w:szCs w:val="18"/>
                <w:color w:val="auto"/>
              </w:rPr>
            </w:pPr>
          </w:p>
        </w:tc>
        <w:tc>
          <w:tcPr>
            <w:tcW w:w="1280" w:type="dxa"/>
            <w:vAlign w:val="bottom"/>
            <w:shd w:val="clear" w:color="auto" w:fill="CBDBD1"/>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37,830</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217,797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shd w:val="clear" w:color="auto" w:fill="CBDBD1"/>
          </w:tcPr>
          <w:p>
            <w:pPr>
              <w:spacing w:after="0"/>
              <w:rPr>
                <w:sz w:val="18"/>
                <w:szCs w:val="18"/>
                <w:color w:val="auto"/>
              </w:rPr>
            </w:pPr>
          </w:p>
        </w:tc>
        <w:tc>
          <w:tcPr>
            <w:tcW w:w="360" w:type="dxa"/>
            <w:vAlign w:val="bottom"/>
            <w:tcBorders>
              <w:top w:val="single" w:sz="8" w:color="auto"/>
            </w:tcBorders>
            <w:shd w:val="clear" w:color="auto" w:fill="CBDBD1"/>
          </w:tcPr>
          <w:p>
            <w:pPr>
              <w:spacing w:after="0"/>
              <w:rPr>
                <w:sz w:val="18"/>
                <w:szCs w:val="18"/>
                <w:color w:val="auto"/>
              </w:rPr>
            </w:pPr>
          </w:p>
        </w:tc>
        <w:tc>
          <w:tcPr>
            <w:tcW w:w="1260" w:type="dxa"/>
            <w:vAlign w:val="bottom"/>
            <w:tcBorders>
              <w:top w:val="single" w:sz="8" w:color="auto"/>
            </w:tcBorders>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360" w:type="dxa"/>
            <w:vAlign w:val="bottom"/>
            <w:tcBorders>
              <w:top w:val="single" w:sz="8" w:color="auto"/>
            </w:tcBorders>
            <w:shd w:val="clear" w:color="auto" w:fill="CBDBD1"/>
          </w:tcPr>
          <w:p>
            <w:pPr>
              <w:spacing w:after="0"/>
              <w:rPr>
                <w:sz w:val="18"/>
                <w:szCs w:val="18"/>
                <w:color w:val="auto"/>
              </w:rPr>
            </w:pPr>
          </w:p>
        </w:tc>
        <w:tc>
          <w:tcPr>
            <w:tcW w:w="1280" w:type="dxa"/>
            <w:vAlign w:val="bottom"/>
            <w:tcBorders>
              <w:top w:val="single" w:sz="8" w:color="auto"/>
            </w:tcBorders>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shd w:val="clear" w:color="auto" w:fill="CBDBD1"/>
          </w:tcPr>
          <w:p>
            <w:pPr>
              <w:ind w:left="320"/>
              <w:spacing w:after="0" w:line="201" w:lineRule="exact"/>
              <w:rPr>
                <w:sz w:val="20"/>
                <w:szCs w:val="20"/>
                <w:color w:val="auto"/>
              </w:rPr>
            </w:pPr>
            <w:r>
              <w:rPr>
                <w:rFonts w:ascii="Arial" w:cs="Arial" w:eastAsia="Arial" w:hAnsi="Arial"/>
                <w:sz w:val="18"/>
                <w:szCs w:val="18"/>
                <w:color w:val="auto"/>
                <w:w w:val="98"/>
              </w:rPr>
              <w:t>Common stock, par $.001, 500,000,000 shares</w:t>
            </w:r>
          </w:p>
        </w:tc>
        <w:tc>
          <w:tcPr>
            <w:tcW w:w="360" w:type="dxa"/>
            <w:vAlign w:val="bottom"/>
            <w:shd w:val="clear" w:color="auto" w:fill="CBDBD1"/>
          </w:tcPr>
          <w:p>
            <w:pPr>
              <w:spacing w:after="0"/>
              <w:rPr>
                <w:sz w:val="17"/>
                <w:szCs w:val="17"/>
                <w:color w:val="auto"/>
              </w:rPr>
            </w:pPr>
          </w:p>
        </w:tc>
        <w:tc>
          <w:tcPr>
            <w:tcW w:w="126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360" w:type="dxa"/>
            <w:vAlign w:val="bottom"/>
            <w:shd w:val="clear" w:color="auto" w:fill="CBDBD1"/>
          </w:tcPr>
          <w:p>
            <w:pPr>
              <w:spacing w:after="0"/>
              <w:rPr>
                <w:sz w:val="17"/>
                <w:szCs w:val="17"/>
                <w:color w:val="auto"/>
              </w:rPr>
            </w:pPr>
          </w:p>
        </w:tc>
        <w:tc>
          <w:tcPr>
            <w:tcW w:w="1280" w:type="dxa"/>
            <w:vAlign w:val="bottom"/>
            <w:shd w:val="clear" w:color="auto" w:fill="CBDBD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BDBD1"/>
          </w:tcPr>
          <w:p>
            <w:pPr>
              <w:ind w:left="320"/>
              <w:spacing w:after="0"/>
              <w:rPr>
                <w:sz w:val="20"/>
                <w:szCs w:val="20"/>
                <w:color w:val="auto"/>
              </w:rPr>
            </w:pPr>
            <w:r>
              <w:rPr>
                <w:rFonts w:ascii="Arial" w:cs="Arial" w:eastAsia="Arial" w:hAnsi="Arial"/>
                <w:sz w:val="18"/>
                <w:szCs w:val="18"/>
                <w:color w:val="auto"/>
              </w:rPr>
              <w:t>authorized,</w:t>
            </w:r>
          </w:p>
        </w:tc>
        <w:tc>
          <w:tcPr>
            <w:tcW w:w="360" w:type="dxa"/>
            <w:vAlign w:val="bottom"/>
            <w:shd w:val="clear" w:color="auto" w:fill="CBDBD1"/>
          </w:tcPr>
          <w:p>
            <w:pPr>
              <w:spacing w:after="0"/>
              <w:rPr>
                <w:sz w:val="18"/>
                <w:szCs w:val="18"/>
                <w:color w:val="auto"/>
              </w:rPr>
            </w:pPr>
          </w:p>
        </w:tc>
        <w:tc>
          <w:tcPr>
            <w:tcW w:w="126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360" w:type="dxa"/>
            <w:vAlign w:val="bottom"/>
            <w:shd w:val="clear" w:color="auto" w:fill="CBDBD1"/>
          </w:tcPr>
          <w:p>
            <w:pPr>
              <w:spacing w:after="0"/>
              <w:rPr>
                <w:sz w:val="18"/>
                <w:szCs w:val="18"/>
                <w:color w:val="auto"/>
              </w:rPr>
            </w:pPr>
          </w:p>
        </w:tc>
        <w:tc>
          <w:tcPr>
            <w:tcW w:w="128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BDBD1"/>
          </w:tcPr>
          <w:p>
            <w:pPr>
              <w:ind w:left="320"/>
              <w:spacing w:after="0"/>
              <w:rPr>
                <w:sz w:val="20"/>
                <w:szCs w:val="20"/>
                <w:color w:val="auto"/>
              </w:rPr>
            </w:pPr>
            <w:r>
              <w:rPr>
                <w:rFonts w:ascii="Arial" w:cs="Arial" w:eastAsia="Arial" w:hAnsi="Arial"/>
                <w:sz w:val="18"/>
                <w:szCs w:val="18"/>
                <w:color w:val="auto"/>
              </w:rPr>
              <w:t>12,826,117 shares issued and outstanding</w:t>
            </w:r>
          </w:p>
        </w:tc>
        <w:tc>
          <w:tcPr>
            <w:tcW w:w="360" w:type="dxa"/>
            <w:vAlign w:val="bottom"/>
            <w:shd w:val="clear" w:color="auto" w:fill="CBDBD1"/>
          </w:tcPr>
          <w:p>
            <w:pPr>
              <w:spacing w:after="0"/>
              <w:rPr>
                <w:sz w:val="18"/>
                <w:szCs w:val="18"/>
                <w:color w:val="auto"/>
              </w:rPr>
            </w:pPr>
          </w:p>
        </w:tc>
        <w:tc>
          <w:tcPr>
            <w:tcW w:w="126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360" w:type="dxa"/>
            <w:vAlign w:val="bottom"/>
            <w:shd w:val="clear" w:color="auto" w:fill="CBDBD1"/>
          </w:tcPr>
          <w:p>
            <w:pPr>
              <w:spacing w:after="0"/>
              <w:rPr>
                <w:sz w:val="18"/>
                <w:szCs w:val="18"/>
                <w:color w:val="auto"/>
              </w:rPr>
            </w:pPr>
          </w:p>
        </w:tc>
        <w:tc>
          <w:tcPr>
            <w:tcW w:w="128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shd w:val="clear" w:color="auto" w:fill="CBDBD1"/>
          </w:tcPr>
          <w:p>
            <w:pPr>
              <w:ind w:left="320"/>
              <w:spacing w:after="0"/>
              <w:rPr>
                <w:sz w:val="20"/>
                <w:szCs w:val="20"/>
                <w:color w:val="auto"/>
              </w:rPr>
            </w:pPr>
            <w:r>
              <w:rPr>
                <w:rFonts w:ascii="Arial" w:cs="Arial" w:eastAsia="Arial" w:hAnsi="Arial"/>
                <w:sz w:val="18"/>
                <w:szCs w:val="18"/>
                <w:color w:val="auto"/>
              </w:rPr>
              <w:t>(12,262,958 – 2008)</w:t>
            </w:r>
          </w:p>
        </w:tc>
        <w:tc>
          <w:tcPr>
            <w:tcW w:w="360" w:type="dxa"/>
            <w:vAlign w:val="bottom"/>
            <w:shd w:val="clear" w:color="auto" w:fill="CBDBD1"/>
          </w:tcPr>
          <w:p>
            <w:pPr>
              <w:spacing w:after="0"/>
              <w:rPr>
                <w:sz w:val="20"/>
                <w:szCs w:val="20"/>
                <w:color w:val="auto"/>
              </w:rPr>
            </w:pPr>
          </w:p>
        </w:tc>
        <w:tc>
          <w:tcPr>
            <w:tcW w:w="1380" w:type="dxa"/>
            <w:vAlign w:val="bottom"/>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12,826</w:t>
            </w:r>
          </w:p>
        </w:tc>
        <w:tc>
          <w:tcPr>
            <w:tcW w:w="360" w:type="dxa"/>
            <w:vAlign w:val="bottom"/>
            <w:shd w:val="clear" w:color="auto" w:fill="CBDBD1"/>
          </w:tcPr>
          <w:p>
            <w:pPr>
              <w:spacing w:after="0"/>
              <w:rPr>
                <w:sz w:val="20"/>
                <w:szCs w:val="20"/>
                <w:color w:val="auto"/>
              </w:rPr>
            </w:pPr>
          </w:p>
        </w:tc>
        <w:tc>
          <w:tcPr>
            <w:tcW w:w="12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12,263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tcPr>
          <w:p>
            <w:pPr>
              <w:ind w:left="320"/>
              <w:spacing w:after="0" w:line="201" w:lineRule="exact"/>
              <w:rPr>
                <w:sz w:val="20"/>
                <w:szCs w:val="20"/>
                <w:color w:val="auto"/>
              </w:rPr>
            </w:pPr>
            <w:r>
              <w:rPr>
                <w:rFonts w:ascii="Arial" w:cs="Arial" w:eastAsia="Arial" w:hAnsi="Arial"/>
                <w:sz w:val="18"/>
                <w:szCs w:val="18"/>
                <w:color w:val="auto"/>
              </w:rPr>
              <w:t>Preferred stock, par $.001, 10,000,000 shares</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authorized,</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35 shares issued and outstanding</w:t>
            </w:r>
          </w:p>
        </w:tc>
        <w:tc>
          <w:tcPr>
            <w:tcW w:w="36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BDBD1"/>
          </w:tcPr>
          <w:p>
            <w:pPr>
              <w:ind w:left="320"/>
              <w:spacing w:after="0"/>
              <w:rPr>
                <w:sz w:val="20"/>
                <w:szCs w:val="20"/>
                <w:color w:val="auto"/>
              </w:rPr>
            </w:pPr>
            <w:r>
              <w:rPr>
                <w:rFonts w:ascii="Arial" w:cs="Arial" w:eastAsia="Arial" w:hAnsi="Arial"/>
                <w:sz w:val="18"/>
                <w:szCs w:val="18"/>
                <w:color w:val="auto"/>
              </w:rPr>
              <w:t>Stock warrants</w:t>
            </w:r>
          </w:p>
        </w:tc>
        <w:tc>
          <w:tcPr>
            <w:tcW w:w="360" w:type="dxa"/>
            <w:vAlign w:val="bottom"/>
            <w:shd w:val="clear" w:color="auto" w:fill="CBDBD1"/>
          </w:tcPr>
          <w:p>
            <w:pPr>
              <w:spacing w:after="0"/>
              <w:rPr>
                <w:sz w:val="18"/>
                <w:szCs w:val="18"/>
                <w:color w:val="auto"/>
              </w:rPr>
            </w:pPr>
          </w:p>
        </w:tc>
        <w:tc>
          <w:tcPr>
            <w:tcW w:w="1380" w:type="dxa"/>
            <w:vAlign w:val="bottom"/>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18,139,252</w:t>
            </w:r>
          </w:p>
        </w:tc>
        <w:tc>
          <w:tcPr>
            <w:tcW w:w="360" w:type="dxa"/>
            <w:vAlign w:val="bottom"/>
            <w:shd w:val="clear" w:color="auto" w:fill="CBDBD1"/>
          </w:tcPr>
          <w:p>
            <w:pPr>
              <w:spacing w:after="0"/>
              <w:rPr>
                <w:sz w:val="18"/>
                <w:szCs w:val="18"/>
                <w:color w:val="auto"/>
              </w:rPr>
            </w:pPr>
          </w:p>
        </w:tc>
        <w:tc>
          <w:tcPr>
            <w:tcW w:w="12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16,905,280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Paid in capital</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1,747,962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shd w:val="clear" w:color="auto" w:fill="CBDBD1"/>
          </w:tcPr>
          <w:p>
            <w:pPr>
              <w:ind w:left="320"/>
              <w:spacing w:after="0"/>
              <w:rPr>
                <w:sz w:val="20"/>
                <w:szCs w:val="20"/>
                <w:color w:val="auto"/>
              </w:rPr>
            </w:pPr>
            <w:r>
              <w:rPr>
                <w:rFonts w:ascii="Arial" w:cs="Arial" w:eastAsia="Arial" w:hAnsi="Arial"/>
                <w:sz w:val="18"/>
                <w:szCs w:val="18"/>
                <w:color w:val="auto"/>
                <w:w w:val="92"/>
              </w:rPr>
              <w:t>Deficit accumulated during the development stage</w:t>
            </w:r>
          </w:p>
        </w:tc>
        <w:tc>
          <w:tcPr>
            <w:tcW w:w="360" w:type="dxa"/>
            <w:vAlign w:val="bottom"/>
            <w:shd w:val="clear" w:color="auto" w:fill="CBDBD1"/>
          </w:tcPr>
          <w:p>
            <w:pPr>
              <w:spacing w:after="0"/>
              <w:rPr>
                <w:sz w:val="19"/>
                <w:szCs w:val="19"/>
                <w:color w:val="auto"/>
              </w:rPr>
            </w:pPr>
          </w:p>
        </w:tc>
        <w:tc>
          <w:tcPr>
            <w:tcW w:w="1380" w:type="dxa"/>
            <w:vAlign w:val="bottom"/>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(19,047,728)</w:t>
            </w:r>
          </w:p>
        </w:tc>
        <w:tc>
          <w:tcPr>
            <w:tcW w:w="360" w:type="dxa"/>
            <w:vAlign w:val="bottom"/>
            <w:shd w:val="clear" w:color="auto" w:fill="CBDBD1"/>
          </w:tcPr>
          <w:p>
            <w:pPr>
              <w:spacing w:after="0"/>
              <w:rPr>
                <w:sz w:val="19"/>
                <w:szCs w:val="19"/>
                <w:color w:val="auto"/>
              </w:rPr>
            </w:pPr>
          </w:p>
        </w:tc>
        <w:tc>
          <w:tcPr>
            <w:tcW w:w="12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(14,492,039)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Borders>
              <w:top w:val="single" w:sz="8" w:color="CBDBD1"/>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852,312</w:t>
            </w:r>
          </w:p>
        </w:tc>
        <w:tc>
          <w:tcPr>
            <w:tcW w:w="120" w:type="dxa"/>
            <w:vAlign w:val="bottom"/>
            <w:tcBorders>
              <w:top w:val="single" w:sz="8" w:color="CBDBD1"/>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2,425,504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shd w:val="clear" w:color="auto" w:fill="CBDBD1"/>
          </w:tcPr>
          <w:p>
            <w:pPr>
              <w:spacing w:after="0"/>
              <w:rPr>
                <w:sz w:val="18"/>
                <w:szCs w:val="18"/>
                <w:color w:val="auto"/>
              </w:rPr>
            </w:pPr>
          </w:p>
        </w:tc>
        <w:tc>
          <w:tcPr>
            <w:tcW w:w="360" w:type="dxa"/>
            <w:vAlign w:val="bottom"/>
            <w:shd w:val="clear" w:color="auto" w:fill="CBDBD1"/>
          </w:tcPr>
          <w:p>
            <w:pPr>
              <w:spacing w:after="0"/>
              <w:rPr>
                <w:sz w:val="18"/>
                <w:szCs w:val="18"/>
                <w:color w:val="auto"/>
              </w:rPr>
            </w:pPr>
          </w:p>
        </w:tc>
        <w:tc>
          <w:tcPr>
            <w:tcW w:w="126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360" w:type="dxa"/>
            <w:vAlign w:val="bottom"/>
            <w:shd w:val="clear" w:color="auto" w:fill="CBDBD1"/>
          </w:tcPr>
          <w:p>
            <w:pPr>
              <w:spacing w:after="0"/>
              <w:rPr>
                <w:sz w:val="18"/>
                <w:szCs w:val="18"/>
                <w:color w:val="auto"/>
              </w:rPr>
            </w:pPr>
          </w:p>
        </w:tc>
        <w:tc>
          <w:tcPr>
            <w:tcW w:w="128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20" w:type="dxa"/>
            <w:vAlign w:val="bottom"/>
          </w:tcPr>
          <w:p>
            <w:pPr>
              <w:spacing w:after="0" w:line="198" w:lineRule="exact"/>
              <w:rPr>
                <w:sz w:val="20"/>
                <w:szCs w:val="20"/>
                <w:color w:val="auto"/>
              </w:rPr>
            </w:pPr>
            <w:r>
              <w:rPr>
                <w:rFonts w:ascii="Arial" w:cs="Arial" w:eastAsia="Arial" w:hAnsi="Arial"/>
                <w:sz w:val="18"/>
                <w:szCs w:val="18"/>
                <w:b w:val="1"/>
                <w:bCs w:val="1"/>
                <w:color w:val="auto"/>
              </w:rPr>
              <w:t>TOTAL LIABILITIES AND STOCKHOLDERS’</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890,142</w:t>
            </w:r>
          </w:p>
        </w:tc>
        <w:tc>
          <w:tcPr>
            <w:tcW w:w="120" w:type="dxa"/>
            <w:vAlign w:val="bottom"/>
          </w:tcPr>
          <w:p>
            <w:pPr>
              <w:spacing w:after="0"/>
              <w:rPr>
                <w:sz w:val="20"/>
                <w:szCs w:val="20"/>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2,643,301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5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YEARS ENDED DECEMBER 31, 2009 AND 2008</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PERIOD FROM JANUARY 31, 2006 (INCEPTION) TO DECEMBER 31, 2009</w:t>
      </w:r>
    </w:p>
    <w:p>
      <w:pPr>
        <w:spacing w:after="0" w:line="23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Year ended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Year ended</w:t>
            </w:r>
          </w:p>
        </w:tc>
        <w:tc>
          <w:tcPr>
            <w:tcW w:w="60" w:type="dxa"/>
            <w:vAlign w:val="bottom"/>
          </w:tcPr>
          <w:p>
            <w:pPr>
              <w:spacing w:after="0"/>
              <w:rPr>
                <w:sz w:val="18"/>
                <w:szCs w:val="18"/>
                <w:color w:val="auto"/>
              </w:rPr>
            </w:pPr>
          </w:p>
        </w:tc>
        <w:tc>
          <w:tcPr>
            <w:tcW w:w="1500" w:type="dxa"/>
            <w:vAlign w:val="bottom"/>
            <w:gridSpan w:val="3"/>
          </w:tcPr>
          <w:p>
            <w:pPr>
              <w:ind w:left="40"/>
              <w:spacing w:after="0"/>
              <w:rPr>
                <w:sz w:val="20"/>
                <w:szCs w:val="20"/>
                <w:color w:val="auto"/>
              </w:rPr>
            </w:pPr>
            <w:r>
              <w:rPr>
                <w:rFonts w:ascii="Arial" w:cs="Arial" w:eastAsia="Arial" w:hAnsi="Arial"/>
                <w:sz w:val="18"/>
                <w:szCs w:val="18"/>
                <w:b w:val="1"/>
                <w:bCs w:val="1"/>
                <w:color w:val="auto"/>
                <w:w w:val="94"/>
              </w:rPr>
              <w:t>Inception through</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w w:val="88"/>
              </w:rPr>
              <w:t>December 31, 2009</w:t>
            </w:r>
          </w:p>
        </w:tc>
        <w:tc>
          <w:tcPr>
            <w:tcW w:w="120" w:type="dxa"/>
            <w:vAlign w:val="bottom"/>
          </w:tcPr>
          <w:p>
            <w:pPr>
              <w:spacing w:after="0"/>
              <w:rPr>
                <w:sz w:val="20"/>
                <w:szCs w:val="20"/>
                <w:color w:val="auto"/>
              </w:rPr>
            </w:pPr>
          </w:p>
        </w:tc>
        <w:tc>
          <w:tcPr>
            <w:tcW w:w="154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 2008</w:t>
            </w:r>
          </w:p>
        </w:tc>
        <w:tc>
          <w:tcPr>
            <w:tcW w:w="60" w:type="dxa"/>
            <w:vAlign w:val="bottom"/>
          </w:tcPr>
          <w:p>
            <w:pPr>
              <w:spacing w:after="0"/>
              <w:rPr>
                <w:sz w:val="20"/>
                <w:szCs w:val="20"/>
                <w:color w:val="auto"/>
              </w:rPr>
            </w:pPr>
          </w:p>
        </w:tc>
        <w:tc>
          <w:tcPr>
            <w:tcW w:w="1500" w:type="dxa"/>
            <w:vAlign w:val="bottom"/>
            <w:gridSpan w:val="3"/>
          </w:tcPr>
          <w:p>
            <w:pPr>
              <w:ind w:left="20"/>
              <w:spacing w:after="0"/>
              <w:rPr>
                <w:sz w:val="20"/>
                <w:szCs w:val="20"/>
                <w:color w:val="auto"/>
              </w:rPr>
            </w:pPr>
            <w:r>
              <w:rPr>
                <w:rFonts w:ascii="Arial" w:cs="Arial" w:eastAsia="Arial" w:hAnsi="Arial"/>
                <w:sz w:val="18"/>
                <w:szCs w:val="18"/>
                <w:b w:val="1"/>
                <w:bCs w:val="1"/>
                <w:color w:val="auto"/>
                <w:w w:val="90"/>
              </w:rPr>
              <w:t>December 31, 2009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GROSS REVENUES</w:t>
            </w:r>
          </w:p>
        </w:tc>
        <w:tc>
          <w:tcPr>
            <w:tcW w:w="180" w:type="dxa"/>
            <w:vAlign w:val="bottom"/>
            <w:shd w:val="clear" w:color="auto" w:fill="CBDBD1"/>
          </w:tcPr>
          <w:p>
            <w:pPr>
              <w:spacing w:after="0"/>
              <w:rPr>
                <w:sz w:val="20"/>
                <w:szCs w:val="20"/>
                <w:color w:val="auto"/>
              </w:rPr>
            </w:pPr>
            <w:r>
              <w:rPr>
                <w:rFonts w:ascii="Arial" w:cs="Arial" w:eastAsia="Arial" w:hAnsi="Arial"/>
                <w:sz w:val="18"/>
                <w:szCs w:val="18"/>
                <w:color w:val="auto"/>
              </w:rPr>
              <w:t>$</w:t>
            </w:r>
          </w:p>
        </w:tc>
        <w:tc>
          <w:tcPr>
            <w:tcW w:w="12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26,723</w:t>
            </w:r>
          </w:p>
        </w:tc>
        <w:tc>
          <w:tcPr>
            <w:tcW w:w="320" w:type="dxa"/>
            <w:vAlign w:val="bottom"/>
            <w:gridSpan w:val="2"/>
            <w:shd w:val="clear" w:color="auto" w:fill="CBDBD1"/>
          </w:tcPr>
          <w:p>
            <w:pPr>
              <w:ind w:lef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BDBD1"/>
          </w:tcPr>
          <w:p>
            <w:pPr>
              <w:jc w:val="right"/>
              <w:ind w:right="60"/>
              <w:spacing w:after="0"/>
              <w:rPr>
                <w:sz w:val="20"/>
                <w:szCs w:val="20"/>
                <w:color w:val="auto"/>
              </w:rPr>
            </w:pPr>
            <w:r>
              <w:rPr>
                <w:rFonts w:ascii="Arial" w:cs="Arial" w:eastAsia="Arial" w:hAnsi="Arial"/>
                <w:sz w:val="18"/>
                <w:szCs w:val="18"/>
                <w:color w:val="auto"/>
              </w:rPr>
              <w:t>83,686</w:t>
            </w:r>
          </w:p>
        </w:tc>
        <w:tc>
          <w:tcPr>
            <w:tcW w:w="420" w:type="dxa"/>
            <w:vAlign w:val="bottom"/>
            <w:gridSpan w:val="2"/>
            <w:shd w:val="clear" w:color="auto" w:fill="CBDBD1"/>
          </w:tcPr>
          <w:p>
            <w:pPr>
              <w:ind w:lef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210,727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300" w:type="dxa"/>
            <w:vAlign w:val="bottom"/>
            <w:tcBorders>
              <w:bottom w:val="single" w:sz="8" w:color="CBDBD1"/>
            </w:tcBorders>
            <w:shd w:val="clear" w:color="auto" w:fill="CBDBD1"/>
          </w:tcPr>
          <w:p>
            <w:pPr>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tcBorders>
              <w:bottom w:val="single" w:sz="8" w:color="auto"/>
            </w:tcBorders>
            <w:shd w:val="clear" w:color="auto" w:fill="CBDBD1"/>
          </w:tcPr>
          <w:p>
            <w:pPr>
              <w:spacing w:after="0"/>
              <w:rPr>
                <w:sz w:val="19"/>
                <w:szCs w:val="19"/>
                <w:color w:val="auto"/>
              </w:rPr>
            </w:pPr>
          </w:p>
        </w:tc>
        <w:tc>
          <w:tcPr>
            <w:tcW w:w="128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2,673,782</w:t>
            </w:r>
          </w:p>
        </w:tc>
        <w:tc>
          <w:tcPr>
            <w:tcW w:w="120" w:type="dxa"/>
            <w:vAlign w:val="bottom"/>
            <w:tcBorders>
              <w:bottom w:val="single" w:sz="8" w:color="CBDBD1"/>
            </w:tcBorders>
            <w:shd w:val="clear" w:color="auto" w:fill="CBDBD1"/>
          </w:tcPr>
          <w:p>
            <w:pPr>
              <w:spacing w:after="0"/>
              <w:rPr>
                <w:sz w:val="19"/>
                <w:szCs w:val="19"/>
                <w:color w:val="auto"/>
              </w:rPr>
            </w:pPr>
          </w:p>
        </w:tc>
        <w:tc>
          <w:tcPr>
            <w:tcW w:w="200" w:type="dxa"/>
            <w:vAlign w:val="bottom"/>
            <w:tcBorders>
              <w:bottom w:val="single" w:sz="8" w:color="auto"/>
            </w:tcBorders>
            <w:shd w:val="clear" w:color="auto" w:fill="CBDBD1"/>
          </w:tcPr>
          <w:p>
            <w:pPr>
              <w:spacing w:after="0"/>
              <w:rPr>
                <w:sz w:val="19"/>
                <w:szCs w:val="19"/>
                <w:color w:val="auto"/>
              </w:rPr>
            </w:pPr>
          </w:p>
        </w:tc>
        <w:tc>
          <w:tcPr>
            <w:tcW w:w="128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1,591,738</w:t>
            </w:r>
          </w:p>
        </w:tc>
        <w:tc>
          <w:tcPr>
            <w:tcW w:w="60" w:type="dxa"/>
            <w:vAlign w:val="bottom"/>
            <w:tcBorders>
              <w:bottom w:val="single" w:sz="8" w:color="CBDBD1"/>
            </w:tcBorders>
            <w:shd w:val="clear" w:color="auto" w:fill="CBDBD1"/>
          </w:tcPr>
          <w:p>
            <w:pPr>
              <w:spacing w:after="0"/>
              <w:rPr>
                <w:sz w:val="19"/>
                <w:szCs w:val="19"/>
                <w:color w:val="auto"/>
              </w:rPr>
            </w:pPr>
          </w:p>
        </w:tc>
        <w:tc>
          <w:tcPr>
            <w:tcW w:w="60" w:type="dxa"/>
            <w:vAlign w:val="bottom"/>
            <w:tcBorders>
              <w:bottom w:val="single" w:sz="8" w:color="CBDBD1"/>
            </w:tcBorders>
            <w:shd w:val="clear" w:color="auto" w:fill="CBDBD1"/>
          </w:tcPr>
          <w:p>
            <w:pPr>
              <w:spacing w:after="0"/>
              <w:rPr>
                <w:sz w:val="19"/>
                <w:szCs w:val="19"/>
                <w:color w:val="auto"/>
              </w:rPr>
            </w:pPr>
          </w:p>
        </w:tc>
        <w:tc>
          <w:tcPr>
            <w:tcW w:w="360" w:type="dxa"/>
            <w:vAlign w:val="bottom"/>
            <w:tcBorders>
              <w:bottom w:val="single" w:sz="8" w:color="auto"/>
            </w:tcBorders>
            <w:shd w:val="clear" w:color="auto" w:fill="CBDBD1"/>
          </w:tcPr>
          <w:p>
            <w:pPr>
              <w:spacing w:after="0"/>
              <w:rPr>
                <w:sz w:val="19"/>
                <w:szCs w:val="19"/>
                <w:color w:val="auto"/>
              </w:rPr>
            </w:pPr>
          </w:p>
        </w:tc>
        <w:tc>
          <w:tcPr>
            <w:tcW w:w="112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4,906,090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NET OPERATING LOSS</w:t>
            </w:r>
          </w:p>
        </w:tc>
        <w:tc>
          <w:tcPr>
            <w:tcW w:w="180" w:type="dxa"/>
            <w:vAlign w:val="bottom"/>
            <w:shd w:val="clear" w:color="auto" w:fill="CBDBD1"/>
          </w:tcPr>
          <w:p>
            <w:pPr>
              <w:spacing w:after="0"/>
              <w:rPr>
                <w:sz w:val="18"/>
                <w:szCs w:val="18"/>
                <w:color w:val="auto"/>
              </w:rPr>
            </w:pPr>
          </w:p>
        </w:tc>
        <w:tc>
          <w:tcPr>
            <w:tcW w:w="12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(2,647,059)</w:t>
            </w:r>
          </w:p>
        </w:tc>
        <w:tc>
          <w:tcPr>
            <w:tcW w:w="12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1340" w:type="dxa"/>
            <w:vAlign w:val="bottom"/>
            <w:gridSpan w:val="2"/>
            <w:shd w:val="clear" w:color="auto" w:fill="CBDBD1"/>
          </w:tcPr>
          <w:p>
            <w:pPr>
              <w:jc w:val="right"/>
              <w:ind w:right="60"/>
              <w:spacing w:after="0"/>
              <w:rPr>
                <w:sz w:val="20"/>
                <w:szCs w:val="20"/>
                <w:color w:val="auto"/>
              </w:rPr>
            </w:pPr>
            <w:r>
              <w:rPr>
                <w:rFonts w:ascii="Arial" w:cs="Arial" w:eastAsia="Arial" w:hAnsi="Arial"/>
                <w:sz w:val="18"/>
                <w:szCs w:val="18"/>
                <w:color w:val="auto"/>
              </w:rPr>
              <w:t>(1,508,052)</w:t>
            </w:r>
          </w:p>
        </w:tc>
        <w:tc>
          <w:tcPr>
            <w:tcW w:w="60" w:type="dxa"/>
            <w:vAlign w:val="bottom"/>
            <w:shd w:val="clear" w:color="auto" w:fill="CBDBD1"/>
          </w:tcPr>
          <w:p>
            <w:pPr>
              <w:spacing w:after="0"/>
              <w:rPr>
                <w:sz w:val="18"/>
                <w:szCs w:val="18"/>
                <w:color w:val="auto"/>
              </w:rPr>
            </w:pPr>
          </w:p>
        </w:tc>
        <w:tc>
          <w:tcPr>
            <w:tcW w:w="360" w:type="dxa"/>
            <w:vAlign w:val="bottom"/>
            <w:shd w:val="clear" w:color="auto" w:fill="CBDBD1"/>
          </w:tcPr>
          <w:p>
            <w:pPr>
              <w:spacing w:after="0"/>
              <w:rPr>
                <w:sz w:val="18"/>
                <w:szCs w:val="18"/>
                <w:color w:val="auto"/>
              </w:rPr>
            </w:pPr>
          </w:p>
        </w:tc>
        <w:tc>
          <w:tcPr>
            <w:tcW w:w="11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(4,695,363)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30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OTHER INCOME (EXPENSES)</w:t>
            </w:r>
          </w:p>
        </w:tc>
        <w:tc>
          <w:tcPr>
            <w:tcW w:w="180" w:type="dxa"/>
            <w:vAlign w:val="bottom"/>
            <w:shd w:val="clear" w:color="auto" w:fill="CBDBD1"/>
          </w:tcPr>
          <w:p>
            <w:pPr>
              <w:spacing w:after="0"/>
              <w:rPr>
                <w:sz w:val="19"/>
                <w:szCs w:val="19"/>
                <w:color w:val="auto"/>
              </w:rPr>
            </w:pPr>
          </w:p>
        </w:tc>
        <w:tc>
          <w:tcPr>
            <w:tcW w:w="12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(1,908,630)</w:t>
            </w:r>
          </w:p>
        </w:tc>
        <w:tc>
          <w:tcPr>
            <w:tcW w:w="120" w:type="dxa"/>
            <w:vAlign w:val="bottom"/>
            <w:shd w:val="clear" w:color="auto" w:fill="CBDBD1"/>
          </w:tcPr>
          <w:p>
            <w:pPr>
              <w:spacing w:after="0"/>
              <w:rPr>
                <w:sz w:val="19"/>
                <w:szCs w:val="19"/>
                <w:color w:val="auto"/>
              </w:rPr>
            </w:pPr>
          </w:p>
        </w:tc>
        <w:tc>
          <w:tcPr>
            <w:tcW w:w="200" w:type="dxa"/>
            <w:vAlign w:val="bottom"/>
            <w:shd w:val="clear" w:color="auto" w:fill="CBDBD1"/>
          </w:tcPr>
          <w:p>
            <w:pPr>
              <w:spacing w:after="0"/>
              <w:rPr>
                <w:sz w:val="19"/>
                <w:szCs w:val="19"/>
                <w:color w:val="auto"/>
              </w:rPr>
            </w:pPr>
          </w:p>
        </w:tc>
        <w:tc>
          <w:tcPr>
            <w:tcW w:w="1340" w:type="dxa"/>
            <w:vAlign w:val="bottom"/>
            <w:gridSpan w:val="2"/>
            <w:shd w:val="clear" w:color="auto" w:fill="CBDBD1"/>
          </w:tcPr>
          <w:p>
            <w:pPr>
              <w:jc w:val="right"/>
              <w:ind w:right="60"/>
              <w:spacing w:after="0"/>
              <w:rPr>
                <w:sz w:val="20"/>
                <w:szCs w:val="20"/>
                <w:color w:val="auto"/>
              </w:rPr>
            </w:pPr>
            <w:r>
              <w:rPr>
                <w:rFonts w:ascii="Arial" w:cs="Arial" w:eastAsia="Arial" w:hAnsi="Arial"/>
                <w:sz w:val="18"/>
                <w:szCs w:val="18"/>
                <w:color w:val="auto"/>
              </w:rPr>
              <w:t>(2,740,801)</w:t>
            </w:r>
          </w:p>
        </w:tc>
        <w:tc>
          <w:tcPr>
            <w:tcW w:w="60" w:type="dxa"/>
            <w:vAlign w:val="bottom"/>
            <w:shd w:val="clear" w:color="auto" w:fill="CBDBD1"/>
          </w:tcPr>
          <w:p>
            <w:pPr>
              <w:spacing w:after="0"/>
              <w:rPr>
                <w:sz w:val="19"/>
                <w:szCs w:val="19"/>
                <w:color w:val="auto"/>
              </w:rPr>
            </w:pPr>
          </w:p>
        </w:tc>
        <w:tc>
          <w:tcPr>
            <w:tcW w:w="360" w:type="dxa"/>
            <w:vAlign w:val="bottom"/>
            <w:shd w:val="clear" w:color="auto" w:fill="CBDBD1"/>
          </w:tcPr>
          <w:p>
            <w:pPr>
              <w:spacing w:after="0"/>
              <w:rPr>
                <w:sz w:val="19"/>
                <w:szCs w:val="19"/>
                <w:color w:val="auto"/>
              </w:rPr>
            </w:pPr>
          </w:p>
        </w:tc>
        <w:tc>
          <w:tcPr>
            <w:tcW w:w="11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(4,654,956)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tcBorders>
              <w:top w:val="single" w:sz="8" w:color="CBDBD1"/>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60" w:type="dxa"/>
            <w:vAlign w:val="bottom"/>
            <w:tcBorders>
              <w:top w:val="single" w:sz="8" w:color="CBDBD1"/>
            </w:tcBorders>
          </w:tcPr>
          <w:p>
            <w:pPr>
              <w:spacing w:after="0"/>
              <w:rPr>
                <w:sz w:val="18"/>
                <w:szCs w:val="18"/>
                <w:color w:val="auto"/>
              </w:rPr>
            </w:pPr>
          </w:p>
        </w:tc>
        <w:tc>
          <w:tcPr>
            <w:tcW w:w="60" w:type="dxa"/>
            <w:vAlign w:val="bottom"/>
            <w:tcBorders>
              <w:top w:val="single" w:sz="8" w:color="CBDBD1"/>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NET LOSS BEFORE INCOME TAXES</w:t>
            </w:r>
          </w:p>
        </w:tc>
        <w:tc>
          <w:tcPr>
            <w:tcW w:w="180" w:type="dxa"/>
            <w:vAlign w:val="bottom"/>
            <w:shd w:val="clear" w:color="auto" w:fill="CBDBD1"/>
          </w:tcPr>
          <w:p>
            <w:pPr>
              <w:spacing w:after="0"/>
              <w:rPr>
                <w:sz w:val="18"/>
                <w:szCs w:val="18"/>
                <w:color w:val="auto"/>
              </w:rPr>
            </w:pPr>
          </w:p>
        </w:tc>
        <w:tc>
          <w:tcPr>
            <w:tcW w:w="12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(4,555,689)</w:t>
            </w:r>
          </w:p>
        </w:tc>
        <w:tc>
          <w:tcPr>
            <w:tcW w:w="12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1340" w:type="dxa"/>
            <w:vAlign w:val="bottom"/>
            <w:gridSpan w:val="2"/>
            <w:shd w:val="clear" w:color="auto" w:fill="CBDBD1"/>
          </w:tcPr>
          <w:p>
            <w:pPr>
              <w:jc w:val="right"/>
              <w:ind w:right="60"/>
              <w:spacing w:after="0"/>
              <w:rPr>
                <w:sz w:val="20"/>
                <w:szCs w:val="20"/>
                <w:color w:val="auto"/>
              </w:rPr>
            </w:pPr>
            <w:r>
              <w:rPr>
                <w:rFonts w:ascii="Arial" w:cs="Arial" w:eastAsia="Arial" w:hAnsi="Arial"/>
                <w:sz w:val="18"/>
                <w:szCs w:val="18"/>
                <w:color w:val="auto"/>
              </w:rPr>
              <w:t>(4,248,853)</w:t>
            </w:r>
          </w:p>
        </w:tc>
        <w:tc>
          <w:tcPr>
            <w:tcW w:w="60" w:type="dxa"/>
            <w:vAlign w:val="bottom"/>
            <w:shd w:val="clear" w:color="auto" w:fill="CBDBD1"/>
          </w:tcPr>
          <w:p>
            <w:pPr>
              <w:spacing w:after="0"/>
              <w:rPr>
                <w:sz w:val="18"/>
                <w:szCs w:val="18"/>
                <w:color w:val="auto"/>
              </w:rPr>
            </w:pPr>
          </w:p>
        </w:tc>
        <w:tc>
          <w:tcPr>
            <w:tcW w:w="360" w:type="dxa"/>
            <w:vAlign w:val="bottom"/>
            <w:shd w:val="clear" w:color="auto" w:fill="CBDBD1"/>
          </w:tcPr>
          <w:p>
            <w:pPr>
              <w:spacing w:after="0"/>
              <w:rPr>
                <w:sz w:val="18"/>
                <w:szCs w:val="18"/>
                <w:color w:val="auto"/>
              </w:rPr>
            </w:pPr>
          </w:p>
        </w:tc>
        <w:tc>
          <w:tcPr>
            <w:tcW w:w="11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(9,350,319)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30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PROVISION FOR INCOME TAXES</w:t>
            </w:r>
          </w:p>
        </w:tc>
        <w:tc>
          <w:tcPr>
            <w:tcW w:w="180" w:type="dxa"/>
            <w:vAlign w:val="bottom"/>
            <w:shd w:val="clear" w:color="auto" w:fill="CBDBD1"/>
          </w:tcPr>
          <w:p>
            <w:pPr>
              <w:spacing w:after="0"/>
              <w:rPr>
                <w:sz w:val="19"/>
                <w:szCs w:val="19"/>
                <w:color w:val="auto"/>
              </w:rPr>
            </w:pPr>
          </w:p>
        </w:tc>
        <w:tc>
          <w:tcPr>
            <w:tcW w:w="12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BDBD1"/>
          </w:tcPr>
          <w:p>
            <w:pPr>
              <w:spacing w:after="0"/>
              <w:rPr>
                <w:sz w:val="19"/>
                <w:szCs w:val="19"/>
                <w:color w:val="auto"/>
              </w:rPr>
            </w:pPr>
          </w:p>
        </w:tc>
        <w:tc>
          <w:tcPr>
            <w:tcW w:w="200" w:type="dxa"/>
            <w:vAlign w:val="bottom"/>
            <w:shd w:val="clear" w:color="auto" w:fill="CBDBD1"/>
          </w:tcPr>
          <w:p>
            <w:pPr>
              <w:spacing w:after="0"/>
              <w:rPr>
                <w:sz w:val="19"/>
                <w:szCs w:val="19"/>
                <w:color w:val="auto"/>
              </w:rPr>
            </w:pPr>
          </w:p>
        </w:tc>
        <w:tc>
          <w:tcPr>
            <w:tcW w:w="1340" w:type="dxa"/>
            <w:vAlign w:val="bottom"/>
            <w:gridSpan w:val="2"/>
            <w:shd w:val="clear" w:color="auto" w:fill="CBDBD1"/>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BDBD1"/>
          </w:tcPr>
          <w:p>
            <w:pPr>
              <w:spacing w:after="0"/>
              <w:rPr>
                <w:sz w:val="19"/>
                <w:szCs w:val="19"/>
                <w:color w:val="auto"/>
              </w:rPr>
            </w:pPr>
          </w:p>
        </w:tc>
        <w:tc>
          <w:tcPr>
            <w:tcW w:w="360" w:type="dxa"/>
            <w:vAlign w:val="bottom"/>
            <w:shd w:val="clear" w:color="auto" w:fill="CBDBD1"/>
          </w:tcPr>
          <w:p>
            <w:pPr>
              <w:spacing w:after="0"/>
              <w:rPr>
                <w:sz w:val="19"/>
                <w:szCs w:val="19"/>
                <w:color w:val="auto"/>
              </w:rPr>
            </w:pPr>
          </w:p>
        </w:tc>
        <w:tc>
          <w:tcPr>
            <w:tcW w:w="11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tcBorders>
              <w:top w:val="single" w:sz="8" w:color="CBDBD1"/>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60" w:type="dxa"/>
            <w:vAlign w:val="bottom"/>
            <w:tcBorders>
              <w:top w:val="single" w:sz="8" w:color="CBDBD1"/>
            </w:tcBorders>
          </w:tcPr>
          <w:p>
            <w:pPr>
              <w:spacing w:after="0"/>
              <w:rPr>
                <w:sz w:val="18"/>
                <w:szCs w:val="18"/>
                <w:color w:val="auto"/>
              </w:rPr>
            </w:pPr>
          </w:p>
        </w:tc>
        <w:tc>
          <w:tcPr>
            <w:tcW w:w="60" w:type="dxa"/>
            <w:vAlign w:val="bottom"/>
            <w:tcBorders>
              <w:top w:val="single" w:sz="8" w:color="CBDBD1"/>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30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NET LOSS</w:t>
            </w:r>
          </w:p>
        </w:tc>
        <w:tc>
          <w:tcPr>
            <w:tcW w:w="180" w:type="dxa"/>
            <w:vAlign w:val="bottom"/>
            <w:shd w:val="clear" w:color="auto" w:fill="CBDBD1"/>
          </w:tcPr>
          <w:p>
            <w:pPr>
              <w:spacing w:after="0"/>
              <w:rPr>
                <w:sz w:val="20"/>
                <w:szCs w:val="20"/>
                <w:color w:val="auto"/>
              </w:rPr>
            </w:pPr>
            <w:r>
              <w:rPr>
                <w:rFonts w:ascii="Arial" w:cs="Arial" w:eastAsia="Arial" w:hAnsi="Arial"/>
                <w:sz w:val="18"/>
                <w:szCs w:val="18"/>
                <w:color w:val="auto"/>
              </w:rPr>
              <w:t>$</w:t>
            </w:r>
          </w:p>
        </w:tc>
        <w:tc>
          <w:tcPr>
            <w:tcW w:w="12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(4,555,689)</w:t>
            </w:r>
          </w:p>
        </w:tc>
        <w:tc>
          <w:tcPr>
            <w:tcW w:w="320" w:type="dxa"/>
            <w:vAlign w:val="bottom"/>
            <w:gridSpan w:val="2"/>
            <w:shd w:val="clear" w:color="auto" w:fill="CBDBD1"/>
          </w:tcPr>
          <w:p>
            <w:pPr>
              <w:ind w:lef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BDBD1"/>
          </w:tcPr>
          <w:p>
            <w:pPr>
              <w:jc w:val="right"/>
              <w:ind w:right="60"/>
              <w:spacing w:after="0"/>
              <w:rPr>
                <w:sz w:val="20"/>
                <w:szCs w:val="20"/>
                <w:color w:val="auto"/>
              </w:rPr>
            </w:pPr>
            <w:r>
              <w:rPr>
                <w:rFonts w:ascii="Arial" w:cs="Arial" w:eastAsia="Arial" w:hAnsi="Arial"/>
                <w:sz w:val="18"/>
                <w:szCs w:val="18"/>
                <w:color w:val="auto"/>
              </w:rPr>
              <w:t>(4,248,853)</w:t>
            </w:r>
          </w:p>
        </w:tc>
        <w:tc>
          <w:tcPr>
            <w:tcW w:w="420" w:type="dxa"/>
            <w:vAlign w:val="bottom"/>
            <w:gridSpan w:val="2"/>
            <w:shd w:val="clear" w:color="auto" w:fill="CBDBD1"/>
          </w:tcPr>
          <w:p>
            <w:pPr>
              <w:ind w:lef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(9,350,319)</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00" w:type="dxa"/>
            <w:vAlign w:val="bottom"/>
            <w:tcBorders>
              <w:top w:val="single" w:sz="8" w:color="CBDBD1"/>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60" w:type="dxa"/>
            <w:vAlign w:val="bottom"/>
            <w:tcBorders>
              <w:top w:val="single" w:sz="8" w:color="CBDBD1"/>
            </w:tcBorders>
          </w:tcPr>
          <w:p>
            <w:pPr>
              <w:spacing w:after="0"/>
              <w:rPr>
                <w:sz w:val="18"/>
                <w:szCs w:val="18"/>
                <w:color w:val="auto"/>
              </w:rPr>
            </w:pPr>
          </w:p>
        </w:tc>
        <w:tc>
          <w:tcPr>
            <w:tcW w:w="60" w:type="dxa"/>
            <w:vAlign w:val="bottom"/>
            <w:tcBorders>
              <w:top w:val="single" w:sz="8" w:color="CBDBD1"/>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300" w:type="dxa"/>
            <w:vAlign w:val="bottom"/>
            <w:shd w:val="clear" w:color="auto" w:fill="CBDBD1"/>
          </w:tcPr>
          <w:p>
            <w:pPr>
              <w:spacing w:after="0" w:line="198" w:lineRule="exact"/>
              <w:rPr>
                <w:sz w:val="20"/>
                <w:szCs w:val="20"/>
                <w:color w:val="auto"/>
              </w:rPr>
            </w:pPr>
            <w:r>
              <w:rPr>
                <w:rFonts w:ascii="Arial" w:cs="Arial" w:eastAsia="Arial" w:hAnsi="Arial"/>
                <w:sz w:val="18"/>
                <w:szCs w:val="18"/>
                <w:b w:val="1"/>
                <w:bCs w:val="1"/>
                <w:color w:val="auto"/>
              </w:rPr>
              <w:t>WEIGHTED AVERAGE NUMBER OF</w:t>
            </w:r>
          </w:p>
        </w:tc>
        <w:tc>
          <w:tcPr>
            <w:tcW w:w="180" w:type="dxa"/>
            <w:vAlign w:val="bottom"/>
            <w:shd w:val="clear" w:color="auto" w:fill="CBDBD1"/>
          </w:tcPr>
          <w:p>
            <w:pPr>
              <w:spacing w:after="0"/>
              <w:rPr>
                <w:sz w:val="17"/>
                <w:szCs w:val="17"/>
                <w:color w:val="auto"/>
              </w:rPr>
            </w:pPr>
          </w:p>
        </w:tc>
        <w:tc>
          <w:tcPr>
            <w:tcW w:w="128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200" w:type="dxa"/>
            <w:vAlign w:val="bottom"/>
            <w:shd w:val="clear" w:color="auto" w:fill="CBDBD1"/>
          </w:tcPr>
          <w:p>
            <w:pPr>
              <w:spacing w:after="0"/>
              <w:rPr>
                <w:sz w:val="17"/>
                <w:szCs w:val="17"/>
                <w:color w:val="auto"/>
              </w:rPr>
            </w:pPr>
          </w:p>
        </w:tc>
        <w:tc>
          <w:tcPr>
            <w:tcW w:w="1280" w:type="dxa"/>
            <w:vAlign w:val="bottom"/>
            <w:shd w:val="clear" w:color="auto" w:fill="CBDBD1"/>
          </w:tcPr>
          <w:p>
            <w:pPr>
              <w:spacing w:after="0"/>
              <w:rPr>
                <w:sz w:val="17"/>
                <w:szCs w:val="17"/>
                <w:color w:val="auto"/>
              </w:rPr>
            </w:pPr>
          </w:p>
        </w:tc>
        <w:tc>
          <w:tcPr>
            <w:tcW w:w="60" w:type="dxa"/>
            <w:vAlign w:val="bottom"/>
            <w:shd w:val="clear" w:color="auto" w:fill="CBDBD1"/>
          </w:tcPr>
          <w:p>
            <w:pPr>
              <w:spacing w:after="0"/>
              <w:rPr>
                <w:sz w:val="17"/>
                <w:szCs w:val="17"/>
                <w:color w:val="auto"/>
              </w:rPr>
            </w:pPr>
          </w:p>
        </w:tc>
        <w:tc>
          <w:tcPr>
            <w:tcW w:w="60" w:type="dxa"/>
            <w:vAlign w:val="bottom"/>
            <w:shd w:val="clear" w:color="auto" w:fill="CBDBD1"/>
          </w:tcPr>
          <w:p>
            <w:pPr>
              <w:spacing w:after="0"/>
              <w:rPr>
                <w:sz w:val="17"/>
                <w:szCs w:val="17"/>
                <w:color w:val="auto"/>
              </w:rPr>
            </w:pPr>
          </w:p>
        </w:tc>
        <w:tc>
          <w:tcPr>
            <w:tcW w:w="360" w:type="dxa"/>
            <w:vAlign w:val="bottom"/>
            <w:shd w:val="clear" w:color="auto" w:fill="CBDBD1"/>
          </w:tcPr>
          <w:p>
            <w:pPr>
              <w:spacing w:after="0"/>
              <w:rPr>
                <w:sz w:val="17"/>
                <w:szCs w:val="17"/>
                <w:color w:val="auto"/>
              </w:rPr>
            </w:pPr>
          </w:p>
        </w:tc>
        <w:tc>
          <w:tcPr>
            <w:tcW w:w="1120" w:type="dxa"/>
            <w:vAlign w:val="bottom"/>
            <w:shd w:val="clear" w:color="auto" w:fill="CBDBD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3300" w:type="dxa"/>
            <w:vAlign w:val="bottom"/>
            <w:tcBorders>
              <w:bottom w:val="single" w:sz="8" w:color="CBDBD1"/>
            </w:tcBorders>
            <w:shd w:val="clear" w:color="auto" w:fill="CBDBD1"/>
          </w:tcPr>
          <w:p>
            <w:pPr>
              <w:spacing w:after="0"/>
              <w:rPr>
                <w:sz w:val="20"/>
                <w:szCs w:val="20"/>
                <w:color w:val="auto"/>
              </w:rPr>
            </w:pPr>
            <w:r>
              <w:rPr>
                <w:rFonts w:ascii="Arial" w:cs="Arial" w:eastAsia="Arial" w:hAnsi="Arial"/>
                <w:sz w:val="18"/>
                <w:szCs w:val="18"/>
                <w:b w:val="1"/>
                <w:bCs w:val="1"/>
                <w:color w:val="auto"/>
              </w:rPr>
              <w:t>SHARES OUTSTANDING</w:t>
            </w:r>
          </w:p>
        </w:tc>
        <w:tc>
          <w:tcPr>
            <w:tcW w:w="180" w:type="dxa"/>
            <w:vAlign w:val="bottom"/>
            <w:tcBorders>
              <w:bottom w:val="single" w:sz="8" w:color="auto"/>
            </w:tcBorders>
            <w:shd w:val="clear" w:color="auto" w:fill="CBDBD1"/>
          </w:tcPr>
          <w:p>
            <w:pPr>
              <w:spacing w:after="0"/>
              <w:rPr>
                <w:sz w:val="23"/>
                <w:szCs w:val="23"/>
                <w:color w:val="auto"/>
              </w:rPr>
            </w:pPr>
          </w:p>
        </w:tc>
        <w:tc>
          <w:tcPr>
            <w:tcW w:w="128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12,583,841</w:t>
            </w:r>
          </w:p>
        </w:tc>
        <w:tc>
          <w:tcPr>
            <w:tcW w:w="120" w:type="dxa"/>
            <w:vAlign w:val="bottom"/>
            <w:tcBorders>
              <w:bottom w:val="single" w:sz="8" w:color="CBDBD1"/>
            </w:tcBorders>
            <w:shd w:val="clear" w:color="auto" w:fill="CBDBD1"/>
          </w:tcPr>
          <w:p>
            <w:pPr>
              <w:spacing w:after="0"/>
              <w:rPr>
                <w:sz w:val="23"/>
                <w:szCs w:val="23"/>
                <w:color w:val="auto"/>
              </w:rPr>
            </w:pPr>
          </w:p>
        </w:tc>
        <w:tc>
          <w:tcPr>
            <w:tcW w:w="200" w:type="dxa"/>
            <w:vAlign w:val="bottom"/>
            <w:tcBorders>
              <w:bottom w:val="single" w:sz="8" w:color="auto"/>
            </w:tcBorders>
            <w:shd w:val="clear" w:color="auto" w:fill="CBDBD1"/>
          </w:tcPr>
          <w:p>
            <w:pPr>
              <w:spacing w:after="0"/>
              <w:rPr>
                <w:sz w:val="23"/>
                <w:szCs w:val="23"/>
                <w:color w:val="auto"/>
              </w:rPr>
            </w:pPr>
          </w:p>
        </w:tc>
        <w:tc>
          <w:tcPr>
            <w:tcW w:w="128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12,014,772</w:t>
            </w:r>
          </w:p>
        </w:tc>
        <w:tc>
          <w:tcPr>
            <w:tcW w:w="60" w:type="dxa"/>
            <w:vAlign w:val="bottom"/>
            <w:tcBorders>
              <w:bottom w:val="single" w:sz="8" w:color="CBDBD1"/>
            </w:tcBorders>
            <w:shd w:val="clear" w:color="auto" w:fill="CBDBD1"/>
          </w:tcPr>
          <w:p>
            <w:pPr>
              <w:spacing w:after="0"/>
              <w:rPr>
                <w:sz w:val="23"/>
                <w:szCs w:val="23"/>
                <w:color w:val="auto"/>
              </w:rPr>
            </w:pPr>
          </w:p>
        </w:tc>
        <w:tc>
          <w:tcPr>
            <w:tcW w:w="60" w:type="dxa"/>
            <w:vAlign w:val="bottom"/>
            <w:tcBorders>
              <w:bottom w:val="single" w:sz="8" w:color="CBDBD1"/>
            </w:tcBorders>
            <w:shd w:val="clear" w:color="auto" w:fill="CBDBD1"/>
          </w:tcPr>
          <w:p>
            <w:pPr>
              <w:spacing w:after="0"/>
              <w:rPr>
                <w:sz w:val="23"/>
                <w:szCs w:val="23"/>
                <w:color w:val="auto"/>
              </w:rPr>
            </w:pPr>
          </w:p>
        </w:tc>
        <w:tc>
          <w:tcPr>
            <w:tcW w:w="360" w:type="dxa"/>
            <w:vAlign w:val="bottom"/>
            <w:tcBorders>
              <w:bottom w:val="single" w:sz="8" w:color="CBDBD1"/>
            </w:tcBorders>
            <w:shd w:val="clear" w:color="auto" w:fill="CBDBD1"/>
          </w:tcPr>
          <w:p>
            <w:pPr>
              <w:spacing w:after="0"/>
              <w:rPr>
                <w:sz w:val="23"/>
                <w:szCs w:val="23"/>
                <w:color w:val="auto"/>
              </w:rPr>
            </w:pPr>
          </w:p>
        </w:tc>
        <w:tc>
          <w:tcPr>
            <w:tcW w:w="1120" w:type="dxa"/>
            <w:vAlign w:val="bottom"/>
            <w:tcBorders>
              <w:bottom w:val="single" w:sz="8" w:color="CBDBD1"/>
            </w:tcBorders>
            <w:shd w:val="clear" w:color="auto" w:fill="CBDBD1"/>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b w:val="1"/>
                <w:bCs w:val="1"/>
                <w:color w:val="auto"/>
              </w:rPr>
              <w:t>NET LOSS PER SHARE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(0.36)</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(0.35)</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5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 OF STOCKHOLDERS’ EQUITY (DEFICIT)</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AS OF DECEMBER 31, 2009</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Deficit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During the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Common Stock</w:t>
            </w:r>
          </w:p>
        </w:tc>
        <w:tc>
          <w:tcPr>
            <w:tcW w:w="80" w:type="dxa"/>
            <w:vAlign w:val="bottom"/>
          </w:tcPr>
          <w:p>
            <w:pPr>
              <w:spacing w:after="0"/>
              <w:rPr>
                <w:sz w:val="18"/>
                <w:szCs w:val="18"/>
                <w:color w:val="auto"/>
              </w:rPr>
            </w:pPr>
          </w:p>
        </w:tc>
        <w:tc>
          <w:tcPr>
            <w:tcW w:w="1340" w:type="dxa"/>
            <w:vAlign w:val="bottom"/>
            <w:gridSpan w:val="4"/>
          </w:tcPr>
          <w:p>
            <w:pPr>
              <w:jc w:val="right"/>
              <w:spacing w:after="0"/>
              <w:rPr>
                <w:sz w:val="20"/>
                <w:szCs w:val="20"/>
                <w:color w:val="auto"/>
              </w:rPr>
            </w:pPr>
            <w:r>
              <w:rPr>
                <w:rFonts w:ascii="Arial" w:cs="Arial" w:eastAsia="Arial" w:hAnsi="Arial"/>
                <w:sz w:val="18"/>
                <w:szCs w:val="18"/>
                <w:b w:val="1"/>
                <w:bCs w:val="1"/>
                <w:color w:val="auto"/>
                <w:w w:val="93"/>
              </w:rPr>
              <w:t>Preferred Stock</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rPr>
              <w:t>Stock</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Paid in</w:t>
            </w:r>
          </w:p>
        </w:tc>
        <w:tc>
          <w:tcPr>
            <w:tcW w:w="8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Development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89"/>
              </w:rPr>
              <w:t>Shares</w:t>
            </w:r>
          </w:p>
        </w:tc>
        <w:tc>
          <w:tcPr>
            <w:tcW w:w="720" w:type="dxa"/>
            <w:vAlign w:val="bottom"/>
            <w:gridSpan w:val="3"/>
          </w:tcPr>
          <w:p>
            <w:pPr>
              <w:ind w:left="80"/>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Pr>
          <w:p>
            <w:pPr>
              <w:spacing w:after="0"/>
              <w:rPr>
                <w:sz w:val="20"/>
                <w:szCs w:val="20"/>
                <w:color w:val="auto"/>
              </w:rPr>
            </w:pPr>
          </w:p>
        </w:tc>
        <w:tc>
          <w:tcPr>
            <w:tcW w:w="9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Warrants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Capital</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Stage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BDBD1"/>
          </w:tcPr>
          <w:p>
            <w:pPr>
              <w:spacing w:after="0"/>
              <w:rPr>
                <w:sz w:val="20"/>
                <w:szCs w:val="20"/>
                <w:color w:val="auto"/>
              </w:rPr>
            </w:pPr>
            <w:r>
              <w:rPr>
                <w:rFonts w:ascii="Arial" w:cs="Arial" w:eastAsia="Arial" w:hAnsi="Arial"/>
                <w:sz w:val="18"/>
                <w:szCs w:val="18"/>
                <w:color w:val="auto"/>
                <w:w w:val="95"/>
              </w:rPr>
              <w:t>Balance, January 1, 2008</w:t>
            </w: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w w:val="95"/>
              </w:rPr>
              <w:t>10,300,000</w:t>
            </w:r>
          </w:p>
        </w:tc>
        <w:tc>
          <w:tcPr>
            <w:tcW w:w="7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w w:val="96"/>
              </w:rPr>
              <w:t>$ 10,300</w:t>
            </w:r>
          </w:p>
        </w:tc>
        <w:tc>
          <w:tcPr>
            <w:tcW w:w="7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380" w:type="dxa"/>
            <w:vAlign w:val="bottom"/>
            <w:gridSpan w:val="2"/>
            <w:shd w:val="clear" w:color="auto" w:fill="CBDBD1"/>
          </w:tcPr>
          <w:p>
            <w:pPr>
              <w:ind w:lef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6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6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289,700</w:t>
            </w:r>
          </w:p>
        </w:tc>
        <w:tc>
          <w:tcPr>
            <w:tcW w:w="16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(394,927)</w:t>
            </w:r>
          </w:p>
        </w:tc>
        <w:tc>
          <w:tcPr>
            <w:tcW w:w="180" w:type="dxa"/>
            <w:vAlign w:val="bottom"/>
            <w:gridSpan w:val="2"/>
            <w:shd w:val="clear" w:color="auto" w:fill="CBDBD1"/>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(94,927)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8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w w:val="91"/>
              </w:rPr>
              <w:t>Issuance of common stock</w:t>
            </w:r>
          </w:p>
        </w:tc>
        <w:tc>
          <w:tcPr>
            <w:tcW w:w="90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300" w:type="dxa"/>
            <w:vAlign w:val="bottom"/>
            <w:shd w:val="clear" w:color="auto" w:fill="CBDBD1"/>
          </w:tcPr>
          <w:p>
            <w:pPr>
              <w:spacing w:after="0"/>
              <w:rPr>
                <w:sz w:val="17"/>
                <w:szCs w:val="17"/>
                <w:color w:val="auto"/>
              </w:rPr>
            </w:pPr>
          </w:p>
        </w:tc>
        <w:tc>
          <w:tcPr>
            <w:tcW w:w="3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6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9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40" w:type="dxa"/>
            <w:vAlign w:val="bottom"/>
            <w:shd w:val="clear" w:color="auto" w:fill="CBDBD1"/>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80" w:type="dxa"/>
            <w:vAlign w:val="bottom"/>
            <w:shd w:val="clear" w:color="auto" w:fill="CBDBD1"/>
          </w:tcPr>
          <w:p>
            <w:pPr>
              <w:spacing w:after="0"/>
              <w:rPr>
                <w:sz w:val="20"/>
                <w:szCs w:val="20"/>
                <w:color w:val="auto"/>
              </w:rPr>
            </w:pPr>
            <w:r>
              <w:rPr>
                <w:rFonts w:ascii="Arial" w:cs="Arial" w:eastAsia="Arial" w:hAnsi="Arial"/>
                <w:sz w:val="18"/>
                <w:szCs w:val="18"/>
                <w:color w:val="auto"/>
              </w:rPr>
              <w:t>for cash</w:t>
            </w: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636,000</w:t>
            </w:r>
          </w:p>
        </w:tc>
        <w:tc>
          <w:tcPr>
            <w:tcW w:w="7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636</w:t>
            </w:r>
          </w:p>
        </w:tc>
        <w:tc>
          <w:tcPr>
            <w:tcW w:w="7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300" w:type="dxa"/>
            <w:vAlign w:val="bottom"/>
            <w:shd w:val="clear" w:color="auto" w:fill="CBDBD1"/>
          </w:tcPr>
          <w:p>
            <w:pPr>
              <w:spacing w:after="0"/>
              <w:rPr>
                <w:sz w:val="20"/>
                <w:szCs w:val="20"/>
                <w:color w:val="auto"/>
              </w:rPr>
            </w:pPr>
          </w:p>
        </w:tc>
        <w:tc>
          <w:tcPr>
            <w:tcW w:w="3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8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8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635,364</w:t>
            </w:r>
          </w:p>
        </w:tc>
        <w:tc>
          <w:tcPr>
            <w:tcW w:w="8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9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100" w:type="dxa"/>
            <w:vAlign w:val="bottom"/>
            <w:shd w:val="clear" w:color="auto" w:fill="CBDBD1"/>
          </w:tcPr>
          <w:p>
            <w:pPr>
              <w:spacing w:after="0"/>
              <w:rPr>
                <w:sz w:val="20"/>
                <w:szCs w:val="20"/>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636,000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8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w w:val="89"/>
              </w:rPr>
              <w:t>Outstanding common stock</w:t>
            </w:r>
          </w:p>
        </w:tc>
        <w:tc>
          <w:tcPr>
            <w:tcW w:w="90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300" w:type="dxa"/>
            <w:vAlign w:val="bottom"/>
            <w:shd w:val="clear" w:color="auto" w:fill="CBDBD1"/>
          </w:tcPr>
          <w:p>
            <w:pPr>
              <w:spacing w:after="0"/>
              <w:rPr>
                <w:sz w:val="17"/>
                <w:szCs w:val="17"/>
                <w:color w:val="auto"/>
              </w:rPr>
            </w:pPr>
          </w:p>
        </w:tc>
        <w:tc>
          <w:tcPr>
            <w:tcW w:w="3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6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9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40" w:type="dxa"/>
            <w:vAlign w:val="bottom"/>
            <w:shd w:val="clear" w:color="auto" w:fill="CBDBD1"/>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80" w:type="dxa"/>
            <w:vAlign w:val="bottom"/>
            <w:shd w:val="clear" w:color="auto" w:fill="CBDBD1"/>
          </w:tcPr>
          <w:p>
            <w:pPr>
              <w:spacing w:after="0"/>
              <w:rPr>
                <w:sz w:val="20"/>
                <w:szCs w:val="20"/>
                <w:color w:val="auto"/>
              </w:rPr>
            </w:pPr>
            <w:r>
              <w:rPr>
                <w:rFonts w:ascii="Arial" w:cs="Arial" w:eastAsia="Arial" w:hAnsi="Arial"/>
                <w:sz w:val="18"/>
                <w:szCs w:val="18"/>
                <w:color w:val="auto"/>
              </w:rPr>
              <w:t>prior to reverse merger</w:t>
            </w: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1,256,958</w:t>
            </w:r>
          </w:p>
        </w:tc>
        <w:tc>
          <w:tcPr>
            <w:tcW w:w="7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1,257</w:t>
            </w:r>
          </w:p>
        </w:tc>
        <w:tc>
          <w:tcPr>
            <w:tcW w:w="7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300" w:type="dxa"/>
            <w:vAlign w:val="bottom"/>
            <w:shd w:val="clear" w:color="auto" w:fill="CBDBD1"/>
          </w:tcPr>
          <w:p>
            <w:pPr>
              <w:spacing w:after="0"/>
              <w:rPr>
                <w:sz w:val="20"/>
                <w:szCs w:val="20"/>
                <w:color w:val="auto"/>
              </w:rPr>
            </w:pPr>
          </w:p>
        </w:tc>
        <w:tc>
          <w:tcPr>
            <w:tcW w:w="3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8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8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(1,257)</w:t>
            </w:r>
          </w:p>
        </w:tc>
        <w:tc>
          <w:tcPr>
            <w:tcW w:w="8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9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100" w:type="dxa"/>
            <w:vAlign w:val="bottom"/>
            <w:shd w:val="clear" w:color="auto" w:fill="CBDBD1"/>
          </w:tcPr>
          <w:p>
            <w:pPr>
              <w:spacing w:after="0"/>
              <w:rPr>
                <w:sz w:val="20"/>
                <w:szCs w:val="20"/>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8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w w:val="96"/>
              </w:rPr>
              <w:t>Common stock issued for</w:t>
            </w:r>
          </w:p>
        </w:tc>
        <w:tc>
          <w:tcPr>
            <w:tcW w:w="90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300" w:type="dxa"/>
            <w:vAlign w:val="bottom"/>
            <w:shd w:val="clear" w:color="auto" w:fill="CBDBD1"/>
          </w:tcPr>
          <w:p>
            <w:pPr>
              <w:spacing w:after="0"/>
              <w:rPr>
                <w:sz w:val="17"/>
                <w:szCs w:val="17"/>
                <w:color w:val="auto"/>
              </w:rPr>
            </w:pPr>
          </w:p>
        </w:tc>
        <w:tc>
          <w:tcPr>
            <w:tcW w:w="3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6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9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40" w:type="dxa"/>
            <w:vAlign w:val="bottom"/>
            <w:shd w:val="clear" w:color="auto" w:fill="CBDBD1"/>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80" w:type="dxa"/>
            <w:vAlign w:val="bottom"/>
            <w:shd w:val="clear" w:color="auto" w:fill="CBDBD1"/>
          </w:tcPr>
          <w:p>
            <w:pPr>
              <w:spacing w:after="0"/>
              <w:rPr>
                <w:sz w:val="20"/>
                <w:szCs w:val="20"/>
                <w:color w:val="auto"/>
              </w:rPr>
            </w:pPr>
            <w:r>
              <w:rPr>
                <w:rFonts w:ascii="Arial" w:cs="Arial" w:eastAsia="Arial" w:hAnsi="Arial"/>
                <w:sz w:val="18"/>
                <w:szCs w:val="18"/>
                <w:color w:val="auto"/>
              </w:rPr>
              <w:t>services</w:t>
            </w: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70,000</w:t>
            </w:r>
          </w:p>
        </w:tc>
        <w:tc>
          <w:tcPr>
            <w:tcW w:w="7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70</w:t>
            </w:r>
          </w:p>
        </w:tc>
        <w:tc>
          <w:tcPr>
            <w:tcW w:w="7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300" w:type="dxa"/>
            <w:vAlign w:val="bottom"/>
            <w:shd w:val="clear" w:color="auto" w:fill="CBDBD1"/>
          </w:tcPr>
          <w:p>
            <w:pPr>
              <w:spacing w:after="0"/>
              <w:rPr>
                <w:sz w:val="20"/>
                <w:szCs w:val="20"/>
                <w:color w:val="auto"/>
              </w:rPr>
            </w:pPr>
          </w:p>
        </w:tc>
        <w:tc>
          <w:tcPr>
            <w:tcW w:w="3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8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8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69,930</w:t>
            </w:r>
          </w:p>
        </w:tc>
        <w:tc>
          <w:tcPr>
            <w:tcW w:w="8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9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100" w:type="dxa"/>
            <w:vAlign w:val="bottom"/>
            <w:shd w:val="clear" w:color="auto" w:fill="CBDBD1"/>
          </w:tcPr>
          <w:p>
            <w:pPr>
              <w:spacing w:after="0"/>
              <w:rPr>
                <w:sz w:val="20"/>
                <w:szCs w:val="20"/>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BDBD1"/>
          </w:tcPr>
          <w:p>
            <w:pPr>
              <w:spacing w:after="0"/>
              <w:rPr>
                <w:sz w:val="20"/>
                <w:szCs w:val="20"/>
                <w:color w:val="auto"/>
              </w:rPr>
            </w:pPr>
            <w:r>
              <w:rPr>
                <w:rFonts w:ascii="Arial" w:cs="Arial" w:eastAsia="Arial" w:hAnsi="Arial"/>
                <w:sz w:val="18"/>
                <w:szCs w:val="18"/>
                <w:color w:val="auto"/>
                <w:w w:val="96"/>
              </w:rPr>
              <w:t>Issuance of stock options</w:t>
            </w: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18"/>
                <w:szCs w:val="18"/>
                <w:color w:val="auto"/>
              </w:rPr>
            </w:pPr>
          </w:p>
        </w:tc>
        <w:tc>
          <w:tcPr>
            <w:tcW w:w="300" w:type="dxa"/>
            <w:vAlign w:val="bottom"/>
            <w:shd w:val="clear" w:color="auto" w:fill="CBDBD1"/>
          </w:tcPr>
          <w:p>
            <w:pPr>
              <w:spacing w:after="0"/>
              <w:rPr>
                <w:sz w:val="18"/>
                <w:szCs w:val="18"/>
                <w:color w:val="auto"/>
              </w:rPr>
            </w:pPr>
          </w:p>
        </w:tc>
        <w:tc>
          <w:tcPr>
            <w:tcW w:w="3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8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8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333,004</w:t>
            </w:r>
          </w:p>
        </w:tc>
        <w:tc>
          <w:tcPr>
            <w:tcW w:w="8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9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333,004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8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w w:val="95"/>
              </w:rPr>
              <w:t>Preferred stock issued for</w:t>
            </w:r>
          </w:p>
        </w:tc>
        <w:tc>
          <w:tcPr>
            <w:tcW w:w="90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300" w:type="dxa"/>
            <w:vAlign w:val="bottom"/>
            <w:shd w:val="clear" w:color="auto" w:fill="CBDBD1"/>
          </w:tcPr>
          <w:p>
            <w:pPr>
              <w:spacing w:after="0"/>
              <w:rPr>
                <w:sz w:val="17"/>
                <w:szCs w:val="17"/>
                <w:color w:val="auto"/>
              </w:rPr>
            </w:pPr>
          </w:p>
        </w:tc>
        <w:tc>
          <w:tcPr>
            <w:tcW w:w="3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6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9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40" w:type="dxa"/>
            <w:vAlign w:val="bottom"/>
            <w:shd w:val="clear" w:color="auto" w:fill="CBDBD1"/>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80" w:type="dxa"/>
            <w:vAlign w:val="bottom"/>
            <w:shd w:val="clear" w:color="auto" w:fill="CBDBD1"/>
          </w:tcPr>
          <w:p>
            <w:pPr>
              <w:spacing w:after="0"/>
              <w:rPr>
                <w:sz w:val="20"/>
                <w:szCs w:val="20"/>
                <w:color w:val="auto"/>
              </w:rPr>
            </w:pPr>
            <w:r>
              <w:rPr>
                <w:rFonts w:ascii="Arial" w:cs="Arial" w:eastAsia="Arial" w:hAnsi="Arial"/>
                <w:sz w:val="18"/>
                <w:szCs w:val="18"/>
                <w:color w:val="auto"/>
              </w:rPr>
              <w:t>cash</w:t>
            </w: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BDBD1"/>
          </w:tcPr>
          <w:p>
            <w:pPr>
              <w:spacing w:after="0"/>
              <w:rPr>
                <w:sz w:val="20"/>
                <w:szCs w:val="20"/>
                <w:color w:val="auto"/>
              </w:rPr>
            </w:pPr>
          </w:p>
        </w:tc>
        <w:tc>
          <w:tcPr>
            <w:tcW w:w="300" w:type="dxa"/>
            <w:vAlign w:val="bottom"/>
            <w:shd w:val="clear" w:color="auto" w:fill="CBDBD1"/>
          </w:tcPr>
          <w:p>
            <w:pPr>
              <w:spacing w:after="0"/>
              <w:rPr>
                <w:sz w:val="20"/>
                <w:szCs w:val="20"/>
                <w:color w:val="auto"/>
              </w:rPr>
            </w:pPr>
          </w:p>
        </w:tc>
        <w:tc>
          <w:tcPr>
            <w:tcW w:w="3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8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8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3,500,000</w:t>
            </w:r>
          </w:p>
        </w:tc>
        <w:tc>
          <w:tcPr>
            <w:tcW w:w="8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9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100" w:type="dxa"/>
            <w:vAlign w:val="bottom"/>
            <w:shd w:val="clear" w:color="auto" w:fill="CBDBD1"/>
          </w:tcPr>
          <w:p>
            <w:pPr>
              <w:spacing w:after="0"/>
              <w:rPr>
                <w:sz w:val="20"/>
                <w:szCs w:val="20"/>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3,500,000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8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w w:val="98"/>
              </w:rPr>
              <w:t>Preferred stock issuance</w:t>
            </w:r>
          </w:p>
        </w:tc>
        <w:tc>
          <w:tcPr>
            <w:tcW w:w="90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300" w:type="dxa"/>
            <w:vAlign w:val="bottom"/>
            <w:shd w:val="clear" w:color="auto" w:fill="CBDBD1"/>
          </w:tcPr>
          <w:p>
            <w:pPr>
              <w:spacing w:after="0"/>
              <w:rPr>
                <w:sz w:val="17"/>
                <w:szCs w:val="17"/>
                <w:color w:val="auto"/>
              </w:rPr>
            </w:pPr>
          </w:p>
        </w:tc>
        <w:tc>
          <w:tcPr>
            <w:tcW w:w="3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6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9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40" w:type="dxa"/>
            <w:vAlign w:val="bottom"/>
            <w:shd w:val="clear" w:color="auto" w:fill="CBDBD1"/>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80" w:type="dxa"/>
            <w:vAlign w:val="bottom"/>
            <w:shd w:val="clear" w:color="auto" w:fill="CBDBD1"/>
          </w:tcPr>
          <w:p>
            <w:pPr>
              <w:spacing w:after="0"/>
              <w:rPr>
                <w:sz w:val="20"/>
                <w:szCs w:val="20"/>
                <w:color w:val="auto"/>
              </w:rPr>
            </w:pPr>
            <w:r>
              <w:rPr>
                <w:rFonts w:ascii="Arial" w:cs="Arial" w:eastAsia="Arial" w:hAnsi="Arial"/>
                <w:sz w:val="18"/>
                <w:szCs w:val="18"/>
                <w:color w:val="auto"/>
              </w:rPr>
              <w:t>costs</w:t>
            </w: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300" w:type="dxa"/>
            <w:vAlign w:val="bottom"/>
            <w:shd w:val="clear" w:color="auto" w:fill="CBDBD1"/>
          </w:tcPr>
          <w:p>
            <w:pPr>
              <w:spacing w:after="0"/>
              <w:rPr>
                <w:sz w:val="20"/>
                <w:szCs w:val="20"/>
                <w:color w:val="auto"/>
              </w:rPr>
            </w:pPr>
          </w:p>
        </w:tc>
        <w:tc>
          <w:tcPr>
            <w:tcW w:w="3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8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8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(515,000)</w:t>
            </w:r>
          </w:p>
        </w:tc>
        <w:tc>
          <w:tcPr>
            <w:tcW w:w="8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9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100" w:type="dxa"/>
            <w:vAlign w:val="bottom"/>
            <w:shd w:val="clear" w:color="auto" w:fill="CBDBD1"/>
          </w:tcPr>
          <w:p>
            <w:pPr>
              <w:spacing w:after="0"/>
              <w:rPr>
                <w:sz w:val="20"/>
                <w:szCs w:val="20"/>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(515,000)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BDBD1"/>
          </w:tcPr>
          <w:p>
            <w:pPr>
              <w:spacing w:after="0"/>
              <w:rPr>
                <w:sz w:val="20"/>
                <w:szCs w:val="20"/>
                <w:color w:val="auto"/>
              </w:rPr>
            </w:pPr>
            <w:r>
              <w:rPr>
                <w:rFonts w:ascii="Arial" w:cs="Arial" w:eastAsia="Arial" w:hAnsi="Arial"/>
                <w:sz w:val="18"/>
                <w:szCs w:val="18"/>
                <w:color w:val="auto"/>
              </w:rPr>
              <w:t>Stock warrants issued</w:t>
            </w:r>
          </w:p>
        </w:tc>
        <w:tc>
          <w:tcPr>
            <w:tcW w:w="90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6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6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300" w:type="dxa"/>
            <w:vAlign w:val="bottom"/>
            <w:shd w:val="clear" w:color="auto" w:fill="CBDBD1"/>
          </w:tcPr>
          <w:p>
            <w:pPr>
              <w:spacing w:after="0"/>
              <w:rPr>
                <w:sz w:val="18"/>
                <w:szCs w:val="18"/>
                <w:color w:val="auto"/>
              </w:rPr>
            </w:pPr>
          </w:p>
        </w:tc>
        <w:tc>
          <w:tcPr>
            <w:tcW w:w="34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820" w:type="dxa"/>
            <w:vAlign w:val="bottom"/>
            <w:shd w:val="clear" w:color="auto" w:fill="CBDBD1"/>
          </w:tcPr>
          <w:p>
            <w:pPr>
              <w:jc w:val="right"/>
              <w:spacing w:after="0"/>
              <w:rPr>
                <w:sz w:val="20"/>
                <w:szCs w:val="20"/>
                <w:color w:val="auto"/>
              </w:rPr>
            </w:pPr>
            <w:r>
              <w:rPr>
                <w:rFonts w:ascii="Arial" w:cs="Arial" w:eastAsia="Arial" w:hAnsi="Arial"/>
                <w:sz w:val="18"/>
                <w:szCs w:val="18"/>
                <w:color w:val="auto"/>
                <w:w w:val="88"/>
              </w:rPr>
              <w:t>14,160,000</w:t>
            </w:r>
          </w:p>
        </w:tc>
        <w:tc>
          <w:tcPr>
            <w:tcW w:w="8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860" w:type="dxa"/>
            <w:vAlign w:val="bottom"/>
            <w:shd w:val="clear" w:color="auto" w:fill="CBDBD1"/>
          </w:tcPr>
          <w:p>
            <w:pPr>
              <w:jc w:val="right"/>
              <w:spacing w:after="0"/>
              <w:rPr>
                <w:sz w:val="20"/>
                <w:szCs w:val="20"/>
                <w:color w:val="auto"/>
              </w:rPr>
            </w:pPr>
            <w:r>
              <w:rPr>
                <w:rFonts w:ascii="Arial" w:cs="Arial" w:eastAsia="Arial" w:hAnsi="Arial"/>
                <w:sz w:val="18"/>
                <w:szCs w:val="18"/>
                <w:color w:val="auto"/>
                <w:w w:val="89"/>
              </w:rPr>
              <w:t>(4,311,741)</w:t>
            </w:r>
          </w:p>
        </w:tc>
        <w:tc>
          <w:tcPr>
            <w:tcW w:w="8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940" w:type="dxa"/>
            <w:vAlign w:val="bottom"/>
            <w:shd w:val="clear" w:color="auto" w:fill="CBDBD1"/>
          </w:tcPr>
          <w:p>
            <w:pPr>
              <w:jc w:val="right"/>
              <w:spacing w:after="0"/>
              <w:rPr>
                <w:sz w:val="20"/>
                <w:szCs w:val="20"/>
                <w:color w:val="auto"/>
              </w:rPr>
            </w:pPr>
            <w:r>
              <w:rPr>
                <w:rFonts w:ascii="Arial" w:cs="Arial" w:eastAsia="Arial" w:hAnsi="Arial"/>
                <w:sz w:val="18"/>
                <w:szCs w:val="18"/>
                <w:color w:val="auto"/>
                <w:w w:val="99"/>
              </w:rPr>
              <w:t>(9,848,259)</w:t>
            </w:r>
          </w:p>
        </w:tc>
        <w:tc>
          <w:tcPr>
            <w:tcW w:w="8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8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w w:val="96"/>
              </w:rPr>
              <w:t>Stock warrants issued for</w:t>
            </w:r>
          </w:p>
        </w:tc>
        <w:tc>
          <w:tcPr>
            <w:tcW w:w="90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300" w:type="dxa"/>
            <w:vAlign w:val="bottom"/>
            <w:shd w:val="clear" w:color="auto" w:fill="CBDBD1"/>
          </w:tcPr>
          <w:p>
            <w:pPr>
              <w:spacing w:after="0"/>
              <w:rPr>
                <w:sz w:val="17"/>
                <w:szCs w:val="17"/>
                <w:color w:val="auto"/>
              </w:rPr>
            </w:pPr>
          </w:p>
        </w:tc>
        <w:tc>
          <w:tcPr>
            <w:tcW w:w="3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6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9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40" w:type="dxa"/>
            <w:vAlign w:val="bottom"/>
            <w:shd w:val="clear" w:color="auto" w:fill="CBDBD1"/>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80" w:type="dxa"/>
            <w:vAlign w:val="bottom"/>
            <w:shd w:val="clear" w:color="auto" w:fill="CBDBD1"/>
          </w:tcPr>
          <w:p>
            <w:pPr>
              <w:spacing w:after="0"/>
              <w:rPr>
                <w:sz w:val="20"/>
                <w:szCs w:val="20"/>
                <w:color w:val="auto"/>
              </w:rPr>
            </w:pPr>
            <w:r>
              <w:rPr>
                <w:rFonts w:ascii="Arial" w:cs="Arial" w:eastAsia="Arial" w:hAnsi="Arial"/>
                <w:sz w:val="18"/>
                <w:szCs w:val="18"/>
                <w:color w:val="auto"/>
              </w:rPr>
              <w:t>services</w:t>
            </w:r>
          </w:p>
        </w:tc>
        <w:tc>
          <w:tcPr>
            <w:tcW w:w="90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62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62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300" w:type="dxa"/>
            <w:vAlign w:val="bottom"/>
            <w:shd w:val="clear" w:color="auto" w:fill="CBDBD1"/>
          </w:tcPr>
          <w:p>
            <w:pPr>
              <w:spacing w:after="0"/>
              <w:rPr>
                <w:sz w:val="20"/>
                <w:szCs w:val="20"/>
                <w:color w:val="auto"/>
              </w:rPr>
            </w:pPr>
          </w:p>
        </w:tc>
        <w:tc>
          <w:tcPr>
            <w:tcW w:w="34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820" w:type="dxa"/>
            <w:vAlign w:val="bottom"/>
            <w:shd w:val="clear" w:color="auto" w:fill="CBDBD1"/>
          </w:tcPr>
          <w:p>
            <w:pPr>
              <w:jc w:val="right"/>
              <w:spacing w:after="0"/>
              <w:rPr>
                <w:sz w:val="20"/>
                <w:szCs w:val="20"/>
                <w:color w:val="auto"/>
              </w:rPr>
            </w:pPr>
            <w:r>
              <w:rPr>
                <w:rFonts w:ascii="Arial" w:cs="Arial" w:eastAsia="Arial" w:hAnsi="Arial"/>
                <w:sz w:val="18"/>
                <w:szCs w:val="18"/>
                <w:color w:val="auto"/>
                <w:w w:val="99"/>
              </w:rPr>
              <w:t>2,745,280</w:t>
            </w:r>
          </w:p>
        </w:tc>
        <w:tc>
          <w:tcPr>
            <w:tcW w:w="8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86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94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100" w:type="dxa"/>
            <w:vAlign w:val="bottom"/>
            <w:shd w:val="clear" w:color="auto" w:fill="CBDBD1"/>
          </w:tcPr>
          <w:p>
            <w:pPr>
              <w:spacing w:after="0"/>
              <w:rPr>
                <w:sz w:val="20"/>
                <w:szCs w:val="20"/>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2,745,280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8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w w:val="90"/>
              </w:rPr>
              <w:t>Net loss for the year ended</w:t>
            </w:r>
          </w:p>
        </w:tc>
        <w:tc>
          <w:tcPr>
            <w:tcW w:w="90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300" w:type="dxa"/>
            <w:vAlign w:val="bottom"/>
            <w:shd w:val="clear" w:color="auto" w:fill="CBDBD1"/>
          </w:tcPr>
          <w:p>
            <w:pPr>
              <w:spacing w:after="0"/>
              <w:rPr>
                <w:sz w:val="17"/>
                <w:szCs w:val="17"/>
                <w:color w:val="auto"/>
              </w:rPr>
            </w:pPr>
          </w:p>
        </w:tc>
        <w:tc>
          <w:tcPr>
            <w:tcW w:w="3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6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9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40" w:type="dxa"/>
            <w:vAlign w:val="bottom"/>
            <w:shd w:val="clear" w:color="auto" w:fill="CBDBD1"/>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80" w:type="dxa"/>
            <w:vAlign w:val="bottom"/>
            <w:shd w:val="clear" w:color="auto" w:fill="CBDBD1"/>
          </w:tcPr>
          <w:p>
            <w:pPr>
              <w:spacing w:after="0"/>
              <w:rPr>
                <w:sz w:val="20"/>
                <w:szCs w:val="20"/>
                <w:color w:val="auto"/>
              </w:rPr>
            </w:pPr>
            <w:r>
              <w:rPr>
                <w:rFonts w:ascii="Arial" w:cs="Arial" w:eastAsia="Arial" w:hAnsi="Arial"/>
                <w:sz w:val="18"/>
                <w:szCs w:val="18"/>
                <w:color w:val="auto"/>
              </w:rPr>
              <w:t>December 31, 2008</w:t>
            </w: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300" w:type="dxa"/>
            <w:vAlign w:val="bottom"/>
            <w:shd w:val="clear" w:color="auto" w:fill="CBDBD1"/>
          </w:tcPr>
          <w:p>
            <w:pPr>
              <w:spacing w:after="0"/>
              <w:rPr>
                <w:sz w:val="20"/>
                <w:szCs w:val="20"/>
                <w:color w:val="auto"/>
              </w:rPr>
            </w:pPr>
          </w:p>
        </w:tc>
        <w:tc>
          <w:tcPr>
            <w:tcW w:w="3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8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8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940" w:type="dxa"/>
            <w:vAlign w:val="bottom"/>
            <w:shd w:val="clear" w:color="auto" w:fill="CBDBD1"/>
          </w:tcPr>
          <w:p>
            <w:pPr>
              <w:jc w:val="right"/>
              <w:spacing w:after="0"/>
              <w:rPr>
                <w:sz w:val="20"/>
                <w:szCs w:val="20"/>
                <w:color w:val="auto"/>
              </w:rPr>
            </w:pPr>
            <w:r>
              <w:rPr>
                <w:rFonts w:ascii="Arial" w:cs="Arial" w:eastAsia="Arial" w:hAnsi="Arial"/>
                <w:sz w:val="18"/>
                <w:szCs w:val="18"/>
                <w:color w:val="auto"/>
                <w:w w:val="99"/>
              </w:rPr>
              <w:t>(4,248,853)</w:t>
            </w:r>
          </w:p>
        </w:tc>
        <w:tc>
          <w:tcPr>
            <w:tcW w:w="80" w:type="dxa"/>
            <w:vAlign w:val="bottom"/>
            <w:shd w:val="clear" w:color="auto" w:fill="CBDBD1"/>
          </w:tcPr>
          <w:p>
            <w:pPr>
              <w:spacing w:after="0"/>
              <w:rPr>
                <w:sz w:val="20"/>
                <w:szCs w:val="20"/>
                <w:color w:val="auto"/>
              </w:rPr>
            </w:pPr>
          </w:p>
        </w:tc>
        <w:tc>
          <w:tcPr>
            <w:tcW w:w="100" w:type="dxa"/>
            <w:vAlign w:val="bottom"/>
            <w:shd w:val="clear" w:color="auto" w:fill="CBDBD1"/>
          </w:tcPr>
          <w:p>
            <w:pPr>
              <w:spacing w:after="0"/>
              <w:rPr>
                <w:sz w:val="20"/>
                <w:szCs w:val="20"/>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w w:val="89"/>
              </w:rPr>
              <w:t>(4,248,853)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Borders>
              <w:top w:val="single" w:sz="8" w:color="CBDBD1"/>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8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rPr>
              <w:t>Balance, December 31,</w:t>
            </w:r>
          </w:p>
        </w:tc>
        <w:tc>
          <w:tcPr>
            <w:tcW w:w="90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300" w:type="dxa"/>
            <w:vAlign w:val="bottom"/>
            <w:shd w:val="clear" w:color="auto" w:fill="CBDBD1"/>
          </w:tcPr>
          <w:p>
            <w:pPr>
              <w:spacing w:after="0"/>
              <w:rPr>
                <w:sz w:val="17"/>
                <w:szCs w:val="17"/>
                <w:color w:val="auto"/>
              </w:rPr>
            </w:pPr>
          </w:p>
        </w:tc>
        <w:tc>
          <w:tcPr>
            <w:tcW w:w="3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6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9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40" w:type="dxa"/>
            <w:vAlign w:val="bottom"/>
            <w:shd w:val="clear" w:color="auto" w:fill="CBDBD1"/>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80" w:type="dxa"/>
            <w:vAlign w:val="bottom"/>
            <w:shd w:val="clear" w:color="auto" w:fill="CBDBD1"/>
          </w:tcPr>
          <w:p>
            <w:pPr>
              <w:spacing w:after="0"/>
              <w:rPr>
                <w:sz w:val="20"/>
                <w:szCs w:val="20"/>
                <w:color w:val="auto"/>
              </w:rPr>
            </w:pPr>
            <w:r>
              <w:rPr>
                <w:rFonts w:ascii="Arial" w:cs="Arial" w:eastAsia="Arial" w:hAnsi="Arial"/>
                <w:sz w:val="18"/>
                <w:szCs w:val="18"/>
                <w:color w:val="auto"/>
              </w:rPr>
              <w:t>2008</w:t>
            </w: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w w:val="95"/>
              </w:rPr>
              <w:t>12,262,958</w:t>
            </w:r>
          </w:p>
        </w:tc>
        <w:tc>
          <w:tcPr>
            <w:tcW w:w="7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12,263</w:t>
            </w:r>
          </w:p>
        </w:tc>
        <w:tc>
          <w:tcPr>
            <w:tcW w:w="7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BDBD1"/>
          </w:tcPr>
          <w:p>
            <w:pPr>
              <w:spacing w:after="0"/>
              <w:rPr>
                <w:sz w:val="20"/>
                <w:szCs w:val="20"/>
                <w:color w:val="auto"/>
              </w:rPr>
            </w:pPr>
          </w:p>
        </w:tc>
        <w:tc>
          <w:tcPr>
            <w:tcW w:w="300" w:type="dxa"/>
            <w:vAlign w:val="bottom"/>
            <w:shd w:val="clear" w:color="auto" w:fill="CBDBD1"/>
          </w:tcPr>
          <w:p>
            <w:pPr>
              <w:spacing w:after="0"/>
              <w:rPr>
                <w:sz w:val="20"/>
                <w:szCs w:val="20"/>
                <w:color w:val="auto"/>
              </w:rPr>
            </w:pPr>
          </w:p>
        </w:tc>
        <w:tc>
          <w:tcPr>
            <w:tcW w:w="3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820" w:type="dxa"/>
            <w:vAlign w:val="bottom"/>
            <w:shd w:val="clear" w:color="auto" w:fill="CBDBD1"/>
          </w:tcPr>
          <w:p>
            <w:pPr>
              <w:jc w:val="right"/>
              <w:spacing w:after="0"/>
              <w:rPr>
                <w:sz w:val="20"/>
                <w:szCs w:val="20"/>
                <w:color w:val="auto"/>
              </w:rPr>
            </w:pPr>
            <w:r>
              <w:rPr>
                <w:rFonts w:ascii="Arial" w:cs="Arial" w:eastAsia="Arial" w:hAnsi="Arial"/>
                <w:sz w:val="18"/>
                <w:szCs w:val="18"/>
                <w:color w:val="auto"/>
                <w:w w:val="88"/>
              </w:rPr>
              <w:t>16,905,280</w:t>
            </w:r>
          </w:p>
        </w:tc>
        <w:tc>
          <w:tcPr>
            <w:tcW w:w="8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8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940" w:type="dxa"/>
            <w:vAlign w:val="bottom"/>
            <w:shd w:val="clear" w:color="auto" w:fill="CBDBD1"/>
          </w:tcPr>
          <w:p>
            <w:pPr>
              <w:jc w:val="right"/>
              <w:spacing w:after="0"/>
              <w:rPr>
                <w:sz w:val="20"/>
                <w:szCs w:val="20"/>
                <w:color w:val="auto"/>
              </w:rPr>
            </w:pPr>
            <w:r>
              <w:rPr>
                <w:rFonts w:ascii="Arial" w:cs="Arial" w:eastAsia="Arial" w:hAnsi="Arial"/>
                <w:sz w:val="18"/>
                <w:szCs w:val="18"/>
                <w:color w:val="auto"/>
                <w:w w:val="90"/>
              </w:rPr>
              <w:t>(14,492,039)</w:t>
            </w:r>
          </w:p>
        </w:tc>
        <w:tc>
          <w:tcPr>
            <w:tcW w:w="80" w:type="dxa"/>
            <w:vAlign w:val="bottom"/>
            <w:shd w:val="clear" w:color="auto" w:fill="CBDBD1"/>
          </w:tcPr>
          <w:p>
            <w:pPr>
              <w:spacing w:after="0"/>
              <w:rPr>
                <w:sz w:val="20"/>
                <w:szCs w:val="20"/>
                <w:color w:val="auto"/>
              </w:rPr>
            </w:pPr>
          </w:p>
        </w:tc>
        <w:tc>
          <w:tcPr>
            <w:tcW w:w="100" w:type="dxa"/>
            <w:vAlign w:val="bottom"/>
            <w:shd w:val="clear" w:color="auto" w:fill="CBDBD1"/>
          </w:tcPr>
          <w:p>
            <w:pPr>
              <w:spacing w:after="0"/>
              <w:rPr>
                <w:sz w:val="20"/>
                <w:szCs w:val="20"/>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2,425,504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8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rPr>
              <w:t>Outstanding share</w:t>
            </w:r>
          </w:p>
        </w:tc>
        <w:tc>
          <w:tcPr>
            <w:tcW w:w="90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300" w:type="dxa"/>
            <w:vAlign w:val="bottom"/>
            <w:shd w:val="clear" w:color="auto" w:fill="CBDBD1"/>
          </w:tcPr>
          <w:p>
            <w:pPr>
              <w:spacing w:after="0"/>
              <w:rPr>
                <w:sz w:val="17"/>
                <w:szCs w:val="17"/>
                <w:color w:val="auto"/>
              </w:rPr>
            </w:pPr>
          </w:p>
        </w:tc>
        <w:tc>
          <w:tcPr>
            <w:tcW w:w="3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6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9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40" w:type="dxa"/>
            <w:vAlign w:val="bottom"/>
            <w:shd w:val="clear" w:color="auto" w:fill="CBDBD1"/>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80" w:type="dxa"/>
            <w:vAlign w:val="bottom"/>
            <w:shd w:val="clear" w:color="auto" w:fill="CBDBD1"/>
          </w:tcPr>
          <w:p>
            <w:pPr>
              <w:spacing w:after="0"/>
              <w:rPr>
                <w:sz w:val="20"/>
                <w:szCs w:val="20"/>
                <w:color w:val="auto"/>
              </w:rPr>
            </w:pPr>
            <w:r>
              <w:rPr>
                <w:rFonts w:ascii="Arial" w:cs="Arial" w:eastAsia="Arial" w:hAnsi="Arial"/>
                <w:sz w:val="18"/>
                <w:szCs w:val="18"/>
                <w:color w:val="auto"/>
              </w:rPr>
              <w:t>adjustment</w:t>
            </w: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(86,749)</w:t>
            </w:r>
          </w:p>
        </w:tc>
        <w:tc>
          <w:tcPr>
            <w:tcW w:w="7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(87)</w:t>
            </w:r>
          </w:p>
        </w:tc>
        <w:tc>
          <w:tcPr>
            <w:tcW w:w="7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300" w:type="dxa"/>
            <w:vAlign w:val="bottom"/>
            <w:shd w:val="clear" w:color="auto" w:fill="CBDBD1"/>
          </w:tcPr>
          <w:p>
            <w:pPr>
              <w:spacing w:after="0"/>
              <w:rPr>
                <w:sz w:val="20"/>
                <w:szCs w:val="20"/>
                <w:color w:val="auto"/>
              </w:rPr>
            </w:pPr>
          </w:p>
        </w:tc>
        <w:tc>
          <w:tcPr>
            <w:tcW w:w="3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8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8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87</w:t>
            </w:r>
          </w:p>
        </w:tc>
        <w:tc>
          <w:tcPr>
            <w:tcW w:w="8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9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100" w:type="dxa"/>
            <w:vAlign w:val="bottom"/>
            <w:shd w:val="clear" w:color="auto" w:fill="CBDBD1"/>
          </w:tcPr>
          <w:p>
            <w:pPr>
              <w:spacing w:after="0"/>
              <w:rPr>
                <w:sz w:val="20"/>
                <w:szCs w:val="20"/>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8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w w:val="91"/>
              </w:rPr>
              <w:t>Issuance of common stock</w:t>
            </w:r>
          </w:p>
        </w:tc>
        <w:tc>
          <w:tcPr>
            <w:tcW w:w="90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300" w:type="dxa"/>
            <w:vAlign w:val="bottom"/>
            <w:shd w:val="clear" w:color="auto" w:fill="CBDBD1"/>
          </w:tcPr>
          <w:p>
            <w:pPr>
              <w:spacing w:after="0"/>
              <w:rPr>
                <w:sz w:val="17"/>
                <w:szCs w:val="17"/>
                <w:color w:val="auto"/>
              </w:rPr>
            </w:pPr>
          </w:p>
        </w:tc>
        <w:tc>
          <w:tcPr>
            <w:tcW w:w="3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6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9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40" w:type="dxa"/>
            <w:vAlign w:val="bottom"/>
            <w:shd w:val="clear" w:color="auto" w:fill="CBDBD1"/>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80" w:type="dxa"/>
            <w:vAlign w:val="bottom"/>
            <w:shd w:val="clear" w:color="auto" w:fill="CBDBD1"/>
          </w:tcPr>
          <w:p>
            <w:pPr>
              <w:spacing w:after="0"/>
              <w:rPr>
                <w:sz w:val="20"/>
                <w:szCs w:val="20"/>
                <w:color w:val="auto"/>
              </w:rPr>
            </w:pPr>
            <w:r>
              <w:rPr>
                <w:rFonts w:ascii="Arial" w:cs="Arial" w:eastAsia="Arial" w:hAnsi="Arial"/>
                <w:sz w:val="18"/>
                <w:szCs w:val="18"/>
                <w:color w:val="auto"/>
              </w:rPr>
              <w:t>for services</w:t>
            </w: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284,000</w:t>
            </w:r>
          </w:p>
        </w:tc>
        <w:tc>
          <w:tcPr>
            <w:tcW w:w="7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284</w:t>
            </w:r>
          </w:p>
        </w:tc>
        <w:tc>
          <w:tcPr>
            <w:tcW w:w="7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300" w:type="dxa"/>
            <w:vAlign w:val="bottom"/>
            <w:shd w:val="clear" w:color="auto" w:fill="CBDBD1"/>
          </w:tcPr>
          <w:p>
            <w:pPr>
              <w:spacing w:after="0"/>
              <w:rPr>
                <w:sz w:val="20"/>
                <w:szCs w:val="20"/>
                <w:color w:val="auto"/>
              </w:rPr>
            </w:pPr>
          </w:p>
        </w:tc>
        <w:tc>
          <w:tcPr>
            <w:tcW w:w="3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8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8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1,007,956</w:t>
            </w:r>
          </w:p>
        </w:tc>
        <w:tc>
          <w:tcPr>
            <w:tcW w:w="8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9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100" w:type="dxa"/>
            <w:vAlign w:val="bottom"/>
            <w:shd w:val="clear" w:color="auto" w:fill="CBDBD1"/>
          </w:tcPr>
          <w:p>
            <w:pPr>
              <w:spacing w:after="0"/>
              <w:rPr>
                <w:sz w:val="20"/>
                <w:szCs w:val="20"/>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1,008,240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8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w w:val="91"/>
              </w:rPr>
              <w:t>Issuance of stock warrants</w:t>
            </w:r>
          </w:p>
        </w:tc>
        <w:tc>
          <w:tcPr>
            <w:tcW w:w="90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300" w:type="dxa"/>
            <w:vAlign w:val="bottom"/>
            <w:shd w:val="clear" w:color="auto" w:fill="CBDBD1"/>
          </w:tcPr>
          <w:p>
            <w:pPr>
              <w:spacing w:after="0"/>
              <w:rPr>
                <w:sz w:val="17"/>
                <w:szCs w:val="17"/>
                <w:color w:val="auto"/>
              </w:rPr>
            </w:pPr>
          </w:p>
        </w:tc>
        <w:tc>
          <w:tcPr>
            <w:tcW w:w="3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6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9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40" w:type="dxa"/>
            <w:vAlign w:val="bottom"/>
            <w:shd w:val="clear" w:color="auto" w:fill="CBDBD1"/>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80" w:type="dxa"/>
            <w:vAlign w:val="bottom"/>
            <w:shd w:val="clear" w:color="auto" w:fill="CBDBD1"/>
          </w:tcPr>
          <w:p>
            <w:pPr>
              <w:spacing w:after="0"/>
              <w:rPr>
                <w:sz w:val="20"/>
                <w:szCs w:val="20"/>
                <w:color w:val="auto"/>
              </w:rPr>
            </w:pPr>
            <w:r>
              <w:rPr>
                <w:rFonts w:ascii="Arial" w:cs="Arial" w:eastAsia="Arial" w:hAnsi="Arial"/>
                <w:sz w:val="18"/>
                <w:szCs w:val="18"/>
                <w:color w:val="auto"/>
              </w:rPr>
              <w:t>and options</w:t>
            </w: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300" w:type="dxa"/>
            <w:vAlign w:val="bottom"/>
            <w:shd w:val="clear" w:color="auto" w:fill="CBDBD1"/>
          </w:tcPr>
          <w:p>
            <w:pPr>
              <w:spacing w:after="0"/>
              <w:rPr>
                <w:sz w:val="20"/>
                <w:szCs w:val="20"/>
                <w:color w:val="auto"/>
              </w:rPr>
            </w:pPr>
          </w:p>
        </w:tc>
        <w:tc>
          <w:tcPr>
            <w:tcW w:w="3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820" w:type="dxa"/>
            <w:vAlign w:val="bottom"/>
            <w:shd w:val="clear" w:color="auto" w:fill="CBDBD1"/>
          </w:tcPr>
          <w:p>
            <w:pPr>
              <w:jc w:val="right"/>
              <w:spacing w:after="0"/>
              <w:rPr>
                <w:sz w:val="20"/>
                <w:szCs w:val="20"/>
                <w:color w:val="auto"/>
              </w:rPr>
            </w:pPr>
            <w:r>
              <w:rPr>
                <w:rFonts w:ascii="Arial" w:cs="Arial" w:eastAsia="Arial" w:hAnsi="Arial"/>
                <w:sz w:val="18"/>
                <w:szCs w:val="18"/>
                <w:color w:val="auto"/>
                <w:w w:val="99"/>
              </w:rPr>
              <w:t>1,939,257</w:t>
            </w:r>
          </w:p>
        </w:tc>
        <w:tc>
          <w:tcPr>
            <w:tcW w:w="8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8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9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100" w:type="dxa"/>
            <w:vAlign w:val="bottom"/>
            <w:shd w:val="clear" w:color="auto" w:fill="CBDBD1"/>
          </w:tcPr>
          <w:p>
            <w:pPr>
              <w:spacing w:after="0"/>
              <w:rPr>
                <w:sz w:val="20"/>
                <w:szCs w:val="20"/>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1,939,257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8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rPr>
              <w:t>Conversion of stock</w:t>
            </w:r>
          </w:p>
        </w:tc>
        <w:tc>
          <w:tcPr>
            <w:tcW w:w="90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300" w:type="dxa"/>
            <w:vAlign w:val="bottom"/>
            <w:shd w:val="clear" w:color="auto" w:fill="CBDBD1"/>
          </w:tcPr>
          <w:p>
            <w:pPr>
              <w:spacing w:after="0"/>
              <w:rPr>
                <w:sz w:val="17"/>
                <w:szCs w:val="17"/>
                <w:color w:val="auto"/>
              </w:rPr>
            </w:pPr>
          </w:p>
        </w:tc>
        <w:tc>
          <w:tcPr>
            <w:tcW w:w="3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6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9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40" w:type="dxa"/>
            <w:vAlign w:val="bottom"/>
            <w:shd w:val="clear" w:color="auto" w:fill="CBDBD1"/>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80" w:type="dxa"/>
            <w:vAlign w:val="bottom"/>
            <w:shd w:val="clear" w:color="auto" w:fill="CBDBD1"/>
          </w:tcPr>
          <w:p>
            <w:pPr>
              <w:spacing w:after="0"/>
              <w:rPr>
                <w:sz w:val="20"/>
                <w:szCs w:val="20"/>
                <w:color w:val="auto"/>
              </w:rPr>
            </w:pPr>
            <w:r>
              <w:rPr>
                <w:rFonts w:ascii="Arial" w:cs="Arial" w:eastAsia="Arial" w:hAnsi="Arial"/>
                <w:sz w:val="18"/>
                <w:szCs w:val="18"/>
                <w:color w:val="auto"/>
                <w:w w:val="93"/>
              </w:rPr>
              <w:t>warrants to common stock</w:t>
            </w: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365,908</w:t>
            </w:r>
          </w:p>
        </w:tc>
        <w:tc>
          <w:tcPr>
            <w:tcW w:w="7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366</w:t>
            </w:r>
          </w:p>
        </w:tc>
        <w:tc>
          <w:tcPr>
            <w:tcW w:w="7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300" w:type="dxa"/>
            <w:vAlign w:val="bottom"/>
            <w:shd w:val="clear" w:color="auto" w:fill="CBDBD1"/>
          </w:tcPr>
          <w:p>
            <w:pPr>
              <w:spacing w:after="0"/>
              <w:rPr>
                <w:sz w:val="20"/>
                <w:szCs w:val="20"/>
                <w:color w:val="auto"/>
              </w:rPr>
            </w:pPr>
          </w:p>
        </w:tc>
        <w:tc>
          <w:tcPr>
            <w:tcW w:w="3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8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(705,285)</w:t>
            </w:r>
          </w:p>
        </w:tc>
        <w:tc>
          <w:tcPr>
            <w:tcW w:w="8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8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739,919</w:t>
            </w:r>
          </w:p>
        </w:tc>
        <w:tc>
          <w:tcPr>
            <w:tcW w:w="8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9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100" w:type="dxa"/>
            <w:vAlign w:val="bottom"/>
            <w:shd w:val="clear" w:color="auto" w:fill="CBDBD1"/>
          </w:tcPr>
          <w:p>
            <w:pPr>
              <w:spacing w:after="0"/>
              <w:rPr>
                <w:sz w:val="20"/>
                <w:szCs w:val="20"/>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8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w w:val="90"/>
              </w:rPr>
              <w:t>Net loss for the year ended</w:t>
            </w:r>
          </w:p>
        </w:tc>
        <w:tc>
          <w:tcPr>
            <w:tcW w:w="90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300" w:type="dxa"/>
            <w:vAlign w:val="bottom"/>
            <w:shd w:val="clear" w:color="auto" w:fill="CBDBD1"/>
          </w:tcPr>
          <w:p>
            <w:pPr>
              <w:spacing w:after="0"/>
              <w:rPr>
                <w:sz w:val="17"/>
                <w:szCs w:val="17"/>
                <w:color w:val="auto"/>
              </w:rPr>
            </w:pPr>
          </w:p>
        </w:tc>
        <w:tc>
          <w:tcPr>
            <w:tcW w:w="3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6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9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40" w:type="dxa"/>
            <w:vAlign w:val="bottom"/>
            <w:shd w:val="clear" w:color="auto" w:fill="CBDBD1"/>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80" w:type="dxa"/>
            <w:vAlign w:val="bottom"/>
            <w:shd w:val="clear" w:color="auto" w:fill="CBDBD1"/>
          </w:tcPr>
          <w:p>
            <w:pPr>
              <w:spacing w:after="0"/>
              <w:rPr>
                <w:sz w:val="20"/>
                <w:szCs w:val="20"/>
                <w:color w:val="auto"/>
              </w:rPr>
            </w:pPr>
            <w:r>
              <w:rPr>
                <w:rFonts w:ascii="Arial" w:cs="Arial" w:eastAsia="Arial" w:hAnsi="Arial"/>
                <w:sz w:val="18"/>
                <w:szCs w:val="18"/>
                <w:color w:val="auto"/>
              </w:rPr>
              <w:t>December 31, 2009</w:t>
            </w: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300" w:type="dxa"/>
            <w:vAlign w:val="bottom"/>
            <w:shd w:val="clear" w:color="auto" w:fill="CBDBD1"/>
          </w:tcPr>
          <w:p>
            <w:pPr>
              <w:spacing w:after="0"/>
              <w:rPr>
                <w:sz w:val="20"/>
                <w:szCs w:val="20"/>
                <w:color w:val="auto"/>
              </w:rPr>
            </w:pPr>
          </w:p>
        </w:tc>
        <w:tc>
          <w:tcPr>
            <w:tcW w:w="3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8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8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940" w:type="dxa"/>
            <w:vAlign w:val="bottom"/>
            <w:shd w:val="clear" w:color="auto" w:fill="CBDBD1"/>
          </w:tcPr>
          <w:p>
            <w:pPr>
              <w:jc w:val="right"/>
              <w:spacing w:after="0"/>
              <w:rPr>
                <w:sz w:val="20"/>
                <w:szCs w:val="20"/>
                <w:color w:val="auto"/>
              </w:rPr>
            </w:pPr>
            <w:r>
              <w:rPr>
                <w:rFonts w:ascii="Arial" w:cs="Arial" w:eastAsia="Arial" w:hAnsi="Arial"/>
                <w:sz w:val="18"/>
                <w:szCs w:val="18"/>
                <w:color w:val="auto"/>
                <w:w w:val="99"/>
              </w:rPr>
              <w:t>(4,555,689)</w:t>
            </w:r>
          </w:p>
        </w:tc>
        <w:tc>
          <w:tcPr>
            <w:tcW w:w="80" w:type="dxa"/>
            <w:vAlign w:val="bottom"/>
            <w:shd w:val="clear" w:color="auto" w:fill="CBDBD1"/>
          </w:tcPr>
          <w:p>
            <w:pPr>
              <w:spacing w:after="0"/>
              <w:rPr>
                <w:sz w:val="20"/>
                <w:szCs w:val="20"/>
                <w:color w:val="auto"/>
              </w:rPr>
            </w:pPr>
          </w:p>
        </w:tc>
        <w:tc>
          <w:tcPr>
            <w:tcW w:w="100" w:type="dxa"/>
            <w:vAlign w:val="bottom"/>
            <w:shd w:val="clear" w:color="auto" w:fill="CBDBD1"/>
          </w:tcPr>
          <w:p>
            <w:pPr>
              <w:spacing w:after="0"/>
              <w:rPr>
                <w:sz w:val="20"/>
                <w:szCs w:val="20"/>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w w:val="89"/>
              </w:rPr>
              <w:t>(4,555,689)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8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rPr>
              <w:t>Balance, December 31,</w:t>
            </w:r>
          </w:p>
        </w:tc>
        <w:tc>
          <w:tcPr>
            <w:tcW w:w="90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300" w:type="dxa"/>
            <w:vAlign w:val="bottom"/>
            <w:shd w:val="clear" w:color="auto" w:fill="CBDBD1"/>
          </w:tcPr>
          <w:p>
            <w:pPr>
              <w:spacing w:after="0"/>
              <w:rPr>
                <w:sz w:val="17"/>
                <w:szCs w:val="17"/>
                <w:color w:val="auto"/>
              </w:rPr>
            </w:pPr>
          </w:p>
        </w:tc>
        <w:tc>
          <w:tcPr>
            <w:tcW w:w="3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6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9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40" w:type="dxa"/>
            <w:vAlign w:val="bottom"/>
            <w:shd w:val="clear" w:color="auto" w:fill="CBDBD1"/>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980" w:type="dxa"/>
            <w:vAlign w:val="bottom"/>
            <w:shd w:val="clear" w:color="auto" w:fill="CBDBD1"/>
          </w:tcPr>
          <w:p>
            <w:pPr>
              <w:spacing w:after="0"/>
              <w:rPr>
                <w:sz w:val="20"/>
                <w:szCs w:val="20"/>
                <w:color w:val="auto"/>
              </w:rPr>
            </w:pPr>
            <w:r>
              <w:rPr>
                <w:rFonts w:ascii="Arial" w:cs="Arial" w:eastAsia="Arial" w:hAnsi="Arial"/>
                <w:sz w:val="18"/>
                <w:szCs w:val="18"/>
                <w:color w:val="auto"/>
              </w:rPr>
              <w:t>2009</w:t>
            </w: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w w:val="95"/>
              </w:rPr>
              <w:t>12,826,117</w:t>
            </w:r>
          </w:p>
        </w:tc>
        <w:tc>
          <w:tcPr>
            <w:tcW w:w="7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w w:val="96"/>
              </w:rPr>
              <w:t>$ 12,826</w:t>
            </w:r>
          </w:p>
        </w:tc>
        <w:tc>
          <w:tcPr>
            <w:tcW w:w="7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35</w:t>
            </w:r>
          </w:p>
        </w:tc>
        <w:tc>
          <w:tcPr>
            <w:tcW w:w="380" w:type="dxa"/>
            <w:vAlign w:val="bottom"/>
            <w:gridSpan w:val="2"/>
            <w:shd w:val="clear" w:color="auto" w:fill="CBDBD1"/>
          </w:tcPr>
          <w:p>
            <w:pPr>
              <w:ind w:lef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60" w:type="dxa"/>
            <w:vAlign w:val="bottom"/>
            <w:gridSpan w:val="2"/>
            <w:shd w:val="clear" w:color="auto" w:fill="CBDBD1"/>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shd w:val="clear" w:color="auto" w:fill="CBDBD1"/>
          </w:tcPr>
          <w:p>
            <w:pPr>
              <w:jc w:val="right"/>
              <w:spacing w:after="0"/>
              <w:rPr>
                <w:sz w:val="20"/>
                <w:szCs w:val="20"/>
                <w:color w:val="auto"/>
              </w:rPr>
            </w:pPr>
            <w:r>
              <w:rPr>
                <w:rFonts w:ascii="Arial" w:cs="Arial" w:eastAsia="Arial" w:hAnsi="Arial"/>
                <w:sz w:val="18"/>
                <w:szCs w:val="18"/>
                <w:color w:val="auto"/>
                <w:w w:val="88"/>
              </w:rPr>
              <w:t>18,139,252</w:t>
            </w:r>
          </w:p>
        </w:tc>
        <w:tc>
          <w:tcPr>
            <w:tcW w:w="16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1,747,962</w:t>
            </w:r>
          </w:p>
        </w:tc>
        <w:tc>
          <w:tcPr>
            <w:tcW w:w="160" w:type="dxa"/>
            <w:vAlign w:val="bottom"/>
            <w:gridSpan w:val="2"/>
            <w:shd w:val="clear" w:color="auto" w:fill="CBDBD1"/>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shd w:val="clear" w:color="auto" w:fill="CBDBD1"/>
          </w:tcPr>
          <w:p>
            <w:pPr>
              <w:jc w:val="right"/>
              <w:spacing w:after="0"/>
              <w:rPr>
                <w:sz w:val="20"/>
                <w:szCs w:val="20"/>
                <w:color w:val="auto"/>
              </w:rPr>
            </w:pPr>
            <w:r>
              <w:rPr>
                <w:rFonts w:ascii="Arial" w:cs="Arial" w:eastAsia="Arial" w:hAnsi="Arial"/>
                <w:sz w:val="18"/>
                <w:szCs w:val="18"/>
                <w:color w:val="auto"/>
                <w:w w:val="90"/>
              </w:rPr>
              <w:t>(19,047,728)</w:t>
            </w:r>
          </w:p>
        </w:tc>
        <w:tc>
          <w:tcPr>
            <w:tcW w:w="180" w:type="dxa"/>
            <w:vAlign w:val="bottom"/>
            <w:gridSpan w:val="2"/>
            <w:shd w:val="clear" w:color="auto" w:fill="CBDBD1"/>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852,312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CBDBD1"/>
            </w:tcBorders>
            <w:shd w:val="clear" w:color="auto" w:fill="CBDBD1"/>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5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21" w:right="137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YEARS ENDED DECEMBER 31, 2009 AND 2008</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PERIOD FROM JANUARY 31, 2006 (INCEPTION) TO DECEMBER 31, 2009</w:t>
      </w:r>
    </w:p>
    <w:p>
      <w:pPr>
        <w:spacing w:after="0" w:line="234"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Inception</w:t>
            </w:r>
          </w:p>
        </w:tc>
      </w:tr>
      <w:tr>
        <w:trPr>
          <w:trHeight w:val="216"/>
        </w:trPr>
        <w:tc>
          <w:tcPr>
            <w:tcW w:w="4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Year 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8"/>
              </w:rPr>
              <w:t>Year ended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through</w:t>
            </w:r>
          </w:p>
        </w:tc>
      </w:tr>
      <w:tr>
        <w:trPr>
          <w:trHeight w:val="216"/>
        </w:trPr>
        <w:tc>
          <w:tcPr>
            <w:tcW w:w="4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46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2008</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2009</w:t>
            </w:r>
          </w:p>
        </w:tc>
        <w:tc>
          <w:tcPr>
            <w:tcW w:w="20" w:type="dxa"/>
            <w:vAlign w:val="bottom"/>
          </w:tcPr>
          <w:p>
            <w:pPr>
              <w:spacing w:after="0"/>
              <w:rPr>
                <w:sz w:val="20"/>
                <w:szCs w:val="20"/>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00" w:type="dxa"/>
            <w:vAlign w:val="bottom"/>
            <w:shd w:val="clear" w:color="auto" w:fill="CBDBD1"/>
          </w:tcPr>
          <w:p>
            <w:pPr>
              <w:ind w:left="160"/>
              <w:spacing w:after="0"/>
              <w:rPr>
                <w:sz w:val="20"/>
                <w:szCs w:val="20"/>
                <w:color w:val="auto"/>
              </w:rPr>
            </w:pPr>
            <w:r>
              <w:rPr>
                <w:rFonts w:ascii="Arial" w:cs="Arial" w:eastAsia="Arial" w:hAnsi="Arial"/>
                <w:sz w:val="18"/>
                <w:szCs w:val="18"/>
                <w:color w:val="auto"/>
              </w:rPr>
              <w:t>Net Loss for the period</w:t>
            </w:r>
          </w:p>
        </w:tc>
        <w:tc>
          <w:tcPr>
            <w:tcW w:w="80" w:type="dxa"/>
            <w:vAlign w:val="bottom"/>
            <w:shd w:val="clear" w:color="auto" w:fill="CBDBD1"/>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(4,555,689)</w:t>
            </w:r>
          </w:p>
        </w:tc>
        <w:tc>
          <w:tcPr>
            <w:tcW w:w="2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(4,248,853)</w:t>
            </w:r>
          </w:p>
        </w:tc>
        <w:tc>
          <w:tcPr>
            <w:tcW w:w="200" w:type="dxa"/>
            <w:vAlign w:val="bottom"/>
            <w:tcBorders>
              <w:left w:val="single" w:sz="8" w:color="CBDBD1"/>
            </w:tcBorders>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(9,350,319)</w:t>
            </w:r>
          </w:p>
        </w:tc>
        <w:tc>
          <w:tcPr>
            <w:tcW w:w="20" w:type="dxa"/>
            <w:vAlign w:val="bottom"/>
          </w:tcPr>
          <w:p>
            <w:pPr>
              <w:spacing w:after="0"/>
              <w:rPr>
                <w:sz w:val="18"/>
                <w:szCs w:val="18"/>
                <w:color w:val="auto"/>
              </w:rPr>
            </w:pPr>
          </w:p>
        </w:tc>
      </w:tr>
      <w:tr>
        <w:trPr>
          <w:trHeight w:val="198"/>
        </w:trPr>
        <w:tc>
          <w:tcPr>
            <w:tcW w:w="4600" w:type="dxa"/>
            <w:vAlign w:val="bottom"/>
          </w:tcPr>
          <w:p>
            <w:pPr>
              <w:spacing w:after="0" w:line="198" w:lineRule="exact"/>
              <w:rPr>
                <w:sz w:val="20"/>
                <w:szCs w:val="20"/>
                <w:color w:val="auto"/>
              </w:rPr>
            </w:pPr>
            <w:r>
              <w:rPr>
                <w:rFonts w:ascii="Arial" w:cs="Arial" w:eastAsia="Arial" w:hAnsi="Arial"/>
                <w:sz w:val="18"/>
                <w:szCs w:val="18"/>
                <w:b w:val="1"/>
                <w:bCs w:val="1"/>
                <w:color w:val="auto"/>
                <w:w w:val="95"/>
              </w:rPr>
              <w:t>Adjustments to Reconcile Net Loss to Net Cash Used in</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460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4600" w:type="dxa"/>
            <w:vAlign w:val="bottom"/>
            <w:shd w:val="clear" w:color="auto" w:fill="CBDBD1"/>
          </w:tcPr>
          <w:p>
            <w:pPr>
              <w:ind w:left="320"/>
              <w:spacing w:after="0"/>
              <w:rPr>
                <w:sz w:val="20"/>
                <w:szCs w:val="20"/>
                <w:color w:val="auto"/>
              </w:rPr>
            </w:pPr>
            <w:r>
              <w:rPr>
                <w:rFonts w:ascii="Arial" w:cs="Arial" w:eastAsia="Arial" w:hAnsi="Arial"/>
                <w:sz w:val="18"/>
                <w:szCs w:val="18"/>
                <w:color w:val="auto"/>
              </w:rPr>
              <w:t>Depreciation and amortization expense</w:t>
            </w:r>
          </w:p>
        </w:tc>
        <w:tc>
          <w:tcPr>
            <w:tcW w:w="80" w:type="dxa"/>
            <w:vAlign w:val="bottom"/>
            <w:shd w:val="clear" w:color="auto" w:fill="CBDBD1"/>
          </w:tcPr>
          <w:p>
            <w:pPr>
              <w:spacing w:after="0"/>
              <w:rPr>
                <w:sz w:val="18"/>
                <w:szCs w:val="18"/>
                <w:color w:val="auto"/>
              </w:rPr>
            </w:pPr>
          </w:p>
        </w:tc>
        <w:tc>
          <w:tcPr>
            <w:tcW w:w="11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32,516</w:t>
            </w:r>
          </w:p>
        </w:tc>
        <w:tc>
          <w:tcPr>
            <w:tcW w:w="1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1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32,150</w:t>
            </w:r>
          </w:p>
        </w:tc>
        <w:tc>
          <w:tcPr>
            <w:tcW w:w="120" w:type="dxa"/>
            <w:vAlign w:val="bottom"/>
            <w:tcBorders>
              <w:left w:val="single" w:sz="8" w:color="CBDBD1"/>
            </w:tcBorders>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1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67,529</w:t>
            </w:r>
          </w:p>
        </w:tc>
        <w:tc>
          <w:tcPr>
            <w:tcW w:w="20" w:type="dxa"/>
            <w:vAlign w:val="bottom"/>
          </w:tcPr>
          <w:p>
            <w:pPr>
              <w:spacing w:after="0"/>
              <w:rPr>
                <w:sz w:val="18"/>
                <w:szCs w:val="18"/>
                <w:color w:val="auto"/>
              </w:rPr>
            </w:pPr>
          </w:p>
        </w:tc>
      </w:tr>
      <w:tr>
        <w:trPr>
          <w:trHeight w:val="216"/>
        </w:trPr>
        <w:tc>
          <w:tcPr>
            <w:tcW w:w="4600" w:type="dxa"/>
            <w:vAlign w:val="bottom"/>
          </w:tcPr>
          <w:p>
            <w:pPr>
              <w:ind w:left="320"/>
              <w:spacing w:after="0"/>
              <w:rPr>
                <w:sz w:val="20"/>
                <w:szCs w:val="20"/>
                <w:color w:val="auto"/>
              </w:rPr>
            </w:pPr>
            <w:r>
              <w:rPr>
                <w:rFonts w:ascii="Arial" w:cs="Arial" w:eastAsia="Arial" w:hAnsi="Arial"/>
                <w:sz w:val="18"/>
                <w:szCs w:val="18"/>
                <w:color w:val="auto"/>
              </w:rPr>
              <w:t>Stock issued for services</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1,008,240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1,078,240</w:t>
            </w:r>
          </w:p>
        </w:tc>
        <w:tc>
          <w:tcPr>
            <w:tcW w:w="20" w:type="dxa"/>
            <w:vAlign w:val="bottom"/>
          </w:tcPr>
          <w:p>
            <w:pPr>
              <w:spacing w:after="0"/>
              <w:rPr>
                <w:sz w:val="18"/>
                <w:szCs w:val="18"/>
                <w:color w:val="auto"/>
              </w:rPr>
            </w:pPr>
          </w:p>
        </w:tc>
      </w:tr>
      <w:tr>
        <w:trPr>
          <w:trHeight w:val="216"/>
        </w:trPr>
        <w:tc>
          <w:tcPr>
            <w:tcW w:w="4600" w:type="dxa"/>
            <w:vAlign w:val="bottom"/>
            <w:shd w:val="clear" w:color="auto" w:fill="CBDBD1"/>
          </w:tcPr>
          <w:p>
            <w:pPr>
              <w:ind w:left="320"/>
              <w:spacing w:after="0"/>
              <w:rPr>
                <w:sz w:val="20"/>
                <w:szCs w:val="20"/>
                <w:color w:val="auto"/>
              </w:rPr>
            </w:pPr>
            <w:r>
              <w:rPr>
                <w:rFonts w:ascii="Arial" w:cs="Arial" w:eastAsia="Arial" w:hAnsi="Arial"/>
                <w:sz w:val="18"/>
                <w:szCs w:val="18"/>
                <w:color w:val="auto"/>
              </w:rPr>
              <w:t>Stock options issued for compensation</w:t>
            </w:r>
          </w:p>
        </w:tc>
        <w:tc>
          <w:tcPr>
            <w:tcW w:w="80" w:type="dxa"/>
            <w:vAlign w:val="bottom"/>
            <w:shd w:val="clear" w:color="auto" w:fill="CBDBD1"/>
          </w:tcPr>
          <w:p>
            <w:pPr>
              <w:spacing w:after="0"/>
              <w:rPr>
                <w:sz w:val="18"/>
                <w:szCs w:val="18"/>
                <w:color w:val="auto"/>
              </w:rPr>
            </w:pPr>
          </w:p>
        </w:tc>
        <w:tc>
          <w:tcPr>
            <w:tcW w:w="11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1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333,004</w:t>
            </w:r>
          </w:p>
        </w:tc>
        <w:tc>
          <w:tcPr>
            <w:tcW w:w="120" w:type="dxa"/>
            <w:vAlign w:val="bottom"/>
            <w:tcBorders>
              <w:left w:val="single" w:sz="8" w:color="CBDBD1"/>
            </w:tcBorders>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1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333,004</w:t>
            </w:r>
          </w:p>
        </w:tc>
        <w:tc>
          <w:tcPr>
            <w:tcW w:w="20" w:type="dxa"/>
            <w:vAlign w:val="bottom"/>
          </w:tcPr>
          <w:p>
            <w:pPr>
              <w:spacing w:after="0"/>
              <w:rPr>
                <w:sz w:val="18"/>
                <w:szCs w:val="18"/>
                <w:color w:val="auto"/>
              </w:rPr>
            </w:pPr>
          </w:p>
        </w:tc>
      </w:tr>
      <w:tr>
        <w:trPr>
          <w:trHeight w:val="216"/>
        </w:trPr>
        <w:tc>
          <w:tcPr>
            <w:tcW w:w="4600" w:type="dxa"/>
            <w:vAlign w:val="bottom"/>
          </w:tcPr>
          <w:p>
            <w:pPr>
              <w:ind w:left="320"/>
              <w:spacing w:after="0"/>
              <w:rPr>
                <w:sz w:val="20"/>
                <w:szCs w:val="20"/>
                <w:color w:val="auto"/>
              </w:rPr>
            </w:pPr>
            <w:r>
              <w:rPr>
                <w:rFonts w:ascii="Arial" w:cs="Arial" w:eastAsia="Arial" w:hAnsi="Arial"/>
                <w:sz w:val="18"/>
                <w:szCs w:val="18"/>
                <w:color w:val="auto"/>
              </w:rPr>
              <w:t>Stock warrants issued for services</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1,939,257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2,745,280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4,684,537</w:t>
            </w:r>
          </w:p>
        </w:tc>
        <w:tc>
          <w:tcPr>
            <w:tcW w:w="20" w:type="dxa"/>
            <w:vAlign w:val="bottom"/>
          </w:tcPr>
          <w:p>
            <w:pPr>
              <w:spacing w:after="0"/>
              <w:rPr>
                <w:sz w:val="18"/>
                <w:szCs w:val="18"/>
                <w:color w:val="auto"/>
              </w:rPr>
            </w:pPr>
          </w:p>
        </w:tc>
      </w:tr>
      <w:tr>
        <w:trPr>
          <w:trHeight w:val="216"/>
        </w:trPr>
        <w:tc>
          <w:tcPr>
            <w:tcW w:w="460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Changes in Assets and Liabilities</w:t>
            </w:r>
          </w:p>
        </w:tc>
        <w:tc>
          <w:tcPr>
            <w:tcW w:w="80" w:type="dxa"/>
            <w:vAlign w:val="bottom"/>
            <w:shd w:val="clear" w:color="auto" w:fill="CBDBD1"/>
          </w:tcPr>
          <w:p>
            <w:pPr>
              <w:spacing w:after="0"/>
              <w:rPr>
                <w:sz w:val="18"/>
                <w:szCs w:val="18"/>
                <w:color w:val="auto"/>
              </w:rPr>
            </w:pPr>
          </w:p>
        </w:tc>
        <w:tc>
          <w:tcPr>
            <w:tcW w:w="116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140" w:type="dxa"/>
            <w:vAlign w:val="bottom"/>
            <w:shd w:val="clear" w:color="auto" w:fill="CBDBD1"/>
          </w:tcPr>
          <w:p>
            <w:pPr>
              <w:spacing w:after="0"/>
              <w:rPr>
                <w:sz w:val="18"/>
                <w:szCs w:val="18"/>
                <w:color w:val="auto"/>
              </w:rPr>
            </w:pPr>
          </w:p>
        </w:tc>
        <w:tc>
          <w:tcPr>
            <w:tcW w:w="120" w:type="dxa"/>
            <w:vAlign w:val="bottom"/>
            <w:tcBorders>
              <w:left w:val="single" w:sz="8" w:color="CBDBD1"/>
            </w:tcBorders>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16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00" w:type="dxa"/>
            <w:vAlign w:val="bottom"/>
          </w:tcPr>
          <w:p>
            <w:pPr>
              <w:ind w:left="320"/>
              <w:spacing w:after="0"/>
              <w:rPr>
                <w:sz w:val="20"/>
                <w:szCs w:val="20"/>
                <w:color w:val="auto"/>
              </w:rPr>
            </w:pPr>
            <w:r>
              <w:rPr>
                <w:rFonts w:ascii="Arial" w:cs="Arial" w:eastAsia="Arial" w:hAnsi="Arial"/>
                <w:sz w:val="18"/>
                <w:szCs w:val="18"/>
                <w:color w:val="auto"/>
              </w:rPr>
              <w:t>(Increase) in accounts receivable – trade</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(14,465)</w:t>
            </w:r>
          </w:p>
        </w:tc>
        <w:tc>
          <w:tcPr>
            <w:tcW w:w="20" w:type="dxa"/>
            <w:vAlign w:val="bottom"/>
          </w:tcPr>
          <w:p>
            <w:pPr>
              <w:spacing w:after="0"/>
              <w:rPr>
                <w:sz w:val="18"/>
                <w:szCs w:val="18"/>
                <w:color w:val="auto"/>
              </w:rPr>
            </w:pPr>
          </w:p>
        </w:tc>
      </w:tr>
      <w:tr>
        <w:trPr>
          <w:trHeight w:val="216"/>
        </w:trPr>
        <w:tc>
          <w:tcPr>
            <w:tcW w:w="4600" w:type="dxa"/>
            <w:vAlign w:val="bottom"/>
            <w:shd w:val="clear" w:color="auto" w:fill="CBDBD1"/>
          </w:tcPr>
          <w:p>
            <w:pPr>
              <w:ind w:left="320"/>
              <w:spacing w:after="0"/>
              <w:rPr>
                <w:sz w:val="20"/>
                <w:szCs w:val="20"/>
                <w:color w:val="auto"/>
              </w:rPr>
            </w:pPr>
            <w:r>
              <w:rPr>
                <w:rFonts w:ascii="Arial" w:cs="Arial" w:eastAsia="Arial" w:hAnsi="Arial"/>
                <w:sz w:val="18"/>
                <w:szCs w:val="18"/>
                <w:color w:val="auto"/>
                <w:w w:val="97"/>
              </w:rPr>
              <w:t>(Increase) decrease in accounts receivable - employee</w:t>
            </w:r>
          </w:p>
        </w:tc>
        <w:tc>
          <w:tcPr>
            <w:tcW w:w="80" w:type="dxa"/>
            <w:vAlign w:val="bottom"/>
            <w:shd w:val="clear" w:color="auto" w:fill="CBDBD1"/>
          </w:tcPr>
          <w:p>
            <w:pPr>
              <w:spacing w:after="0"/>
              <w:rPr>
                <w:sz w:val="18"/>
                <w:szCs w:val="18"/>
                <w:color w:val="auto"/>
              </w:rPr>
            </w:pPr>
          </w:p>
        </w:tc>
        <w:tc>
          <w:tcPr>
            <w:tcW w:w="11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1,346</w:t>
            </w:r>
          </w:p>
        </w:tc>
        <w:tc>
          <w:tcPr>
            <w:tcW w:w="1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1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(1,346)</w:t>
            </w:r>
          </w:p>
        </w:tc>
        <w:tc>
          <w:tcPr>
            <w:tcW w:w="120" w:type="dxa"/>
            <w:vAlign w:val="bottom"/>
            <w:tcBorders>
              <w:left w:val="single" w:sz="8" w:color="CBDBD1"/>
            </w:tcBorders>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1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4600" w:type="dxa"/>
            <w:vAlign w:val="bottom"/>
          </w:tcPr>
          <w:p>
            <w:pPr>
              <w:ind w:left="320"/>
              <w:spacing w:after="0"/>
              <w:rPr>
                <w:sz w:val="20"/>
                <w:szCs w:val="20"/>
                <w:color w:val="auto"/>
              </w:rPr>
            </w:pPr>
            <w:r>
              <w:rPr>
                <w:rFonts w:ascii="Arial" w:cs="Arial" w:eastAsia="Arial" w:hAnsi="Arial"/>
                <w:sz w:val="18"/>
                <w:szCs w:val="18"/>
                <w:color w:val="auto"/>
              </w:rPr>
              <w:t>(Increase) in prepaid expenses</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(8,092)</w:t>
            </w:r>
          </w:p>
        </w:tc>
        <w:tc>
          <w:tcPr>
            <w:tcW w:w="20" w:type="dxa"/>
            <w:vAlign w:val="bottom"/>
          </w:tcPr>
          <w:p>
            <w:pPr>
              <w:spacing w:after="0"/>
              <w:rPr>
                <w:sz w:val="18"/>
                <w:szCs w:val="18"/>
                <w:color w:val="auto"/>
              </w:rPr>
            </w:pPr>
          </w:p>
        </w:tc>
      </w:tr>
      <w:tr>
        <w:trPr>
          <w:trHeight w:val="216"/>
        </w:trPr>
        <w:tc>
          <w:tcPr>
            <w:tcW w:w="4600" w:type="dxa"/>
            <w:vAlign w:val="bottom"/>
            <w:shd w:val="clear" w:color="auto" w:fill="CBDBD1"/>
          </w:tcPr>
          <w:p>
            <w:pPr>
              <w:ind w:left="320"/>
              <w:spacing w:after="0"/>
              <w:rPr>
                <w:sz w:val="20"/>
                <w:szCs w:val="20"/>
                <w:color w:val="auto"/>
              </w:rPr>
            </w:pPr>
            <w:r>
              <w:rPr>
                <w:rFonts w:ascii="Arial" w:cs="Arial" w:eastAsia="Arial" w:hAnsi="Arial"/>
                <w:sz w:val="18"/>
                <w:szCs w:val="18"/>
                <w:color w:val="auto"/>
              </w:rPr>
              <w:t>Increase (decrease) in accounts payable</w:t>
            </w:r>
          </w:p>
        </w:tc>
        <w:tc>
          <w:tcPr>
            <w:tcW w:w="80" w:type="dxa"/>
            <w:vAlign w:val="bottom"/>
            <w:shd w:val="clear" w:color="auto" w:fill="CBDBD1"/>
          </w:tcPr>
          <w:p>
            <w:pPr>
              <w:spacing w:after="0"/>
              <w:rPr>
                <w:sz w:val="18"/>
                <w:szCs w:val="18"/>
                <w:color w:val="auto"/>
              </w:rPr>
            </w:pPr>
          </w:p>
        </w:tc>
        <w:tc>
          <w:tcPr>
            <w:tcW w:w="11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(138,640)</w:t>
            </w:r>
          </w:p>
        </w:tc>
        <w:tc>
          <w:tcPr>
            <w:tcW w:w="1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1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128,648</w:t>
            </w:r>
          </w:p>
        </w:tc>
        <w:tc>
          <w:tcPr>
            <w:tcW w:w="120" w:type="dxa"/>
            <w:vAlign w:val="bottom"/>
            <w:tcBorders>
              <w:left w:val="single" w:sz="8" w:color="CBDBD1"/>
            </w:tcBorders>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1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33,224</w:t>
            </w:r>
          </w:p>
        </w:tc>
        <w:tc>
          <w:tcPr>
            <w:tcW w:w="20" w:type="dxa"/>
            <w:vAlign w:val="bottom"/>
          </w:tcPr>
          <w:p>
            <w:pPr>
              <w:spacing w:after="0"/>
              <w:rPr>
                <w:sz w:val="18"/>
                <w:szCs w:val="18"/>
                <w:color w:val="auto"/>
              </w:rPr>
            </w:pPr>
          </w:p>
        </w:tc>
      </w:tr>
      <w:tr>
        <w:trPr>
          <w:trHeight w:val="223"/>
        </w:trPr>
        <w:tc>
          <w:tcPr>
            <w:tcW w:w="4600" w:type="dxa"/>
            <w:vAlign w:val="bottom"/>
          </w:tcPr>
          <w:p>
            <w:pPr>
              <w:ind w:left="320"/>
              <w:spacing w:after="0"/>
              <w:rPr>
                <w:sz w:val="20"/>
                <w:szCs w:val="20"/>
                <w:color w:val="auto"/>
              </w:rPr>
            </w:pPr>
            <w:r>
              <w:rPr>
                <w:rFonts w:ascii="Arial" w:cs="Arial" w:eastAsia="Arial" w:hAnsi="Arial"/>
                <w:sz w:val="18"/>
                <w:szCs w:val="18"/>
                <w:color w:val="auto"/>
              </w:rPr>
              <w:t>Increase (decrease) in accrued expenses</w:t>
            </w: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(37,327)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23,007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4,606</w:t>
            </w:r>
          </w:p>
        </w:tc>
        <w:tc>
          <w:tcPr>
            <w:tcW w:w="20" w:type="dxa"/>
            <w:vAlign w:val="bottom"/>
          </w:tcPr>
          <w:p>
            <w:pPr>
              <w:spacing w:after="0"/>
              <w:rPr>
                <w:sz w:val="19"/>
                <w:szCs w:val="19"/>
                <w:color w:val="auto"/>
              </w:rPr>
            </w:pPr>
          </w:p>
        </w:tc>
      </w:tr>
      <w:tr>
        <w:trPr>
          <w:trHeight w:val="223"/>
        </w:trPr>
        <w:tc>
          <w:tcPr>
            <w:tcW w:w="460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80" w:type="dxa"/>
            <w:vAlign w:val="bottom"/>
            <w:shd w:val="clear" w:color="auto" w:fill="CBDBD1"/>
          </w:tcPr>
          <w:p>
            <w:pPr>
              <w:spacing w:after="0"/>
              <w:rPr>
                <w:sz w:val="19"/>
                <w:szCs w:val="19"/>
                <w:color w:val="auto"/>
              </w:rPr>
            </w:pPr>
          </w:p>
        </w:tc>
        <w:tc>
          <w:tcPr>
            <w:tcW w:w="11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(1,769,562)</w:t>
            </w:r>
          </w:p>
        </w:tc>
        <w:tc>
          <w:tcPr>
            <w:tcW w:w="100" w:type="dxa"/>
            <w:vAlign w:val="bottom"/>
            <w:shd w:val="clear" w:color="auto" w:fill="CBDBD1"/>
          </w:tcPr>
          <w:p>
            <w:pPr>
              <w:spacing w:after="0"/>
              <w:rPr>
                <w:sz w:val="19"/>
                <w:szCs w:val="19"/>
                <w:color w:val="auto"/>
              </w:rPr>
            </w:pPr>
          </w:p>
        </w:tc>
        <w:tc>
          <w:tcPr>
            <w:tcW w:w="100" w:type="dxa"/>
            <w:vAlign w:val="bottom"/>
            <w:shd w:val="clear" w:color="auto" w:fill="CBDBD1"/>
          </w:tcPr>
          <w:p>
            <w:pPr>
              <w:spacing w:after="0"/>
              <w:rPr>
                <w:sz w:val="19"/>
                <w:szCs w:val="19"/>
                <w:color w:val="auto"/>
              </w:rPr>
            </w:pPr>
          </w:p>
        </w:tc>
        <w:tc>
          <w:tcPr>
            <w:tcW w:w="11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(919,402)</w:t>
            </w:r>
          </w:p>
        </w:tc>
        <w:tc>
          <w:tcPr>
            <w:tcW w:w="120" w:type="dxa"/>
            <w:vAlign w:val="bottom"/>
            <w:tcBorders>
              <w:left w:val="single" w:sz="8" w:color="CBDBD1"/>
            </w:tcBorders>
            <w:shd w:val="clear" w:color="auto" w:fill="CBDBD1"/>
          </w:tcPr>
          <w:p>
            <w:pPr>
              <w:spacing w:after="0"/>
              <w:rPr>
                <w:sz w:val="19"/>
                <w:szCs w:val="19"/>
                <w:color w:val="auto"/>
              </w:rPr>
            </w:pPr>
          </w:p>
        </w:tc>
        <w:tc>
          <w:tcPr>
            <w:tcW w:w="80" w:type="dxa"/>
            <w:vAlign w:val="bottom"/>
            <w:shd w:val="clear" w:color="auto" w:fill="CBDBD1"/>
          </w:tcPr>
          <w:p>
            <w:pPr>
              <w:spacing w:after="0"/>
              <w:rPr>
                <w:sz w:val="19"/>
                <w:szCs w:val="19"/>
                <w:color w:val="auto"/>
              </w:rPr>
            </w:pPr>
          </w:p>
        </w:tc>
        <w:tc>
          <w:tcPr>
            <w:tcW w:w="11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(3,171,736)</w:t>
            </w:r>
          </w:p>
        </w:tc>
        <w:tc>
          <w:tcPr>
            <w:tcW w:w="20" w:type="dxa"/>
            <w:vAlign w:val="bottom"/>
          </w:tcPr>
          <w:p>
            <w:pPr>
              <w:spacing w:after="0"/>
              <w:rPr>
                <w:sz w:val="19"/>
                <w:szCs w:val="19"/>
                <w:color w:val="auto"/>
              </w:rPr>
            </w:pPr>
          </w:p>
        </w:tc>
      </w:tr>
      <w:tr>
        <w:trPr>
          <w:trHeight w:val="216"/>
        </w:trPr>
        <w:tc>
          <w:tcPr>
            <w:tcW w:w="4600" w:type="dxa"/>
            <w:vAlign w:val="bottom"/>
            <w:tcBorders>
              <w:top w:val="single" w:sz="8" w:color="CBDBD1"/>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0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shd w:val="clear" w:color="auto" w:fill="CBDBD1"/>
          </w:tcPr>
          <w:p>
            <w:pPr>
              <w:spacing w:after="0"/>
              <w:rPr>
                <w:sz w:val="18"/>
                <w:szCs w:val="18"/>
                <w:color w:val="auto"/>
              </w:rPr>
            </w:pPr>
          </w:p>
        </w:tc>
        <w:tc>
          <w:tcPr>
            <w:tcW w:w="116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140" w:type="dxa"/>
            <w:vAlign w:val="bottom"/>
            <w:shd w:val="clear" w:color="auto" w:fill="CBDBD1"/>
          </w:tcPr>
          <w:p>
            <w:pPr>
              <w:spacing w:after="0"/>
              <w:rPr>
                <w:sz w:val="18"/>
                <w:szCs w:val="18"/>
                <w:color w:val="auto"/>
              </w:rPr>
            </w:pPr>
          </w:p>
        </w:tc>
        <w:tc>
          <w:tcPr>
            <w:tcW w:w="120" w:type="dxa"/>
            <w:vAlign w:val="bottom"/>
            <w:tcBorders>
              <w:left w:val="single" w:sz="8" w:color="CBDBD1"/>
            </w:tcBorders>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16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00" w:type="dxa"/>
            <w:vAlign w:val="bottom"/>
          </w:tcPr>
          <w:p>
            <w:pPr>
              <w:ind w:left="320"/>
              <w:spacing w:after="0"/>
              <w:rPr>
                <w:sz w:val="20"/>
                <w:szCs w:val="20"/>
                <w:color w:val="auto"/>
              </w:rPr>
            </w:pPr>
            <w:r>
              <w:rPr>
                <w:rFonts w:ascii="Arial" w:cs="Arial" w:eastAsia="Arial" w:hAnsi="Arial"/>
                <w:sz w:val="18"/>
                <w:szCs w:val="18"/>
                <w:color w:val="auto"/>
              </w:rPr>
              <w:t>Acquisitions of property and equipment</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(16,887)</w:t>
            </w:r>
          </w:p>
        </w:tc>
        <w:tc>
          <w:tcPr>
            <w:tcW w:w="20" w:type="dxa"/>
            <w:vAlign w:val="bottom"/>
          </w:tcPr>
          <w:p>
            <w:pPr>
              <w:spacing w:after="0"/>
              <w:rPr>
                <w:sz w:val="18"/>
                <w:szCs w:val="18"/>
                <w:color w:val="auto"/>
              </w:rPr>
            </w:pPr>
          </w:p>
        </w:tc>
      </w:tr>
      <w:tr>
        <w:trPr>
          <w:trHeight w:val="216"/>
        </w:trPr>
        <w:tc>
          <w:tcPr>
            <w:tcW w:w="4600" w:type="dxa"/>
            <w:vAlign w:val="bottom"/>
            <w:shd w:val="clear" w:color="auto" w:fill="CBDBD1"/>
          </w:tcPr>
          <w:p>
            <w:pPr>
              <w:ind w:left="160"/>
              <w:spacing w:after="0"/>
              <w:rPr>
                <w:sz w:val="20"/>
                <w:szCs w:val="20"/>
                <w:color w:val="auto"/>
              </w:rPr>
            </w:pPr>
            <w:r>
              <w:rPr>
                <w:rFonts w:ascii="Arial" w:cs="Arial" w:eastAsia="Arial" w:hAnsi="Arial"/>
                <w:sz w:val="18"/>
                <w:szCs w:val="18"/>
                <w:color w:val="auto"/>
              </w:rPr>
              <w:t>Web development costs</w:t>
            </w:r>
          </w:p>
        </w:tc>
        <w:tc>
          <w:tcPr>
            <w:tcW w:w="80" w:type="dxa"/>
            <w:vAlign w:val="bottom"/>
            <w:shd w:val="clear" w:color="auto" w:fill="CBDBD1"/>
          </w:tcPr>
          <w:p>
            <w:pPr>
              <w:spacing w:after="0"/>
              <w:rPr>
                <w:sz w:val="18"/>
                <w:szCs w:val="18"/>
                <w:color w:val="auto"/>
              </w:rPr>
            </w:pPr>
          </w:p>
        </w:tc>
        <w:tc>
          <w:tcPr>
            <w:tcW w:w="11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(107,700)</w:t>
            </w:r>
          </w:p>
        </w:tc>
        <w:tc>
          <w:tcPr>
            <w:tcW w:w="1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1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left w:val="single" w:sz="8" w:color="CBDBD1"/>
            </w:tcBorders>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1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(261,833)</w:t>
            </w:r>
          </w:p>
        </w:tc>
        <w:tc>
          <w:tcPr>
            <w:tcW w:w="20" w:type="dxa"/>
            <w:vAlign w:val="bottom"/>
          </w:tcPr>
          <w:p>
            <w:pPr>
              <w:spacing w:after="0"/>
              <w:rPr>
                <w:sz w:val="18"/>
                <w:szCs w:val="18"/>
                <w:color w:val="auto"/>
              </w:rPr>
            </w:pPr>
          </w:p>
        </w:tc>
      </w:tr>
      <w:tr>
        <w:trPr>
          <w:trHeight w:val="27"/>
        </w:trPr>
        <w:tc>
          <w:tcPr>
            <w:tcW w:w="4600" w:type="dxa"/>
            <w:vAlign w:val="bottom"/>
            <w:shd w:val="clear" w:color="auto" w:fill="CBDBD1"/>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BDBD1"/>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Borders>
              <w:left w:val="single" w:sz="8" w:color="CBDBD1"/>
            </w:tcBorders>
            <w:shd w:val="clear" w:color="auto" w:fill="CBDBD1"/>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(107,7000)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(278,720)</w:t>
            </w:r>
          </w:p>
        </w:tc>
        <w:tc>
          <w:tcPr>
            <w:tcW w:w="20" w:type="dxa"/>
            <w:vAlign w:val="bottom"/>
          </w:tcPr>
          <w:p>
            <w:pPr>
              <w:spacing w:after="0"/>
              <w:rPr>
                <w:sz w:val="19"/>
                <w:szCs w:val="19"/>
                <w:color w:val="auto"/>
              </w:rPr>
            </w:pPr>
          </w:p>
        </w:tc>
      </w:tr>
      <w:tr>
        <w:trPr>
          <w:trHeight w:val="216"/>
        </w:trPr>
        <w:tc>
          <w:tcPr>
            <w:tcW w:w="4600" w:type="dxa"/>
            <w:vAlign w:val="bottom"/>
            <w:shd w:val="clear" w:color="auto" w:fill="CBDBD1"/>
          </w:tcPr>
          <w:p>
            <w:pPr>
              <w:spacing w:after="0"/>
              <w:rPr>
                <w:sz w:val="18"/>
                <w:szCs w:val="18"/>
                <w:color w:val="auto"/>
              </w:rPr>
            </w:pPr>
          </w:p>
        </w:tc>
        <w:tc>
          <w:tcPr>
            <w:tcW w:w="80" w:type="dxa"/>
            <w:vAlign w:val="bottom"/>
            <w:tcBorders>
              <w:top w:val="single" w:sz="8" w:color="auto"/>
            </w:tcBorders>
            <w:shd w:val="clear" w:color="auto" w:fill="CBDBD1"/>
          </w:tcPr>
          <w:p>
            <w:pPr>
              <w:spacing w:after="0"/>
              <w:rPr>
                <w:sz w:val="18"/>
                <w:szCs w:val="18"/>
                <w:color w:val="auto"/>
              </w:rPr>
            </w:pPr>
          </w:p>
        </w:tc>
        <w:tc>
          <w:tcPr>
            <w:tcW w:w="1160" w:type="dxa"/>
            <w:vAlign w:val="bottom"/>
            <w:tcBorders>
              <w:top w:val="single" w:sz="8" w:color="auto"/>
            </w:tcBorders>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00" w:type="dxa"/>
            <w:vAlign w:val="bottom"/>
            <w:tcBorders>
              <w:top w:val="single" w:sz="8" w:color="auto"/>
            </w:tcBorders>
            <w:shd w:val="clear" w:color="auto" w:fill="CBDBD1"/>
          </w:tcPr>
          <w:p>
            <w:pPr>
              <w:spacing w:after="0"/>
              <w:rPr>
                <w:sz w:val="18"/>
                <w:szCs w:val="18"/>
                <w:color w:val="auto"/>
              </w:rPr>
            </w:pPr>
          </w:p>
        </w:tc>
        <w:tc>
          <w:tcPr>
            <w:tcW w:w="1140" w:type="dxa"/>
            <w:vAlign w:val="bottom"/>
            <w:tcBorders>
              <w:top w:val="single" w:sz="8" w:color="auto"/>
            </w:tcBorders>
            <w:shd w:val="clear" w:color="auto" w:fill="CBDBD1"/>
          </w:tcPr>
          <w:p>
            <w:pPr>
              <w:spacing w:after="0"/>
              <w:rPr>
                <w:sz w:val="18"/>
                <w:szCs w:val="18"/>
                <w:color w:val="auto"/>
              </w:rPr>
            </w:pPr>
          </w:p>
        </w:tc>
        <w:tc>
          <w:tcPr>
            <w:tcW w:w="120" w:type="dxa"/>
            <w:vAlign w:val="bottom"/>
            <w:tcBorders>
              <w:left w:val="single" w:sz="8" w:color="CBDBD1"/>
            </w:tcBorders>
            <w:shd w:val="clear" w:color="auto" w:fill="CBDBD1"/>
          </w:tcPr>
          <w:p>
            <w:pPr>
              <w:spacing w:after="0"/>
              <w:rPr>
                <w:sz w:val="18"/>
                <w:szCs w:val="18"/>
                <w:color w:val="auto"/>
              </w:rPr>
            </w:pPr>
          </w:p>
        </w:tc>
        <w:tc>
          <w:tcPr>
            <w:tcW w:w="80" w:type="dxa"/>
            <w:vAlign w:val="bottom"/>
            <w:tcBorders>
              <w:top w:val="single" w:sz="8" w:color="auto"/>
            </w:tcBorders>
            <w:shd w:val="clear" w:color="auto" w:fill="CBDBD1"/>
          </w:tcPr>
          <w:p>
            <w:pPr>
              <w:spacing w:after="0"/>
              <w:rPr>
                <w:sz w:val="18"/>
                <w:szCs w:val="18"/>
                <w:color w:val="auto"/>
              </w:rPr>
            </w:pPr>
          </w:p>
        </w:tc>
        <w:tc>
          <w:tcPr>
            <w:tcW w:w="1160" w:type="dxa"/>
            <w:vAlign w:val="bottom"/>
            <w:tcBorders>
              <w:top w:val="single" w:sz="8" w:color="auto"/>
            </w:tcBorders>
            <w:shd w:val="clear" w:color="auto" w:fill="CBDBD1"/>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00" w:type="dxa"/>
            <w:vAlign w:val="bottom"/>
            <w:shd w:val="clear" w:color="auto" w:fill="CBDBD1"/>
          </w:tcPr>
          <w:p>
            <w:pPr>
              <w:ind w:left="160"/>
              <w:spacing w:after="0"/>
              <w:rPr>
                <w:sz w:val="20"/>
                <w:szCs w:val="20"/>
                <w:color w:val="auto"/>
              </w:rPr>
            </w:pPr>
            <w:r>
              <w:rPr>
                <w:rFonts w:ascii="Arial" w:cs="Arial" w:eastAsia="Arial" w:hAnsi="Arial"/>
                <w:sz w:val="18"/>
                <w:szCs w:val="18"/>
                <w:color w:val="auto"/>
              </w:rPr>
              <w:t>Proceeds from issuance of notes payable</w:t>
            </w:r>
          </w:p>
        </w:tc>
        <w:tc>
          <w:tcPr>
            <w:tcW w:w="80" w:type="dxa"/>
            <w:vAlign w:val="bottom"/>
            <w:shd w:val="clear" w:color="auto" w:fill="CBDBD1"/>
          </w:tcPr>
          <w:p>
            <w:pPr>
              <w:spacing w:after="0"/>
              <w:rPr>
                <w:sz w:val="18"/>
                <w:szCs w:val="18"/>
                <w:color w:val="auto"/>
              </w:rPr>
            </w:pPr>
          </w:p>
        </w:tc>
        <w:tc>
          <w:tcPr>
            <w:tcW w:w="11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1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320,000</w:t>
            </w:r>
          </w:p>
        </w:tc>
        <w:tc>
          <w:tcPr>
            <w:tcW w:w="120" w:type="dxa"/>
            <w:vAlign w:val="bottom"/>
            <w:tcBorders>
              <w:left w:val="single" w:sz="8" w:color="CBDBD1"/>
            </w:tcBorders>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1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394,000</w:t>
            </w:r>
          </w:p>
        </w:tc>
        <w:tc>
          <w:tcPr>
            <w:tcW w:w="20" w:type="dxa"/>
            <w:vAlign w:val="bottom"/>
          </w:tcPr>
          <w:p>
            <w:pPr>
              <w:spacing w:after="0"/>
              <w:rPr>
                <w:sz w:val="18"/>
                <w:szCs w:val="18"/>
                <w:color w:val="auto"/>
              </w:rPr>
            </w:pPr>
          </w:p>
        </w:tc>
      </w:tr>
      <w:tr>
        <w:trPr>
          <w:trHeight w:val="216"/>
        </w:trPr>
        <w:tc>
          <w:tcPr>
            <w:tcW w:w="4600" w:type="dxa"/>
            <w:vAlign w:val="bottom"/>
          </w:tcPr>
          <w:p>
            <w:pPr>
              <w:ind w:left="160"/>
              <w:spacing w:after="0"/>
              <w:rPr>
                <w:sz w:val="20"/>
                <w:szCs w:val="20"/>
                <w:color w:val="auto"/>
              </w:rPr>
            </w:pPr>
            <w:r>
              <w:rPr>
                <w:rFonts w:ascii="Arial" w:cs="Arial" w:eastAsia="Arial" w:hAnsi="Arial"/>
                <w:sz w:val="18"/>
                <w:szCs w:val="18"/>
                <w:color w:val="auto"/>
              </w:rPr>
              <w:t>Repayments of notes payable – related parties</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(643,750)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(647,750)</w:t>
            </w:r>
          </w:p>
        </w:tc>
        <w:tc>
          <w:tcPr>
            <w:tcW w:w="20" w:type="dxa"/>
            <w:vAlign w:val="bottom"/>
          </w:tcPr>
          <w:p>
            <w:pPr>
              <w:spacing w:after="0"/>
              <w:rPr>
                <w:sz w:val="18"/>
                <w:szCs w:val="18"/>
                <w:color w:val="auto"/>
              </w:rPr>
            </w:pPr>
          </w:p>
        </w:tc>
      </w:tr>
      <w:tr>
        <w:trPr>
          <w:trHeight w:val="216"/>
        </w:trPr>
        <w:tc>
          <w:tcPr>
            <w:tcW w:w="4600" w:type="dxa"/>
            <w:vAlign w:val="bottom"/>
            <w:shd w:val="clear" w:color="auto" w:fill="CBDBD1"/>
          </w:tcPr>
          <w:p>
            <w:pPr>
              <w:ind w:left="160"/>
              <w:spacing w:after="0"/>
              <w:rPr>
                <w:sz w:val="20"/>
                <w:szCs w:val="20"/>
                <w:color w:val="auto"/>
              </w:rPr>
            </w:pPr>
            <w:r>
              <w:rPr>
                <w:rFonts w:ascii="Arial" w:cs="Arial" w:eastAsia="Arial" w:hAnsi="Arial"/>
                <w:sz w:val="18"/>
                <w:szCs w:val="18"/>
                <w:color w:val="auto"/>
              </w:rPr>
              <w:t>Member contributions</w:t>
            </w:r>
          </w:p>
        </w:tc>
        <w:tc>
          <w:tcPr>
            <w:tcW w:w="80" w:type="dxa"/>
            <w:vAlign w:val="bottom"/>
            <w:shd w:val="clear" w:color="auto" w:fill="CBDBD1"/>
          </w:tcPr>
          <w:p>
            <w:pPr>
              <w:spacing w:after="0"/>
              <w:rPr>
                <w:sz w:val="18"/>
                <w:szCs w:val="18"/>
                <w:color w:val="auto"/>
              </w:rPr>
            </w:pPr>
          </w:p>
        </w:tc>
        <w:tc>
          <w:tcPr>
            <w:tcW w:w="11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1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left w:val="single" w:sz="8" w:color="CBDBD1"/>
            </w:tcBorders>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1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404,600</w:t>
            </w:r>
          </w:p>
        </w:tc>
        <w:tc>
          <w:tcPr>
            <w:tcW w:w="20" w:type="dxa"/>
            <w:vAlign w:val="bottom"/>
          </w:tcPr>
          <w:p>
            <w:pPr>
              <w:spacing w:after="0"/>
              <w:rPr>
                <w:sz w:val="18"/>
                <w:szCs w:val="18"/>
                <w:color w:val="auto"/>
              </w:rPr>
            </w:pPr>
          </w:p>
        </w:tc>
      </w:tr>
      <w:tr>
        <w:trPr>
          <w:trHeight w:val="216"/>
        </w:trPr>
        <w:tc>
          <w:tcPr>
            <w:tcW w:w="4600" w:type="dxa"/>
            <w:vAlign w:val="bottom"/>
          </w:tcPr>
          <w:p>
            <w:pPr>
              <w:ind w:left="160"/>
              <w:spacing w:after="0"/>
              <w:rPr>
                <w:sz w:val="20"/>
                <w:szCs w:val="20"/>
                <w:color w:val="auto"/>
              </w:rPr>
            </w:pPr>
            <w:r>
              <w:rPr>
                <w:rFonts w:ascii="Arial" w:cs="Arial" w:eastAsia="Arial" w:hAnsi="Arial"/>
                <w:sz w:val="18"/>
                <w:szCs w:val="18"/>
                <w:color w:val="auto"/>
              </w:rPr>
              <w:t>Net proceeds from common stock</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636,000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936,000</w:t>
            </w:r>
          </w:p>
        </w:tc>
        <w:tc>
          <w:tcPr>
            <w:tcW w:w="20" w:type="dxa"/>
            <w:vAlign w:val="bottom"/>
          </w:tcPr>
          <w:p>
            <w:pPr>
              <w:spacing w:after="0"/>
              <w:rPr>
                <w:sz w:val="18"/>
                <w:szCs w:val="18"/>
                <w:color w:val="auto"/>
              </w:rPr>
            </w:pPr>
          </w:p>
        </w:tc>
      </w:tr>
      <w:tr>
        <w:trPr>
          <w:trHeight w:val="216"/>
        </w:trPr>
        <w:tc>
          <w:tcPr>
            <w:tcW w:w="4600" w:type="dxa"/>
            <w:vAlign w:val="bottom"/>
            <w:shd w:val="clear" w:color="auto" w:fill="CBDBD1"/>
          </w:tcPr>
          <w:p>
            <w:pPr>
              <w:ind w:left="160"/>
              <w:spacing w:after="0"/>
              <w:rPr>
                <w:sz w:val="20"/>
                <w:szCs w:val="20"/>
                <w:color w:val="auto"/>
              </w:rPr>
            </w:pPr>
            <w:r>
              <w:rPr>
                <w:rFonts w:ascii="Arial" w:cs="Arial" w:eastAsia="Arial" w:hAnsi="Arial"/>
                <w:sz w:val="18"/>
                <w:szCs w:val="18"/>
                <w:color w:val="auto"/>
              </w:rPr>
              <w:t>Net proceeds from preferred stock</w:t>
            </w:r>
          </w:p>
        </w:tc>
        <w:tc>
          <w:tcPr>
            <w:tcW w:w="80" w:type="dxa"/>
            <w:vAlign w:val="bottom"/>
            <w:shd w:val="clear" w:color="auto" w:fill="CBDBD1"/>
          </w:tcPr>
          <w:p>
            <w:pPr>
              <w:spacing w:after="0"/>
              <w:rPr>
                <w:sz w:val="18"/>
                <w:szCs w:val="18"/>
                <w:color w:val="auto"/>
              </w:rPr>
            </w:pPr>
          </w:p>
        </w:tc>
        <w:tc>
          <w:tcPr>
            <w:tcW w:w="11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1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2,985,000</w:t>
            </w:r>
          </w:p>
        </w:tc>
        <w:tc>
          <w:tcPr>
            <w:tcW w:w="120" w:type="dxa"/>
            <w:vAlign w:val="bottom"/>
            <w:tcBorders>
              <w:left w:val="single" w:sz="8" w:color="CBDBD1"/>
            </w:tcBorders>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1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2,985,000</w:t>
            </w:r>
          </w:p>
        </w:tc>
        <w:tc>
          <w:tcPr>
            <w:tcW w:w="20" w:type="dxa"/>
            <w:vAlign w:val="bottom"/>
          </w:tcPr>
          <w:p>
            <w:pPr>
              <w:spacing w:after="0"/>
              <w:rPr>
                <w:sz w:val="18"/>
                <w:szCs w:val="18"/>
                <w:color w:val="auto"/>
              </w:rPr>
            </w:pPr>
          </w:p>
        </w:tc>
      </w:tr>
      <w:tr>
        <w:trPr>
          <w:trHeight w:val="202"/>
        </w:trPr>
        <w:tc>
          <w:tcPr>
            <w:tcW w:w="4600" w:type="dxa"/>
            <w:vAlign w:val="bottom"/>
          </w:tcPr>
          <w:p>
            <w:pPr>
              <w:ind w:left="160"/>
              <w:spacing w:after="0" w:line="201" w:lineRule="exact"/>
              <w:rPr>
                <w:sz w:val="20"/>
                <w:szCs w:val="20"/>
                <w:color w:val="auto"/>
              </w:rPr>
            </w:pPr>
            <w:r>
              <w:rPr>
                <w:rFonts w:ascii="Arial" w:cs="Arial" w:eastAsia="Arial" w:hAnsi="Arial"/>
                <w:sz w:val="18"/>
                <w:szCs w:val="18"/>
                <w:color w:val="auto"/>
                <w:w w:val="99"/>
              </w:rPr>
              <w:t>Proceeds from conversion of stock warrants to common</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4600" w:type="dxa"/>
            <w:vAlign w:val="bottom"/>
          </w:tcPr>
          <w:p>
            <w:pPr>
              <w:ind w:left="160"/>
              <w:spacing w:after="0"/>
              <w:rPr>
                <w:sz w:val="20"/>
                <w:szCs w:val="20"/>
                <w:color w:val="auto"/>
              </w:rPr>
            </w:pPr>
            <w:r>
              <w:rPr>
                <w:rFonts w:ascii="Arial" w:cs="Arial" w:eastAsia="Arial" w:hAnsi="Arial"/>
                <w:sz w:val="18"/>
                <w:szCs w:val="18"/>
                <w:color w:val="auto"/>
              </w:rPr>
              <w:t>stock</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35,000</w:t>
            </w:r>
          </w:p>
        </w:tc>
      </w:tr>
      <w:tr>
        <w:trPr>
          <w:trHeight w:val="27"/>
        </w:trPr>
        <w:tc>
          <w:tcPr>
            <w:tcW w:w="4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60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80" w:type="dxa"/>
            <w:vAlign w:val="bottom"/>
            <w:shd w:val="clear" w:color="auto" w:fill="CBDBD1"/>
          </w:tcPr>
          <w:p>
            <w:pPr>
              <w:spacing w:after="0"/>
              <w:rPr>
                <w:sz w:val="19"/>
                <w:szCs w:val="19"/>
                <w:color w:val="auto"/>
              </w:rPr>
            </w:pPr>
          </w:p>
        </w:tc>
        <w:tc>
          <w:tcPr>
            <w:tcW w:w="11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31,000</w:t>
            </w:r>
          </w:p>
        </w:tc>
        <w:tc>
          <w:tcPr>
            <w:tcW w:w="100" w:type="dxa"/>
            <w:vAlign w:val="bottom"/>
            <w:shd w:val="clear" w:color="auto" w:fill="CBDBD1"/>
          </w:tcPr>
          <w:p>
            <w:pPr>
              <w:spacing w:after="0"/>
              <w:rPr>
                <w:sz w:val="19"/>
                <w:szCs w:val="19"/>
                <w:color w:val="auto"/>
              </w:rPr>
            </w:pPr>
          </w:p>
        </w:tc>
        <w:tc>
          <w:tcPr>
            <w:tcW w:w="100" w:type="dxa"/>
            <w:vAlign w:val="bottom"/>
            <w:shd w:val="clear" w:color="auto" w:fill="CBDBD1"/>
          </w:tcPr>
          <w:p>
            <w:pPr>
              <w:spacing w:after="0"/>
              <w:rPr>
                <w:sz w:val="19"/>
                <w:szCs w:val="19"/>
                <w:color w:val="auto"/>
              </w:rPr>
            </w:pPr>
          </w:p>
        </w:tc>
        <w:tc>
          <w:tcPr>
            <w:tcW w:w="11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3,297,250</w:t>
            </w:r>
          </w:p>
        </w:tc>
        <w:tc>
          <w:tcPr>
            <w:tcW w:w="120" w:type="dxa"/>
            <w:vAlign w:val="bottom"/>
            <w:tcBorders>
              <w:left w:val="single" w:sz="8" w:color="CBDBD1"/>
            </w:tcBorders>
            <w:shd w:val="clear" w:color="auto" w:fill="CBDBD1"/>
          </w:tcPr>
          <w:p>
            <w:pPr>
              <w:spacing w:after="0"/>
              <w:rPr>
                <w:sz w:val="19"/>
                <w:szCs w:val="19"/>
                <w:color w:val="auto"/>
              </w:rPr>
            </w:pPr>
          </w:p>
        </w:tc>
        <w:tc>
          <w:tcPr>
            <w:tcW w:w="80" w:type="dxa"/>
            <w:vAlign w:val="bottom"/>
            <w:shd w:val="clear" w:color="auto" w:fill="CBDBD1"/>
          </w:tcPr>
          <w:p>
            <w:pPr>
              <w:spacing w:after="0"/>
              <w:rPr>
                <w:sz w:val="19"/>
                <w:szCs w:val="19"/>
                <w:color w:val="auto"/>
              </w:rPr>
            </w:pPr>
          </w:p>
        </w:tc>
        <w:tc>
          <w:tcPr>
            <w:tcW w:w="11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4,106,850</w:t>
            </w:r>
          </w:p>
        </w:tc>
        <w:tc>
          <w:tcPr>
            <w:tcW w:w="20" w:type="dxa"/>
            <w:vAlign w:val="bottom"/>
          </w:tcPr>
          <w:p>
            <w:pPr>
              <w:spacing w:after="0"/>
              <w:rPr>
                <w:sz w:val="19"/>
                <w:szCs w:val="19"/>
                <w:color w:val="auto"/>
              </w:rPr>
            </w:pPr>
          </w:p>
        </w:tc>
      </w:tr>
      <w:tr>
        <w:trPr>
          <w:trHeight w:val="216"/>
        </w:trPr>
        <w:tc>
          <w:tcPr>
            <w:tcW w:w="4600" w:type="dxa"/>
            <w:vAlign w:val="bottom"/>
            <w:tcBorders>
              <w:top w:val="single" w:sz="8" w:color="CBDBD1"/>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00" w:type="dxa"/>
            <w:vAlign w:val="bottom"/>
            <w:shd w:val="clear" w:color="auto" w:fill="CBDBD1"/>
          </w:tcPr>
          <w:p>
            <w:pPr>
              <w:spacing w:after="0"/>
              <w:rPr>
                <w:sz w:val="20"/>
                <w:szCs w:val="20"/>
                <w:color w:val="auto"/>
              </w:rPr>
            </w:pPr>
            <w:r>
              <w:rPr>
                <w:rFonts w:ascii="Arial" w:cs="Arial" w:eastAsia="Arial" w:hAnsi="Arial"/>
                <w:sz w:val="18"/>
                <w:szCs w:val="18"/>
                <w:b w:val="1"/>
                <w:bCs w:val="1"/>
                <w:color w:val="auto"/>
                <w:w w:val="98"/>
              </w:rPr>
              <w:t>Net Increase (Decrease) in Cash and Cash Equivalents</w:t>
            </w:r>
          </w:p>
        </w:tc>
        <w:tc>
          <w:tcPr>
            <w:tcW w:w="80" w:type="dxa"/>
            <w:vAlign w:val="bottom"/>
            <w:shd w:val="clear" w:color="auto" w:fill="CBDBD1"/>
          </w:tcPr>
          <w:p>
            <w:pPr>
              <w:spacing w:after="0"/>
              <w:rPr>
                <w:sz w:val="18"/>
                <w:szCs w:val="18"/>
                <w:color w:val="auto"/>
              </w:rPr>
            </w:pPr>
          </w:p>
        </w:tc>
        <w:tc>
          <w:tcPr>
            <w:tcW w:w="11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(1,846,262)</w:t>
            </w:r>
          </w:p>
        </w:tc>
        <w:tc>
          <w:tcPr>
            <w:tcW w:w="1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1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2,367,227</w:t>
            </w:r>
          </w:p>
        </w:tc>
        <w:tc>
          <w:tcPr>
            <w:tcW w:w="120" w:type="dxa"/>
            <w:vAlign w:val="bottom"/>
            <w:tcBorders>
              <w:left w:val="single" w:sz="8" w:color="CBDBD1"/>
            </w:tcBorders>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1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656,394</w:t>
            </w:r>
          </w:p>
        </w:tc>
        <w:tc>
          <w:tcPr>
            <w:tcW w:w="2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b w:val="1"/>
                <w:bCs w:val="1"/>
                <w:color w:val="auto"/>
              </w:rPr>
              <w:t>Cash and Cash Equivalents – Beginning</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2,502,656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135,429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7"/>
        </w:trPr>
        <w:tc>
          <w:tcPr>
            <w:tcW w:w="4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60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Cash and Cash Equivalents – Ending</w:t>
            </w:r>
          </w:p>
        </w:tc>
        <w:tc>
          <w:tcPr>
            <w:tcW w:w="80" w:type="dxa"/>
            <w:vAlign w:val="bottom"/>
            <w:shd w:val="clear" w:color="auto" w:fill="CBDBD1"/>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656,394</w:t>
            </w:r>
          </w:p>
        </w:tc>
        <w:tc>
          <w:tcPr>
            <w:tcW w:w="100" w:type="dxa"/>
            <w:vAlign w:val="bottom"/>
            <w:shd w:val="clear" w:color="auto" w:fill="CBDBD1"/>
          </w:tcPr>
          <w:p>
            <w:pPr>
              <w:spacing w:after="0"/>
              <w:rPr>
                <w:sz w:val="22"/>
                <w:szCs w:val="22"/>
                <w:color w:val="auto"/>
              </w:rPr>
            </w:pPr>
          </w:p>
        </w:tc>
        <w:tc>
          <w:tcPr>
            <w:tcW w:w="100" w:type="dxa"/>
            <w:vAlign w:val="bottom"/>
            <w:shd w:val="clear" w:color="auto" w:fill="CBDBD1"/>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2,502,656</w:t>
            </w:r>
          </w:p>
        </w:tc>
        <w:tc>
          <w:tcPr>
            <w:tcW w:w="200" w:type="dxa"/>
            <w:vAlign w:val="bottom"/>
            <w:tcBorders>
              <w:left w:val="single" w:sz="8" w:color="CBDBD1"/>
            </w:tcBorders>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656,394</w:t>
            </w:r>
          </w:p>
        </w:tc>
        <w:tc>
          <w:tcPr>
            <w:tcW w:w="20" w:type="dxa"/>
            <w:vAlign w:val="bottom"/>
          </w:tcPr>
          <w:p>
            <w:pPr>
              <w:spacing w:after="0"/>
              <w:rPr>
                <w:sz w:val="22"/>
                <w:szCs w:val="22"/>
                <w:color w:val="auto"/>
              </w:rPr>
            </w:pPr>
          </w:p>
        </w:tc>
      </w:tr>
      <w:tr>
        <w:trPr>
          <w:trHeight w:val="210"/>
        </w:trPr>
        <w:tc>
          <w:tcPr>
            <w:tcW w:w="4600" w:type="dxa"/>
            <w:vAlign w:val="bottom"/>
            <w:tcBorders>
              <w:top w:val="single" w:sz="8" w:color="CBDBD1"/>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0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80" w:type="dxa"/>
            <w:vAlign w:val="bottom"/>
            <w:shd w:val="clear" w:color="auto" w:fill="CBDBD1"/>
          </w:tcPr>
          <w:p>
            <w:pPr>
              <w:spacing w:after="0"/>
              <w:rPr>
                <w:sz w:val="18"/>
                <w:szCs w:val="18"/>
                <w:color w:val="auto"/>
              </w:rPr>
            </w:pPr>
          </w:p>
        </w:tc>
        <w:tc>
          <w:tcPr>
            <w:tcW w:w="116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140" w:type="dxa"/>
            <w:vAlign w:val="bottom"/>
            <w:shd w:val="clear" w:color="auto" w:fill="CBDBD1"/>
          </w:tcPr>
          <w:p>
            <w:pPr>
              <w:spacing w:after="0"/>
              <w:rPr>
                <w:sz w:val="18"/>
                <w:szCs w:val="18"/>
                <w:color w:val="auto"/>
              </w:rPr>
            </w:pPr>
          </w:p>
        </w:tc>
        <w:tc>
          <w:tcPr>
            <w:tcW w:w="120" w:type="dxa"/>
            <w:vAlign w:val="bottom"/>
            <w:tcBorders>
              <w:left w:val="single" w:sz="8" w:color="CBDBD1"/>
            </w:tcBorders>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16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00" w:type="dxa"/>
            <w:vAlign w:val="bottom"/>
          </w:tcPr>
          <w:p>
            <w:pPr>
              <w:ind w:left="320"/>
              <w:spacing w:after="0"/>
              <w:rPr>
                <w:sz w:val="20"/>
                <w:szCs w:val="20"/>
                <w:color w:val="auto"/>
              </w:rPr>
            </w:pPr>
            <w:r>
              <w:rPr>
                <w:rFonts w:ascii="Arial" w:cs="Arial" w:eastAsia="Arial" w:hAnsi="Arial"/>
                <w:sz w:val="18"/>
                <w:szCs w:val="18"/>
                <w:color w:val="auto"/>
              </w:rPr>
              <w:t>Cash paid for interest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1,793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4,453</w:t>
            </w:r>
          </w:p>
        </w:tc>
        <w:tc>
          <w:tcPr>
            <w:tcW w:w="20" w:type="dxa"/>
            <w:vAlign w:val="bottom"/>
          </w:tcPr>
          <w:p>
            <w:pPr>
              <w:spacing w:after="0"/>
              <w:rPr>
                <w:sz w:val="18"/>
                <w:szCs w:val="18"/>
                <w:color w:val="auto"/>
              </w:rPr>
            </w:pPr>
          </w:p>
        </w:tc>
      </w:tr>
      <w:tr>
        <w:trPr>
          <w:trHeight w:val="21"/>
        </w:trPr>
        <w:tc>
          <w:tcPr>
            <w:tcW w:w="4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0" w:type="dxa"/>
            <w:vAlign w:val="bottom"/>
            <w:shd w:val="clear" w:color="auto" w:fill="CBDBD1"/>
          </w:tcPr>
          <w:p>
            <w:pPr>
              <w:ind w:left="320"/>
              <w:spacing w:after="0"/>
              <w:rPr>
                <w:sz w:val="20"/>
                <w:szCs w:val="20"/>
                <w:color w:val="auto"/>
              </w:rPr>
            </w:pPr>
            <w:r>
              <w:rPr>
                <w:rFonts w:ascii="Arial" w:cs="Arial" w:eastAsia="Arial" w:hAnsi="Arial"/>
                <w:sz w:val="18"/>
                <w:szCs w:val="18"/>
                <w:color w:val="auto"/>
              </w:rPr>
              <w:t>Cash paid for income taxes</w:t>
            </w:r>
          </w:p>
        </w:tc>
        <w:tc>
          <w:tcPr>
            <w:tcW w:w="80" w:type="dxa"/>
            <w:vAlign w:val="bottom"/>
            <w:shd w:val="clear" w:color="auto" w:fill="CBDBD1"/>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2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200" w:type="dxa"/>
            <w:vAlign w:val="bottom"/>
            <w:tcBorders>
              <w:left w:val="single" w:sz="8" w:color="CBDBD1"/>
            </w:tcBorders>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1"/>
                <w:szCs w:val="21"/>
                <w:color w:val="auto"/>
              </w:rPr>
            </w:pPr>
          </w:p>
        </w:tc>
      </w:tr>
      <w:tr>
        <w:trPr>
          <w:trHeight w:val="191"/>
        </w:trPr>
        <w:tc>
          <w:tcPr>
            <w:tcW w:w="4600" w:type="dxa"/>
            <w:vAlign w:val="bottom"/>
            <w:tcBorders>
              <w:top w:val="single" w:sz="8" w:color="CBDBD1"/>
            </w:tcBorders>
          </w:tcPr>
          <w:p>
            <w:pPr>
              <w:spacing w:after="0" w:line="191" w:lineRule="exact"/>
              <w:rPr>
                <w:sz w:val="20"/>
                <w:szCs w:val="20"/>
                <w:color w:val="auto"/>
              </w:rPr>
            </w:pPr>
            <w:r>
              <w:rPr>
                <w:rFonts w:ascii="Arial" w:cs="Arial" w:eastAsia="Arial" w:hAnsi="Arial"/>
                <w:sz w:val="18"/>
                <w:szCs w:val="18"/>
                <w:b w:val="1"/>
                <w:bCs w:val="1"/>
                <w:color w:val="auto"/>
              </w:rPr>
              <w:t>Supplemental Disclosure of Noncash Investing and</w:t>
            </w: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Borders>
              <w:top w:val="single" w:sz="8" w:color="CBDBD1"/>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Borders>
              <w:top w:val="single" w:sz="8" w:color="CBDBD1"/>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46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4600" w:type="dxa"/>
            <w:vAlign w:val="bottom"/>
            <w:shd w:val="clear" w:color="auto" w:fill="CBDBD1"/>
          </w:tcPr>
          <w:p>
            <w:pPr>
              <w:ind w:left="320"/>
              <w:spacing w:after="0" w:line="201" w:lineRule="exact"/>
              <w:rPr>
                <w:sz w:val="20"/>
                <w:szCs w:val="20"/>
                <w:color w:val="auto"/>
              </w:rPr>
            </w:pPr>
            <w:r>
              <w:rPr>
                <w:rFonts w:ascii="Arial" w:cs="Arial" w:eastAsia="Arial" w:hAnsi="Arial"/>
                <w:sz w:val="18"/>
                <w:szCs w:val="18"/>
                <w:color w:val="auto"/>
              </w:rPr>
              <w:t>Distributions paid through issuance of notes payable-</w:t>
            </w:r>
          </w:p>
        </w:tc>
        <w:tc>
          <w:tcPr>
            <w:tcW w:w="80" w:type="dxa"/>
            <w:vAlign w:val="bottom"/>
            <w:shd w:val="clear" w:color="auto" w:fill="CBDBD1"/>
          </w:tcPr>
          <w:p>
            <w:pPr>
              <w:spacing w:after="0"/>
              <w:rPr>
                <w:sz w:val="17"/>
                <w:szCs w:val="17"/>
                <w:color w:val="auto"/>
              </w:rPr>
            </w:pPr>
          </w:p>
        </w:tc>
        <w:tc>
          <w:tcPr>
            <w:tcW w:w="116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140" w:type="dxa"/>
            <w:vAlign w:val="bottom"/>
            <w:shd w:val="clear" w:color="auto" w:fill="CBDBD1"/>
          </w:tcPr>
          <w:p>
            <w:pPr>
              <w:spacing w:after="0"/>
              <w:rPr>
                <w:sz w:val="17"/>
                <w:szCs w:val="17"/>
                <w:color w:val="auto"/>
              </w:rPr>
            </w:pPr>
          </w:p>
        </w:tc>
        <w:tc>
          <w:tcPr>
            <w:tcW w:w="120" w:type="dxa"/>
            <w:vAlign w:val="bottom"/>
            <w:tcBorders>
              <w:left w:val="single" w:sz="8" w:color="CBDBD1"/>
            </w:tcBorders>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160" w:type="dxa"/>
            <w:vAlign w:val="bottom"/>
            <w:shd w:val="clear" w:color="auto" w:fill="CBDBD1"/>
          </w:tcPr>
          <w:p>
            <w:pPr>
              <w:spacing w:after="0"/>
              <w:rPr>
                <w:sz w:val="17"/>
                <w:szCs w:val="17"/>
                <w:color w:val="auto"/>
              </w:rPr>
            </w:pPr>
          </w:p>
        </w:tc>
        <w:tc>
          <w:tcPr>
            <w:tcW w:w="20" w:type="dxa"/>
            <w:vAlign w:val="bottom"/>
          </w:tcPr>
          <w:p>
            <w:pPr>
              <w:spacing w:after="0"/>
              <w:rPr>
                <w:sz w:val="17"/>
                <w:szCs w:val="17"/>
                <w:color w:val="auto"/>
              </w:rPr>
            </w:pPr>
          </w:p>
        </w:tc>
      </w:tr>
      <w:tr>
        <w:trPr>
          <w:trHeight w:val="251"/>
        </w:trPr>
        <w:tc>
          <w:tcPr>
            <w:tcW w:w="4600" w:type="dxa"/>
            <w:vAlign w:val="bottom"/>
            <w:shd w:val="clear" w:color="auto" w:fill="CBDBD1"/>
          </w:tcPr>
          <w:p>
            <w:pPr>
              <w:ind w:left="320"/>
              <w:spacing w:after="0"/>
              <w:rPr>
                <w:sz w:val="20"/>
                <w:szCs w:val="20"/>
                <w:color w:val="auto"/>
              </w:rPr>
            </w:pPr>
            <w:r>
              <w:rPr>
                <w:rFonts w:ascii="Arial" w:cs="Arial" w:eastAsia="Arial" w:hAnsi="Arial"/>
                <w:sz w:val="18"/>
                <w:szCs w:val="18"/>
                <w:color w:val="auto"/>
              </w:rPr>
              <w:t>related party</w:t>
            </w:r>
          </w:p>
        </w:tc>
        <w:tc>
          <w:tcPr>
            <w:tcW w:w="80" w:type="dxa"/>
            <w:vAlign w:val="bottom"/>
            <w:shd w:val="clear" w:color="auto" w:fill="CBDBD1"/>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BDBD1"/>
          </w:tcPr>
          <w:p>
            <w:pPr>
              <w:spacing w:after="0"/>
              <w:rPr>
                <w:sz w:val="21"/>
                <w:szCs w:val="21"/>
                <w:color w:val="auto"/>
              </w:rPr>
            </w:pPr>
          </w:p>
        </w:tc>
        <w:tc>
          <w:tcPr>
            <w:tcW w:w="100" w:type="dxa"/>
            <w:vAlign w:val="bottom"/>
            <w:shd w:val="clear" w:color="auto" w:fill="CBDBD1"/>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200" w:type="dxa"/>
            <w:vAlign w:val="bottom"/>
            <w:tcBorders>
              <w:left w:val="single" w:sz="8" w:color="CBDBD1"/>
            </w:tcBorders>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253,750</w:t>
            </w:r>
          </w:p>
        </w:tc>
        <w:tc>
          <w:tcPr>
            <w:tcW w:w="20" w:type="dxa"/>
            <w:vAlign w:val="bottom"/>
          </w:tcPr>
          <w:p>
            <w:pPr>
              <w:spacing w:after="0"/>
              <w:rPr>
                <w:sz w:val="21"/>
                <w:szCs w:val="21"/>
                <w:color w:val="auto"/>
              </w:rPr>
            </w:pPr>
          </w:p>
        </w:tc>
      </w:tr>
      <w:tr>
        <w:trPr>
          <w:trHeight w:val="20"/>
        </w:trPr>
        <w:tc>
          <w:tcPr>
            <w:tcW w:w="4600" w:type="dxa"/>
            <w:vAlign w:val="bottom"/>
            <w:tcBorders>
              <w:top w:val="single" w:sz="8" w:color="CBDBD1"/>
            </w:tcBorders>
            <w:shd w:val="clear" w:color="auto" w:fill="CBDBD1"/>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BDBD1"/>
              <w:left w:val="single" w:sz="8" w:color="CBDBD1"/>
            </w:tcBorders>
            <w:shd w:val="clear" w:color="auto" w:fill="CBDBD1"/>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600" w:type="dxa"/>
            <w:vAlign w:val="bottom"/>
          </w:tcPr>
          <w:p>
            <w:pPr>
              <w:ind w:left="320"/>
              <w:spacing w:after="0"/>
              <w:rPr>
                <w:sz w:val="20"/>
                <w:szCs w:val="20"/>
                <w:color w:val="auto"/>
              </w:rPr>
            </w:pPr>
            <w:r>
              <w:rPr>
                <w:rFonts w:ascii="Arial" w:cs="Arial" w:eastAsia="Arial" w:hAnsi="Arial"/>
                <w:sz w:val="18"/>
                <w:szCs w:val="18"/>
                <w:color w:val="auto"/>
              </w:rPr>
              <w:t>Conversions of stock warrants to common stock</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705,285</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705,285</w:t>
            </w:r>
          </w:p>
        </w:tc>
        <w:tc>
          <w:tcPr>
            <w:tcW w:w="20" w:type="dxa"/>
            <w:vAlign w:val="bottom"/>
          </w:tcPr>
          <w:p>
            <w:pPr>
              <w:spacing w:after="0"/>
              <w:rPr>
                <w:sz w:val="18"/>
                <w:szCs w:val="18"/>
                <w:color w:val="auto"/>
              </w:rPr>
            </w:pPr>
          </w:p>
        </w:tc>
      </w:tr>
      <w:tr>
        <w:trPr>
          <w:trHeight w:val="21"/>
        </w:trPr>
        <w:tc>
          <w:tcPr>
            <w:tcW w:w="4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5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u w:val="single" w:color="auto"/>
          <w:color w:val="auto"/>
        </w:rPr>
        <w:t>Nature of Operations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Optimizer Systems, LLC was formed in the State of Michigan on January 31, 2006. It then became a corporation in the state of Michigan on October 22, 2007 and changed its name to OptimizeRx Corporation on October 22, 2007. On April 14, 2008, RFID Ltd., a Colorado corporation,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On April 15, 2008, RFID Ltd’s corporate name was changed to OptimizeRx Corporation. On September 4, 2008, a migratory merger was completed, thereby changing the state of incorporation from Colorado to Nevada, resulting in the current corporate structure in which OptimizeRx Corporation, a Nevada corporation is the parent corporation, and OptimizeRx Corporation, a Michigan Corporation is a wholly-owned subsidiary (together “OptimizeRx” and the “Company”).</w:t>
      </w:r>
    </w:p>
    <w:p>
      <w:pPr>
        <w:spacing w:after="0" w:line="20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wholly-owned subsidiary, OptimizeRx Corporation, is a development-stage website publisher and marketing company that creates, promotes and fulfills custom marketing and advertising programs. The Company help patients better afford and manage their rising healthcare costs. In addition, the Company also provides unique advertising programs to the pharmaceutical and healthcare industries. The Company’s websites provide the following services: (i) OptimizeRx provides patients an opportunity to centrally review and participate in prescription and healthcare savings/support programs; (ii) OFFERx provides a platform to allow manufacturers to create, promote and fulfill new patient offer programs in over 64,000 pharmacies; and (iii) ADHERxE provides a platform that allows manufacturers to engage and monitor patients each month in exchange for activation of their monthly co-pay coupons.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b w:val="1"/>
          <w:bCs w:val="1"/>
          <w:u w:val="single" w:color="auto"/>
          <w:color w:val="auto"/>
        </w:rPr>
        <w:t>Significant Accounting Policies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This summary of significant accounting policies of the Company is presented to assist in understanding the company’s financial statements. The financial statements and notes are representations of the company’s management, who is responsible for their integrity and objectivity. These accounting policies conform to generally accepted accounting principles and have been consistently applied to the preparation of the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Accounting</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financial statements have been prepared using the accrual basis of accounting in accordance with accounting principles generally accepted in the United States of America. The Company is currently a development stage enterprise. All losses accumulated since the inception of business have been considered as part of its development stage activities.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purposes of the accompanying financial statements, the Company considers all highly liquid instruments with an initial maturity of three months or less to be cash equivalents.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bank accounts are deposited in insured institutions. The funds are insured up to $250,000. At December 31, 2009 the Company's bank deposits exceeded the insured amounts. Management believes it has little risk related to the excess deposits.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financial statements reflect the consolidated results of OptimizeRx Corporation (a Nevada corporation) and its wholly owned subsidiary OptyimizeRx Corporation (a Michigan corporation). All material inter-company transactions have been eliminated in the consolidation.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of cash, accounts receivable and accounts payable approximates the carrying amount of these financial instruments due to their short-term nature. The fair value of long-term debt, which approximates its carrying value, is based on current rates at which the Company could borrow funds with similar remaining maturities.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capital assets are being depreciated over their estimated useful lives using the straight line method of depreciation for book purposes. As of October 18, 2007, the Company acquired the majority of its capital assets at the lower market cost from Optimizer Systems,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Company’s key members are part of a continual research and development team and monitor new technologies, trends, services and partnerships that can provide the Company with additional services, value to healthcare and pharmaceutical industries and to the patients we serve.</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currently in a launch phase with ADHERxE to allow pharmaceutical and healthcare manufacturers unique ways to engage and monitor patients each month in exchange for activation of their next savings offer.</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seeks to educate team members through understanding of all market dynamics that have the potential to affect business both short term and long term. The primary goal is to help patients better afford and access the medications their doctors prescribe, as well as other healthcare products and services they need. Based on this, the Company continually seeks better ways to meet this mission through technology, better user experiences and new ways to engage industries to provide new support program for patients needing their products. The Company is always seeking new services and solutions to offer. At this time, the three current platforms provide robust opportunities and growth during the next five years.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Substantially all revenue is recognized when it is earned. All revenues are generated through the Company’s website activities. The Company’s processes are monitored by third parties who collect revenues from clients on a per activity basis and report and forward the revenue to the Company’s account.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 Estimates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depreciable lives of such assets and the allowance for doubtful accounts receivable. Actual results could differ from those estimates.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b w:val="1"/>
          <w:bCs w:val="1"/>
          <w:u w:val="single" w:color="auto"/>
          <w:color w:val="auto"/>
        </w:rPr>
        <w:t>Significant Accounting Policies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Guidance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 financial position or cash flow.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Common and Common Equivalent Share</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computation of basic earnings per common share is computed using the weighted average number of common shares outstanding during the year. The computation of diluted earnings per common share is based on the weighted average number of shares outstanding during the year plus common stock equivalents which would arise from the exercise of warrants outstanding using the treasury stock method and the average market price per share during the year. Options warrants and convertible preferred stock which are common stock equivalents are not included in the diluted earnings per share calculation for December 31, 2009 and December 31, 2008, respectively, since their effect is anti-dilutive.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u w:val="single" w:color="auto"/>
          <w:color w:val="auto"/>
        </w:rPr>
        <w:t>Property and Equipment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is recorded at cost and consisted of the following at December 31:</w:t>
      </w:r>
    </w:p>
    <w:p>
      <w:pPr>
        <w:spacing w:after="0" w:line="248" w:lineRule="exact"/>
        <w:rPr>
          <w:sz w:val="20"/>
          <w:szCs w:val="20"/>
          <w:color w:val="auto"/>
        </w:rPr>
      </w:pPr>
    </w:p>
    <w:tbl>
      <w:tblPr>
        <w:tblLayout w:type="fixed"/>
        <w:tblInd w:w="50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960" w:type="dxa"/>
            <w:vAlign w:val="bottom"/>
            <w:tcBorders>
              <w:right w:val="single" w:sz="8" w:color="CBDBD1"/>
            </w:tcBorders>
            <w:shd w:val="clear" w:color="auto" w:fill="CBDBD1"/>
          </w:tcPr>
          <w:p>
            <w:pPr>
              <w:spacing w:after="0"/>
              <w:rPr>
                <w:sz w:val="20"/>
                <w:szCs w:val="20"/>
                <w:color w:val="auto"/>
              </w:rPr>
            </w:pPr>
            <w:r>
              <w:rPr>
                <w:rFonts w:ascii="Arial" w:cs="Arial" w:eastAsia="Arial" w:hAnsi="Arial"/>
                <w:sz w:val="18"/>
                <w:szCs w:val="18"/>
                <w:color w:val="auto"/>
              </w:rPr>
              <w:t>Computer equipment</w:t>
            </w:r>
          </w:p>
        </w:tc>
        <w:tc>
          <w:tcPr>
            <w:tcW w:w="240" w:type="dxa"/>
            <w:vAlign w:val="bottom"/>
            <w:shd w:val="clear" w:color="auto" w:fill="CBDBD1"/>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BDBD1"/>
          </w:tcPr>
          <w:p>
            <w:pPr>
              <w:jc w:val="right"/>
              <w:ind w:right="100"/>
              <w:spacing w:after="0"/>
              <w:rPr>
                <w:sz w:val="20"/>
                <w:szCs w:val="20"/>
                <w:color w:val="auto"/>
              </w:rPr>
            </w:pPr>
            <w:r>
              <w:rPr>
                <w:rFonts w:ascii="Arial" w:cs="Arial" w:eastAsia="Arial" w:hAnsi="Arial"/>
                <w:sz w:val="18"/>
                <w:szCs w:val="18"/>
                <w:color w:val="auto"/>
              </w:rPr>
              <w:t>12,594</w:t>
            </w:r>
          </w:p>
        </w:tc>
        <w:tc>
          <w:tcPr>
            <w:tcW w:w="240" w:type="dxa"/>
            <w:vAlign w:val="bottom"/>
            <w:shd w:val="clear" w:color="auto" w:fill="CBDBD1"/>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12,594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4,293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960" w:type="dxa"/>
            <w:vAlign w:val="bottom"/>
            <w:tcBorders>
              <w:right w:val="single" w:sz="8" w:color="CBDBD1"/>
            </w:tcBorders>
            <w:shd w:val="clear" w:color="auto" w:fill="CBDBD1"/>
          </w:tcPr>
          <w:p>
            <w:pPr>
              <w:ind w:left="200"/>
              <w:spacing w:after="0"/>
              <w:rPr>
                <w:sz w:val="20"/>
                <w:szCs w:val="20"/>
                <w:color w:val="auto"/>
              </w:rPr>
            </w:pPr>
            <w:r>
              <w:rPr>
                <w:rFonts w:ascii="Arial" w:cs="Arial" w:eastAsia="Arial" w:hAnsi="Arial"/>
                <w:sz w:val="18"/>
                <w:szCs w:val="18"/>
                <w:color w:val="auto"/>
              </w:rPr>
              <w:t>Subtotal</w:t>
            </w:r>
          </w:p>
        </w:tc>
        <w:tc>
          <w:tcPr>
            <w:tcW w:w="240" w:type="dxa"/>
            <w:vAlign w:val="bottom"/>
            <w:shd w:val="clear" w:color="auto" w:fill="CBDBD1"/>
          </w:tcPr>
          <w:p>
            <w:pPr>
              <w:spacing w:after="0"/>
              <w:rPr>
                <w:sz w:val="18"/>
                <w:szCs w:val="18"/>
                <w:color w:val="auto"/>
              </w:rPr>
            </w:pPr>
          </w:p>
        </w:tc>
        <w:tc>
          <w:tcPr>
            <w:tcW w:w="980" w:type="dxa"/>
            <w:vAlign w:val="bottom"/>
            <w:gridSpan w:val="2"/>
            <w:shd w:val="clear" w:color="auto" w:fill="CBDBD1"/>
          </w:tcPr>
          <w:p>
            <w:pPr>
              <w:jc w:val="right"/>
              <w:ind w:right="100"/>
              <w:spacing w:after="0"/>
              <w:rPr>
                <w:sz w:val="20"/>
                <w:szCs w:val="20"/>
                <w:color w:val="auto"/>
              </w:rPr>
            </w:pPr>
            <w:r>
              <w:rPr>
                <w:rFonts w:ascii="Arial" w:cs="Arial" w:eastAsia="Arial" w:hAnsi="Arial"/>
                <w:sz w:val="18"/>
                <w:szCs w:val="18"/>
                <w:color w:val="auto"/>
              </w:rPr>
              <w:t>16,887</w:t>
            </w:r>
          </w:p>
        </w:tc>
        <w:tc>
          <w:tcPr>
            <w:tcW w:w="240" w:type="dxa"/>
            <w:vAlign w:val="bottom"/>
            <w:shd w:val="clear" w:color="auto" w:fill="CBDBD1"/>
          </w:tcPr>
          <w:p>
            <w:pPr>
              <w:spacing w:after="0"/>
              <w:rPr>
                <w:sz w:val="18"/>
                <w:szCs w:val="18"/>
                <w:color w:val="auto"/>
              </w:rPr>
            </w:pPr>
          </w:p>
        </w:tc>
        <w:tc>
          <w:tcPr>
            <w:tcW w:w="9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16,887</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960" w:type="dxa"/>
            <w:vAlign w:val="bottom"/>
          </w:tcPr>
          <w:p>
            <w:pPr>
              <w:spacing w:after="0" w:line="201" w:lineRule="exact"/>
              <w:rPr>
                <w:sz w:val="20"/>
                <w:szCs w:val="20"/>
                <w:color w:val="auto"/>
              </w:rPr>
            </w:pPr>
            <w:r>
              <w:rPr>
                <w:rFonts w:ascii="Arial" w:cs="Arial" w:eastAsia="Arial" w:hAnsi="Arial"/>
                <w:sz w:val="18"/>
                <w:szCs w:val="18"/>
                <w:color w:val="auto"/>
              </w:rPr>
              <w:t>Less: Accumulated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198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(3,306)</w:t>
            </w:r>
          </w:p>
        </w:tc>
        <w:tc>
          <w:tcPr>
            <w:tcW w:w="2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(1,617)</w:t>
            </w:r>
          </w:p>
        </w:tc>
      </w:tr>
      <w:tr>
        <w:trPr>
          <w:trHeight w:val="202"/>
        </w:trPr>
        <w:tc>
          <w:tcPr>
            <w:tcW w:w="20" w:type="dxa"/>
            <w:vAlign w:val="bottom"/>
          </w:tcPr>
          <w:p>
            <w:pPr>
              <w:spacing w:after="0"/>
              <w:rPr>
                <w:sz w:val="17"/>
                <w:szCs w:val="17"/>
                <w:color w:val="auto"/>
              </w:rPr>
            </w:pPr>
          </w:p>
        </w:tc>
        <w:tc>
          <w:tcPr>
            <w:tcW w:w="1960" w:type="dxa"/>
            <w:vAlign w:val="bottom"/>
            <w:tcBorders>
              <w:right w:val="single" w:sz="8" w:color="CBDBD1"/>
            </w:tcBorders>
            <w:shd w:val="clear" w:color="auto" w:fill="CBDBD1"/>
          </w:tcPr>
          <w:p>
            <w:pPr>
              <w:ind w:left="160"/>
              <w:spacing w:after="0" w:line="201" w:lineRule="exact"/>
              <w:rPr>
                <w:sz w:val="20"/>
                <w:szCs w:val="20"/>
                <w:color w:val="auto"/>
              </w:rPr>
            </w:pPr>
            <w:r>
              <w:rPr>
                <w:rFonts w:ascii="Arial" w:cs="Arial" w:eastAsia="Arial" w:hAnsi="Arial"/>
                <w:sz w:val="18"/>
                <w:szCs w:val="18"/>
                <w:color w:val="auto"/>
                <w:w w:val="89"/>
              </w:rPr>
              <w:t>Property and equipment,</w:t>
            </w:r>
          </w:p>
        </w:tc>
        <w:tc>
          <w:tcPr>
            <w:tcW w:w="240" w:type="dxa"/>
            <w:vAlign w:val="bottom"/>
            <w:tcBorders>
              <w:top w:val="single" w:sz="8" w:color="auto"/>
            </w:tcBorders>
            <w:shd w:val="clear" w:color="auto" w:fill="CBDBD1"/>
          </w:tcPr>
          <w:p>
            <w:pPr>
              <w:spacing w:after="0"/>
              <w:rPr>
                <w:sz w:val="17"/>
                <w:szCs w:val="17"/>
                <w:color w:val="auto"/>
              </w:rPr>
            </w:pPr>
          </w:p>
        </w:tc>
        <w:tc>
          <w:tcPr>
            <w:tcW w:w="880" w:type="dxa"/>
            <w:vAlign w:val="bottom"/>
            <w:tcBorders>
              <w:top w:val="single" w:sz="8" w:color="auto"/>
            </w:tcBorders>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240" w:type="dxa"/>
            <w:vAlign w:val="bottom"/>
            <w:tcBorders>
              <w:top w:val="single" w:sz="8" w:color="auto"/>
            </w:tcBorders>
            <w:shd w:val="clear" w:color="auto" w:fill="CBDBD1"/>
          </w:tcPr>
          <w:p>
            <w:pPr>
              <w:spacing w:after="0"/>
              <w:rPr>
                <w:sz w:val="17"/>
                <w:szCs w:val="17"/>
                <w:color w:val="auto"/>
              </w:rPr>
            </w:pPr>
          </w:p>
        </w:tc>
        <w:tc>
          <w:tcPr>
            <w:tcW w:w="920" w:type="dxa"/>
            <w:vAlign w:val="bottom"/>
            <w:tcBorders>
              <w:top w:val="single" w:sz="8" w:color="auto"/>
            </w:tcBorders>
            <w:shd w:val="clear" w:color="auto" w:fill="CBDBD1"/>
          </w:tcPr>
          <w:p>
            <w:pPr>
              <w:spacing w:after="0"/>
              <w:rPr>
                <w:sz w:val="17"/>
                <w:szCs w:val="17"/>
                <w:color w:val="auto"/>
              </w:rPr>
            </w:pPr>
          </w:p>
        </w:tc>
        <w:tc>
          <w:tcPr>
            <w:tcW w:w="20" w:type="dxa"/>
            <w:vAlign w:val="bottom"/>
          </w:tcPr>
          <w:p>
            <w:pPr>
              <w:spacing w:after="0"/>
              <w:rPr>
                <w:sz w:val="17"/>
                <w:szCs w:val="17"/>
                <w:color w:val="auto"/>
              </w:rPr>
            </w:pPr>
          </w:p>
        </w:tc>
      </w:tr>
      <w:tr>
        <w:trPr>
          <w:trHeight w:val="251"/>
        </w:trPr>
        <w:tc>
          <w:tcPr>
            <w:tcW w:w="20" w:type="dxa"/>
            <w:vAlign w:val="bottom"/>
          </w:tcPr>
          <w:p>
            <w:pPr>
              <w:spacing w:after="0"/>
              <w:rPr>
                <w:sz w:val="21"/>
                <w:szCs w:val="21"/>
                <w:color w:val="auto"/>
              </w:rPr>
            </w:pPr>
          </w:p>
        </w:tc>
        <w:tc>
          <w:tcPr>
            <w:tcW w:w="1960" w:type="dxa"/>
            <w:vAlign w:val="bottom"/>
            <w:tcBorders>
              <w:right w:val="single" w:sz="8" w:color="CBDBD1"/>
            </w:tcBorders>
            <w:shd w:val="clear" w:color="auto" w:fill="CBDBD1"/>
          </w:tcPr>
          <w:p>
            <w:pPr>
              <w:spacing w:after="0"/>
              <w:rPr>
                <w:sz w:val="20"/>
                <w:szCs w:val="20"/>
                <w:color w:val="auto"/>
              </w:rPr>
            </w:pPr>
            <w:r>
              <w:rPr>
                <w:rFonts w:ascii="Arial" w:cs="Arial" w:eastAsia="Arial" w:hAnsi="Arial"/>
                <w:sz w:val="18"/>
                <w:szCs w:val="18"/>
                <w:color w:val="auto"/>
              </w:rPr>
              <w:t>net</w:t>
            </w:r>
          </w:p>
        </w:tc>
        <w:tc>
          <w:tcPr>
            <w:tcW w:w="240" w:type="dxa"/>
            <w:vAlign w:val="bottom"/>
            <w:shd w:val="clear" w:color="auto" w:fill="CBDBD1"/>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BDBD1"/>
          </w:tcPr>
          <w:p>
            <w:pPr>
              <w:jc w:val="right"/>
              <w:ind w:right="100"/>
              <w:spacing w:after="0"/>
              <w:rPr>
                <w:sz w:val="20"/>
                <w:szCs w:val="20"/>
                <w:color w:val="auto"/>
              </w:rPr>
            </w:pPr>
            <w:r>
              <w:rPr>
                <w:rFonts w:ascii="Arial" w:cs="Arial" w:eastAsia="Arial" w:hAnsi="Arial"/>
                <w:sz w:val="18"/>
                <w:szCs w:val="18"/>
                <w:color w:val="auto"/>
              </w:rPr>
              <w:t>13,581</w:t>
            </w:r>
          </w:p>
        </w:tc>
        <w:tc>
          <w:tcPr>
            <w:tcW w:w="240" w:type="dxa"/>
            <w:vAlign w:val="bottom"/>
            <w:shd w:val="clear" w:color="auto" w:fill="CBDBD1"/>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15,270</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$1,689 and $1,322 for the years ended December 31, 2009 and 2008,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b w:val="1"/>
          <w:bCs w:val="1"/>
          <w:u w:val="single" w:color="auto"/>
          <w:color w:val="auto"/>
        </w:rPr>
        <w:t>Website Development Costs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capitalized costs in developing their website and web-based products which consists of the following at December 31:</w:t>
      </w:r>
    </w:p>
    <w:p>
      <w:pPr>
        <w:spacing w:after="0" w:line="248" w:lineRule="exact"/>
        <w:rPr>
          <w:sz w:val="20"/>
          <w:szCs w:val="20"/>
          <w:color w:val="auto"/>
        </w:rPr>
      </w:pPr>
    </w:p>
    <w:tbl>
      <w:tblPr>
        <w:tblLayout w:type="fixed"/>
        <w:tblInd w:w="50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2008</w:t>
            </w:r>
          </w:p>
        </w:tc>
      </w:tr>
      <w:tr>
        <w:trPr>
          <w:trHeight w:val="216"/>
        </w:trPr>
        <w:tc>
          <w:tcPr>
            <w:tcW w:w="20" w:type="dxa"/>
            <w:vAlign w:val="bottom"/>
          </w:tcPr>
          <w:p>
            <w:pPr>
              <w:spacing w:after="0"/>
              <w:rPr>
                <w:sz w:val="18"/>
                <w:szCs w:val="18"/>
                <w:color w:val="auto"/>
              </w:rPr>
            </w:pPr>
          </w:p>
        </w:tc>
        <w:tc>
          <w:tcPr>
            <w:tcW w:w="1860" w:type="dxa"/>
            <w:vAlign w:val="bottom"/>
            <w:shd w:val="clear" w:color="auto" w:fill="CBDBD1"/>
          </w:tcPr>
          <w:p>
            <w:pPr>
              <w:spacing w:after="0"/>
              <w:rPr>
                <w:sz w:val="20"/>
                <w:szCs w:val="20"/>
                <w:color w:val="auto"/>
              </w:rPr>
            </w:pPr>
            <w:r>
              <w:rPr>
                <w:rFonts w:ascii="Arial" w:cs="Arial" w:eastAsia="Arial" w:hAnsi="Arial"/>
                <w:sz w:val="18"/>
                <w:szCs w:val="18"/>
                <w:color w:val="auto"/>
                <w:w w:val="95"/>
              </w:rPr>
              <w:t>Web development costs</w:t>
            </w:r>
          </w:p>
        </w:tc>
        <w:tc>
          <w:tcPr>
            <w:tcW w:w="260" w:type="dxa"/>
            <w:vAlign w:val="bottom"/>
            <w:shd w:val="clear" w:color="auto" w:fill="CBDBD1"/>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BDBD1"/>
            </w:tcBorders>
            <w:shd w:val="clear" w:color="auto" w:fill="CBDBD1"/>
          </w:tcPr>
          <w:p>
            <w:pPr>
              <w:jc w:val="right"/>
              <w:ind w:right="10"/>
              <w:spacing w:after="0"/>
              <w:rPr>
                <w:sz w:val="20"/>
                <w:szCs w:val="20"/>
                <w:color w:val="auto"/>
              </w:rPr>
            </w:pPr>
            <w:r>
              <w:rPr>
                <w:rFonts w:ascii="Arial" w:cs="Arial" w:eastAsia="Arial" w:hAnsi="Arial"/>
                <w:sz w:val="18"/>
                <w:szCs w:val="18"/>
                <w:color w:val="auto"/>
              </w:rPr>
              <w:t>261,833</w:t>
            </w:r>
          </w:p>
        </w:tc>
        <w:tc>
          <w:tcPr>
            <w:tcW w:w="240" w:type="dxa"/>
            <w:vAlign w:val="bottom"/>
            <w:shd w:val="clear" w:color="auto" w:fill="CBDBD1"/>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154,133</w:t>
            </w:r>
          </w:p>
        </w:tc>
      </w:tr>
      <w:tr>
        <w:trPr>
          <w:trHeight w:val="202"/>
        </w:trPr>
        <w:tc>
          <w:tcPr>
            <w:tcW w:w="20" w:type="dxa"/>
            <w:vAlign w:val="bottom"/>
          </w:tcPr>
          <w:p>
            <w:pPr>
              <w:spacing w:after="0"/>
              <w:rPr>
                <w:sz w:val="17"/>
                <w:szCs w:val="17"/>
                <w:color w:val="auto"/>
              </w:rPr>
            </w:pPr>
          </w:p>
        </w:tc>
        <w:tc>
          <w:tcPr>
            <w:tcW w:w="1860" w:type="dxa"/>
            <w:vAlign w:val="bottom"/>
          </w:tcPr>
          <w:p>
            <w:pPr>
              <w:spacing w:after="0" w:line="201" w:lineRule="exact"/>
              <w:rPr>
                <w:sz w:val="20"/>
                <w:szCs w:val="20"/>
                <w:color w:val="auto"/>
              </w:rPr>
            </w:pPr>
            <w:r>
              <w:rPr>
                <w:rFonts w:ascii="Arial" w:cs="Arial" w:eastAsia="Arial" w:hAnsi="Arial"/>
                <w:sz w:val="18"/>
                <w:szCs w:val="18"/>
                <w:color w:val="auto"/>
              </w:rPr>
              <w:t>Less: Accumulated</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7"/>
        </w:trPr>
        <w:tc>
          <w:tcPr>
            <w:tcW w:w="188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2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(64,223)</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(33,396)</w:t>
            </w:r>
          </w:p>
        </w:tc>
      </w:tr>
      <w:tr>
        <w:trPr>
          <w:trHeight w:val="202"/>
        </w:trPr>
        <w:tc>
          <w:tcPr>
            <w:tcW w:w="20" w:type="dxa"/>
            <w:vAlign w:val="bottom"/>
          </w:tcPr>
          <w:p>
            <w:pPr>
              <w:spacing w:after="0"/>
              <w:rPr>
                <w:sz w:val="17"/>
                <w:szCs w:val="17"/>
                <w:color w:val="auto"/>
              </w:rPr>
            </w:pPr>
          </w:p>
        </w:tc>
        <w:tc>
          <w:tcPr>
            <w:tcW w:w="1860" w:type="dxa"/>
            <w:vAlign w:val="bottom"/>
            <w:shd w:val="clear" w:color="auto" w:fill="CBDBD1"/>
          </w:tcPr>
          <w:p>
            <w:pPr>
              <w:ind w:left="160"/>
              <w:spacing w:after="0" w:line="201" w:lineRule="exact"/>
              <w:rPr>
                <w:sz w:val="20"/>
                <w:szCs w:val="20"/>
                <w:color w:val="auto"/>
              </w:rPr>
            </w:pPr>
            <w:r>
              <w:rPr>
                <w:rFonts w:ascii="Arial" w:cs="Arial" w:eastAsia="Arial" w:hAnsi="Arial"/>
                <w:sz w:val="18"/>
                <w:szCs w:val="18"/>
                <w:color w:val="auto"/>
              </w:rPr>
              <w:t>Web development</w:t>
            </w:r>
          </w:p>
        </w:tc>
        <w:tc>
          <w:tcPr>
            <w:tcW w:w="260" w:type="dxa"/>
            <w:vAlign w:val="bottom"/>
            <w:tcBorders>
              <w:top w:val="single" w:sz="8" w:color="auto"/>
            </w:tcBorders>
            <w:shd w:val="clear" w:color="auto" w:fill="CBDBD1"/>
          </w:tcPr>
          <w:p>
            <w:pPr>
              <w:spacing w:after="0"/>
              <w:rPr>
                <w:sz w:val="17"/>
                <w:szCs w:val="17"/>
                <w:color w:val="auto"/>
              </w:rPr>
            </w:pPr>
          </w:p>
        </w:tc>
        <w:tc>
          <w:tcPr>
            <w:tcW w:w="1020" w:type="dxa"/>
            <w:vAlign w:val="bottom"/>
            <w:tcBorders>
              <w:top w:val="single" w:sz="8" w:color="auto"/>
              <w:right w:val="single" w:sz="8" w:color="CBDBD1"/>
            </w:tcBorders>
            <w:shd w:val="clear" w:color="auto" w:fill="CBDBD1"/>
          </w:tcPr>
          <w:p>
            <w:pPr>
              <w:spacing w:after="0"/>
              <w:rPr>
                <w:sz w:val="17"/>
                <w:szCs w:val="17"/>
                <w:color w:val="auto"/>
              </w:rPr>
            </w:pPr>
          </w:p>
        </w:tc>
        <w:tc>
          <w:tcPr>
            <w:tcW w:w="240" w:type="dxa"/>
            <w:vAlign w:val="bottom"/>
            <w:tcBorders>
              <w:top w:val="single" w:sz="8" w:color="auto"/>
            </w:tcBorders>
            <w:shd w:val="clear" w:color="auto" w:fill="CBDBD1"/>
          </w:tcPr>
          <w:p>
            <w:pPr>
              <w:spacing w:after="0"/>
              <w:rPr>
                <w:sz w:val="17"/>
                <w:szCs w:val="17"/>
                <w:color w:val="auto"/>
              </w:rPr>
            </w:pPr>
          </w:p>
        </w:tc>
        <w:tc>
          <w:tcPr>
            <w:tcW w:w="960" w:type="dxa"/>
            <w:vAlign w:val="bottom"/>
            <w:tcBorders>
              <w:top w:val="single" w:sz="8" w:color="auto"/>
            </w:tcBorders>
            <w:shd w:val="clear" w:color="auto" w:fill="CBDBD1"/>
          </w:tcPr>
          <w:p>
            <w:pPr>
              <w:spacing w:after="0"/>
              <w:rPr>
                <w:sz w:val="17"/>
                <w:szCs w:val="17"/>
                <w:color w:val="auto"/>
              </w:rPr>
            </w:pPr>
          </w:p>
        </w:tc>
      </w:tr>
      <w:tr>
        <w:trPr>
          <w:trHeight w:val="251"/>
        </w:trPr>
        <w:tc>
          <w:tcPr>
            <w:tcW w:w="20" w:type="dxa"/>
            <w:vAlign w:val="bottom"/>
          </w:tcPr>
          <w:p>
            <w:pPr>
              <w:spacing w:after="0"/>
              <w:rPr>
                <w:sz w:val="21"/>
                <w:szCs w:val="21"/>
                <w:color w:val="auto"/>
              </w:rPr>
            </w:pPr>
          </w:p>
        </w:tc>
        <w:tc>
          <w:tcPr>
            <w:tcW w:w="1860" w:type="dxa"/>
            <w:vAlign w:val="bottom"/>
            <w:shd w:val="clear" w:color="auto" w:fill="CBDBD1"/>
          </w:tcPr>
          <w:p>
            <w:pPr>
              <w:spacing w:after="0"/>
              <w:rPr>
                <w:sz w:val="20"/>
                <w:szCs w:val="20"/>
                <w:color w:val="auto"/>
              </w:rPr>
            </w:pPr>
            <w:r>
              <w:rPr>
                <w:rFonts w:ascii="Arial" w:cs="Arial" w:eastAsia="Arial" w:hAnsi="Arial"/>
                <w:sz w:val="18"/>
                <w:szCs w:val="18"/>
                <w:color w:val="auto"/>
              </w:rPr>
              <w:t>costs, net</w:t>
            </w:r>
          </w:p>
        </w:tc>
        <w:tc>
          <w:tcPr>
            <w:tcW w:w="260" w:type="dxa"/>
            <w:vAlign w:val="bottom"/>
            <w:shd w:val="clear" w:color="auto" w:fill="CBDBD1"/>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BDBD1"/>
            </w:tcBorders>
            <w:shd w:val="clear" w:color="auto" w:fill="CBDBD1"/>
          </w:tcPr>
          <w:p>
            <w:pPr>
              <w:jc w:val="right"/>
              <w:ind w:right="10"/>
              <w:spacing w:after="0"/>
              <w:rPr>
                <w:sz w:val="20"/>
                <w:szCs w:val="20"/>
                <w:color w:val="auto"/>
              </w:rPr>
            </w:pPr>
            <w:r>
              <w:rPr>
                <w:rFonts w:ascii="Arial" w:cs="Arial" w:eastAsia="Arial" w:hAnsi="Arial"/>
                <w:sz w:val="18"/>
                <w:szCs w:val="18"/>
                <w:color w:val="auto"/>
              </w:rPr>
              <w:t>197,610</w:t>
            </w:r>
          </w:p>
        </w:tc>
        <w:tc>
          <w:tcPr>
            <w:tcW w:w="240" w:type="dxa"/>
            <w:vAlign w:val="bottom"/>
            <w:shd w:val="clear" w:color="auto" w:fill="CBDBD1"/>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120,737</w:t>
            </w:r>
          </w:p>
        </w:tc>
      </w:tr>
      <w:tr>
        <w:trPr>
          <w:trHeight w:val="20"/>
        </w:trPr>
        <w:tc>
          <w:tcPr>
            <w:tcW w:w="20" w:type="dxa"/>
            <w:vAlign w:val="bottom"/>
          </w:tcPr>
          <w:p>
            <w:pPr>
              <w:spacing w:after="0" w:line="20" w:lineRule="exact"/>
              <w:rPr>
                <w:sz w:val="1"/>
                <w:szCs w:val="1"/>
                <w:color w:val="auto"/>
              </w:rPr>
            </w:pPr>
          </w:p>
        </w:tc>
        <w:tc>
          <w:tcPr>
            <w:tcW w:w="1860" w:type="dxa"/>
            <w:vAlign w:val="bottom"/>
            <w:tcBorders>
              <w:top w:val="single" w:sz="8" w:color="CBDBD1"/>
            </w:tcBorders>
            <w:shd w:val="clear" w:color="auto" w:fill="CBDBD1"/>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CBDBD1"/>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began amortizing the website costs, using the straight-line method over the estimated useful life of 5 years, once it was put into service in December of 2007. During the year end December 31, 2009, the Company began a new web-based project and the related programming and development costs have been capitalized. The project has not reached completion and therefore no amortization has been recorded as of December 31, 2009 for the additional capitalized costs.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was $30,827 and $30,827 for the years ended December 31, 2009 and 2008, respectively.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b w:val="1"/>
          <w:bCs w:val="1"/>
          <w:u w:val="single" w:color="auto"/>
          <w:color w:val="auto"/>
        </w:rPr>
        <w:t>Accrued Expenses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consisted of the following at December 31:</w:t>
      </w:r>
    </w:p>
    <w:p>
      <w:pPr>
        <w:spacing w:after="0" w:line="248" w:lineRule="exact"/>
        <w:rPr>
          <w:sz w:val="20"/>
          <w:szCs w:val="20"/>
          <w:color w:val="auto"/>
        </w:rPr>
      </w:pPr>
    </w:p>
    <w:tbl>
      <w:tblPr>
        <w:tblLayout w:type="fixed"/>
        <w:tblInd w:w="50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BDBD1"/>
          </w:tcPr>
          <w:p>
            <w:pPr>
              <w:spacing w:after="0"/>
              <w:rPr>
                <w:sz w:val="20"/>
                <w:szCs w:val="20"/>
                <w:color w:val="auto"/>
              </w:rPr>
            </w:pPr>
            <w:r>
              <w:rPr>
                <w:rFonts w:ascii="Arial" w:cs="Arial" w:eastAsia="Arial" w:hAnsi="Arial"/>
                <w:sz w:val="18"/>
                <w:szCs w:val="18"/>
                <w:color w:val="auto"/>
              </w:rPr>
              <w:t>Accrued interest</w:t>
            </w:r>
          </w:p>
        </w:tc>
        <w:tc>
          <w:tcPr>
            <w:tcW w:w="220" w:type="dxa"/>
            <w:vAlign w:val="bottom"/>
            <w:shd w:val="clear" w:color="auto" w:fill="CBDBD1"/>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BDBD1"/>
          </w:tcPr>
          <w:p>
            <w:pPr>
              <w:jc w:val="right"/>
              <w:ind w:right="10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BDBD1"/>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1,683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Accrued payroll taxes</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24,091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BDBD1"/>
          </w:tcPr>
          <w:p>
            <w:pPr>
              <w:spacing w:after="0"/>
              <w:rPr>
                <w:sz w:val="20"/>
                <w:szCs w:val="20"/>
                <w:color w:val="auto"/>
              </w:rPr>
            </w:pPr>
            <w:r>
              <w:rPr>
                <w:rFonts w:ascii="Arial" w:cs="Arial" w:eastAsia="Arial" w:hAnsi="Arial"/>
                <w:sz w:val="18"/>
                <w:szCs w:val="18"/>
                <w:color w:val="auto"/>
              </w:rPr>
              <w:t>Accrued miscellaneous</w:t>
            </w:r>
          </w:p>
        </w:tc>
        <w:tc>
          <w:tcPr>
            <w:tcW w:w="220" w:type="dxa"/>
            <w:vAlign w:val="bottom"/>
            <w:shd w:val="clear" w:color="auto" w:fill="CBDBD1"/>
          </w:tcPr>
          <w:p>
            <w:pPr>
              <w:spacing w:after="0"/>
              <w:rPr>
                <w:sz w:val="18"/>
                <w:szCs w:val="18"/>
                <w:color w:val="auto"/>
              </w:rPr>
            </w:pPr>
          </w:p>
        </w:tc>
        <w:tc>
          <w:tcPr>
            <w:tcW w:w="920" w:type="dxa"/>
            <w:vAlign w:val="bottom"/>
            <w:gridSpan w:val="2"/>
            <w:shd w:val="clear" w:color="auto" w:fill="CBDBD1"/>
          </w:tcPr>
          <w:p>
            <w:pPr>
              <w:jc w:val="right"/>
              <w:ind w:right="10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BDBD1"/>
          </w:tcPr>
          <w:p>
            <w:pPr>
              <w:spacing w:after="0"/>
              <w:rPr>
                <w:sz w:val="18"/>
                <w:szCs w:val="18"/>
                <w:color w:val="auto"/>
              </w:rPr>
            </w:pP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6,159</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Accrued audit fees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2060" w:type="dxa"/>
            <w:vAlign w:val="bottom"/>
            <w:tcBorders>
              <w:bottom w:val="single" w:sz="8" w:color="CBDBD1"/>
            </w:tcBorders>
            <w:shd w:val="clear" w:color="auto" w:fill="CBDBD1"/>
          </w:tcPr>
          <w:p>
            <w:pPr>
              <w:ind w:left="20"/>
              <w:spacing w:after="0"/>
              <w:rPr>
                <w:sz w:val="20"/>
                <w:szCs w:val="20"/>
                <w:color w:val="auto"/>
              </w:rPr>
            </w:pPr>
            <w:r>
              <w:rPr>
                <w:rFonts w:ascii="Arial" w:cs="Arial" w:eastAsia="Arial" w:hAnsi="Arial"/>
                <w:sz w:val="18"/>
                <w:szCs w:val="18"/>
                <w:color w:val="auto"/>
              </w:rPr>
              <w:t>Total accrued expenses</w:t>
            </w:r>
          </w:p>
        </w:tc>
        <w:tc>
          <w:tcPr>
            <w:tcW w:w="220" w:type="dxa"/>
            <w:vAlign w:val="bottom"/>
            <w:tcBorders>
              <w:bottom w:val="single" w:sz="8" w:color="auto"/>
            </w:tcBorders>
            <w:shd w:val="clear" w:color="auto" w:fill="CBDBD1"/>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4,606</w:t>
            </w:r>
          </w:p>
        </w:tc>
        <w:tc>
          <w:tcPr>
            <w:tcW w:w="100" w:type="dxa"/>
            <w:vAlign w:val="bottom"/>
            <w:tcBorders>
              <w:bottom w:val="single" w:sz="8" w:color="CBDBD1"/>
            </w:tcBorders>
            <w:shd w:val="clear" w:color="auto" w:fill="CBDBD1"/>
          </w:tcPr>
          <w:p>
            <w:pPr>
              <w:spacing w:after="0"/>
              <w:rPr>
                <w:sz w:val="22"/>
                <w:szCs w:val="22"/>
                <w:color w:val="auto"/>
              </w:rPr>
            </w:pPr>
          </w:p>
        </w:tc>
        <w:tc>
          <w:tcPr>
            <w:tcW w:w="240" w:type="dxa"/>
            <w:vAlign w:val="bottom"/>
            <w:tcBorders>
              <w:bottom w:val="single" w:sz="8" w:color="auto"/>
            </w:tcBorders>
            <w:shd w:val="clear" w:color="auto" w:fill="CBDBD1"/>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41,933</w:t>
            </w:r>
          </w:p>
        </w:tc>
        <w:tc>
          <w:tcPr>
            <w:tcW w:w="20" w:type="dxa"/>
            <w:vAlign w:val="bottom"/>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b w:val="1"/>
          <w:bCs w:val="1"/>
          <w:u w:val="single" w:color="auto"/>
          <w:color w:val="auto"/>
        </w:rPr>
        <w:t>Notes Payable – Related Party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Notes payable – related party consisted of the following at December 31:</w:t>
      </w:r>
    </w:p>
    <w:p>
      <w:pPr>
        <w:spacing w:after="0" w:line="248" w:lineRule="exact"/>
        <w:rPr>
          <w:sz w:val="20"/>
          <w:szCs w:val="20"/>
          <w:color w:val="auto"/>
        </w:rPr>
      </w:pPr>
    </w:p>
    <w:tbl>
      <w:tblPr>
        <w:tblLayout w:type="fixed"/>
        <w:tblInd w:w="50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BDBD1"/>
          </w:tcPr>
          <w:p>
            <w:pPr>
              <w:jc w:val="center"/>
              <w:ind w:right="170"/>
              <w:spacing w:after="0"/>
              <w:rPr>
                <w:sz w:val="20"/>
                <w:szCs w:val="20"/>
                <w:color w:val="auto"/>
              </w:rPr>
            </w:pPr>
            <w:r>
              <w:rPr>
                <w:rFonts w:ascii="Arial" w:cs="Arial" w:eastAsia="Arial" w:hAnsi="Arial"/>
                <w:sz w:val="18"/>
                <w:szCs w:val="18"/>
                <w:color w:val="auto"/>
                <w:w w:val="90"/>
              </w:rPr>
              <w:t>Note payable – Officer</w:t>
            </w:r>
          </w:p>
        </w:tc>
        <w:tc>
          <w:tcPr>
            <w:tcW w:w="860" w:type="dxa"/>
            <w:vAlign w:val="bottom"/>
            <w:gridSpan w:val="2"/>
            <w:shd w:val="clear" w:color="auto" w:fill="CBDBD1"/>
          </w:tcPr>
          <w:p>
            <w:pPr>
              <w:jc w:val="right"/>
              <w:ind w:right="590"/>
              <w:spacing w:after="0"/>
              <w:rPr>
                <w:sz w:val="20"/>
                <w:szCs w:val="20"/>
                <w:color w:val="auto"/>
              </w:rPr>
            </w:pPr>
            <w:r>
              <w:rPr>
                <w:rFonts w:ascii="Arial" w:cs="Arial" w:eastAsia="Arial" w:hAnsi="Arial"/>
                <w:sz w:val="18"/>
                <w:szCs w:val="18"/>
                <w:color w:val="auto"/>
              </w:rPr>
              <w:t>$</w:t>
            </w:r>
          </w:p>
        </w:tc>
        <w:tc>
          <w:tcPr>
            <w:tcW w:w="2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360" w:type="dxa"/>
            <w:vAlign w:val="bottom"/>
            <w:tcBorders>
              <w:left w:val="single" w:sz="8" w:color="CBDBD1"/>
            </w:tcBorders>
            <w:gridSpan w:val="2"/>
            <w:shd w:val="clear" w:color="auto" w:fill="CBDBD1"/>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tcPr>
          <w:p>
            <w:pPr>
              <w:ind w:left="300"/>
              <w:spacing w:after="0"/>
              <w:rPr>
                <w:sz w:val="20"/>
                <w:szCs w:val="20"/>
                <w:color w:val="auto"/>
              </w:rPr>
            </w:pPr>
            <w:r>
              <w:rPr>
                <w:rFonts w:ascii="Arial" w:cs="Arial" w:eastAsia="Arial" w:hAnsi="Arial"/>
                <w:sz w:val="18"/>
                <w:szCs w:val="18"/>
                <w:color w:val="auto"/>
                <w:w w:val="95"/>
              </w:rPr>
              <w:t>Less: current portion</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880" w:type="dxa"/>
            <w:vAlign w:val="bottom"/>
            <w:shd w:val="clear" w:color="auto" w:fill="CBDBD1"/>
          </w:tcPr>
          <w:p>
            <w:pPr>
              <w:jc w:val="center"/>
              <w:ind w:right="190"/>
              <w:spacing w:after="0"/>
              <w:rPr>
                <w:sz w:val="20"/>
                <w:szCs w:val="20"/>
                <w:color w:val="auto"/>
              </w:rPr>
            </w:pPr>
            <w:r>
              <w:rPr>
                <w:rFonts w:ascii="Arial" w:cs="Arial" w:eastAsia="Arial" w:hAnsi="Arial"/>
                <w:sz w:val="18"/>
                <w:szCs w:val="18"/>
                <w:color w:val="auto"/>
                <w:w w:val="91"/>
              </w:rPr>
              <w:t>Long –Term Debt</w:t>
            </w:r>
          </w:p>
        </w:tc>
        <w:tc>
          <w:tcPr>
            <w:tcW w:w="860" w:type="dxa"/>
            <w:vAlign w:val="bottom"/>
            <w:gridSpan w:val="2"/>
            <w:shd w:val="clear" w:color="auto" w:fill="CBDBD1"/>
          </w:tcPr>
          <w:p>
            <w:pPr>
              <w:jc w:val="right"/>
              <w:ind w:right="590"/>
              <w:spacing w:after="0"/>
              <w:rPr>
                <w:sz w:val="20"/>
                <w:szCs w:val="20"/>
                <w:color w:val="auto"/>
              </w:rPr>
            </w:pPr>
            <w:r>
              <w:rPr>
                <w:rFonts w:ascii="Arial" w:cs="Arial" w:eastAsia="Arial" w:hAnsi="Arial"/>
                <w:sz w:val="18"/>
                <w:szCs w:val="18"/>
                <w:color w:val="auto"/>
              </w:rPr>
              <w:t>$</w:t>
            </w:r>
          </w:p>
        </w:tc>
        <w:tc>
          <w:tcPr>
            <w:tcW w:w="2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360" w:type="dxa"/>
            <w:vAlign w:val="bottom"/>
            <w:tcBorders>
              <w:left w:val="single" w:sz="8" w:color="CBDBD1"/>
            </w:tcBorders>
            <w:gridSpan w:val="2"/>
            <w:shd w:val="clear" w:color="auto" w:fill="CBDBD1"/>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Borders>
              <w:top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BDBD1"/>
              <w:left w:val="single" w:sz="8" w:color="CBDBD1"/>
            </w:tcBorders>
            <w:shd w:val="clear" w:color="auto" w:fill="CBDBD1"/>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officer note payable and all related accrued interest was paid in full during 2009.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b w:val="1"/>
          <w:bCs w:val="1"/>
          <w:u w:val="single" w:color="auto"/>
          <w:color w:val="auto"/>
        </w:rPr>
        <w:t>Commitments and Contingencies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leases their offices for $2,500 a month and had signed a lease through November 7, 2009 with an option for a six month renewal. The option has not been exercised and the company will be on a month-to-month rental.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b w:val="1"/>
          <w:bCs w:val="1"/>
          <w:u w:val="single" w:color="auto"/>
          <w:color w:val="auto"/>
        </w:rPr>
        <w:t>Common Stock</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OptimizeRx Corporation has 500,000,000 shares of $.001 par value common stock authorized as of December 31, 2009. There were 12,826,117 and 12,262,958 common shares issued and outstanding at December 31, 2009 and 2008, respectively.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share exchange agreement with RFID, Ltd., 100% of OptimizeRx’s stock was exchanged for 10,664,000 shares of RFID’s common stock. At the time of the share exchange, RFID had an additional 1,256,958 shares of common stock issued and outstanding.</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2008, 636,000 shares of common stock were sold for cash. Additionally, 284,000 and 70,000 shares were issued as compensation for services during the years ended December 31, 2009 and 2008, respectively. Included in operating expenses at December 31, 2009 is $1,008,240 for the issuance of these 284,000 shares. There were 365,908 shares issued as a cashless exchange of common stock warrants during the year ended December 31, 2009.</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b w:val="1"/>
          <w:bCs w:val="1"/>
          <w:u w:val="single" w:color="auto"/>
          <w:color w:val="auto"/>
        </w:rPr>
        <w:t>Preferred Stock</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2008, 35 preferred shares were issued for $3,500,000. Issuance costs totaled $515,000 resulting in net proceeds of $2,985,000. The 35 shares are convertible to 3,500,000 shares of common stock and bear a 10% cumulative dividend. In addition, there was a warrant issued to purchase 6,000,000 shares of common stock at an exercise price of $2 for a period of seven years.</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the preferred stock are entitled to semi-annual dividends payable on the stated value of the Series A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A preferred stock shall also be convertible at the option of the holder into that number of shares of common stock of the Company at the stated value of such share at a $1 conversion price.</w:t>
      </w: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 The shares are required to be redeemed on September 5, 2010. As of December 31, 2009, the cumulative dividend was $547,774; however, it has not yet been declared.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w:t>
      </w:r>
      <w:r>
        <w:rPr>
          <w:rFonts w:ascii="Arial" w:cs="Arial" w:eastAsia="Arial" w:hAnsi="Arial"/>
          <w:sz w:val="18"/>
          <w:szCs w:val="18"/>
          <w:b w:val="1"/>
          <w:bCs w:val="1"/>
          <w:u w:val="single" w:color="auto"/>
          <w:color w:val="auto"/>
        </w:rPr>
        <w:t>Stock-Based Compensation</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Effective January 1, 2006, the Company adopted SFAS No. 123 (R) (ASC 505-50), "Share-Based Payment” (SFAS 123(R)) utilizing the modified prospective approach.</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modified prospective approach, SFAS 123(R) (ASC 505-50) applies to new awards and to awards that were outstanding on January 1, 2006 that are subsequently modified, repurchased or cancelled. Under the modified prospective approach, compensation cost recognized in the first quarter of fiscal 2006 includes compensation cost for all share-based payments granted prior to, but not yet vested as of January 1, 2006 based on the grant-date fair value estimated in accordance with the original provisions of SFAS 123 (ASC 505-50), and compensation cost for all share-based payments granted subsequent to January 1, 2006 based on the grant-date fair value estimated in accordance with the provisions of SFAS 123(R) (ASC 505-50). For all quarters after the first quarter of fiscal 2006, compensation costs recognized will include the compensation costs for all share-based payments granted based on the grant date fair value estimated in accordance with the provisions of SFAS 123(R) (ASC 505-50).</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each option granted in 2008 is estimated on the date of grant using the Black-Scholes option-pricing model with the following weighted average assumptions: dividend yield of 0%, expected volatility of 150%, risk-free interest rate of 2.59% and expected life of 60 months. The Company recognized expense of $333,004 on the 365,000 options issued in 2008.</w:t>
      </w:r>
    </w:p>
    <w:p>
      <w:pPr>
        <w:spacing w:after="0" w:line="20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fair value of each option granted in 2009 is estimated on the date of grant using the Black-Scholes option-pricing model with the following weighted average assumptions: dividend yield of 0%, expected volatility of 44% to 233%, risk-free interest rate of .04% to .15% and expected life of 60 months. The Company recognized expense of $1,939,257 on the 1,050,000 options and warrants in 2009.</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w:t>
      </w:r>
      <w:r>
        <w:rPr>
          <w:rFonts w:ascii="Arial" w:cs="Arial" w:eastAsia="Arial" w:hAnsi="Arial"/>
          <w:sz w:val="18"/>
          <w:szCs w:val="18"/>
          <w:b w:val="1"/>
          <w:bCs w:val="1"/>
          <w:u w:val="single" w:color="auto"/>
          <w:color w:val="auto"/>
        </w:rPr>
        <w:t>Stock-Based Compensation (continued)</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2008, OptimizeRx issued 6,000,000 common stock warrants with an exercise price of $2 and a term of seven years in connection with the preferred stock issuance. These warrants were valued using the Black-Scholes pricing model at $14,160,000. The warrants are treated as a re-distribution of equity and are shown as a component of equity.</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2008, OptimizeRx issued 1,059,500 common stock warrants in exchange for services. These warrants were issued with exercise prices of either $1 or $2 and a term of five years. The Black-Scholes method was used to value these warrants at $2,745,280 and the warrants were expensed during 2008.</w:t>
      </w:r>
    </w:p>
    <w:p>
      <w:pPr>
        <w:spacing w:after="0" w:line="20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fair value of each warrant issued in 2008 was calculated on the date of grant using the Black-Scholes option-pricing model with the following weighted average assumptions: dividend yield of 0%, expected volatility of 6%, risk-free interest rate of 1.85% and expected life of 60 - 84 months.</w:t>
      </w:r>
    </w:p>
    <w:p>
      <w:pPr>
        <w:spacing w:after="0" w:line="17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the year ended December 31, 2009, the Company exchanged 173,000 common stock warrants with an exercise price of $1 and 108,908 common stock warrants with an exercise price of $2, for 365,908 shares of common stock in a cashless exchange. This exchange has been reflected in the Stockholders' equity for 2009.</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issued 300,000 stock warrants in connection with non-employee services. The Company also issued 750,000 options as part of employment agreements with various employees. The Company has accounted for these warrants as equity instruments in accordance with EITF 00-19 (ASC 815-40), Accounting for Derivative Financial Instruments Indexed to, and Potentially Settled in, a Company’s Own Stock, and as such, will be classified in stockholders’ equity as they meet the definition of “…indexed to the issuer’s stock” in EITF 01-06 (ASC 815-40) The Meaning of Indexed to a Company’s Own Stock. The Company has estimated the fair value of the options and warrants issued in connection with the non-employee services at $616,079, and the employment agreements at $1,323,178, as of December 31, 2009 using the Black-Scholes option pricing model.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11: </w:t>
      </w:r>
      <w:r>
        <w:rPr>
          <w:rFonts w:ascii="Arial" w:cs="Arial" w:eastAsia="Arial" w:hAnsi="Arial"/>
          <w:sz w:val="18"/>
          <w:szCs w:val="18"/>
          <w:b w:val="1"/>
          <w:bCs w:val="1"/>
          <w:u w:val="single" w:color="auto"/>
          <w:color w:val="auto"/>
        </w:rPr>
        <w:t>Related Party Transactions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a note payable to an officer of the Company (see Note 6) for $4,000 at December 31, 2008 that was repaid along with all accrued interest during the year ended December 31, 2009.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12: </w:t>
      </w:r>
      <w:r>
        <w:rPr>
          <w:rFonts w:ascii="Arial" w:cs="Arial" w:eastAsia="Arial" w:hAnsi="Arial"/>
          <w:sz w:val="18"/>
          <w:szCs w:val="18"/>
          <w:b w:val="1"/>
          <w:bCs w:val="1"/>
          <w:u w:val="single" w:color="auto"/>
          <w:color w:val="auto"/>
        </w:rPr>
        <w:t>Other Income (Expenses)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(expenses) consisted of the following at December 31:</w:t>
      </w:r>
    </w:p>
    <w:p>
      <w:pPr>
        <w:spacing w:after="0" w:line="248" w:lineRule="exact"/>
        <w:rPr>
          <w:sz w:val="20"/>
          <w:szCs w:val="20"/>
          <w:color w:val="auto"/>
        </w:rPr>
      </w:pPr>
    </w:p>
    <w:tbl>
      <w:tblPr>
        <w:tblLayout w:type="fixed"/>
        <w:tblInd w:w="50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2008</w:t>
            </w:r>
          </w:p>
        </w:tc>
      </w:tr>
      <w:tr>
        <w:trPr>
          <w:trHeight w:val="216"/>
        </w:trPr>
        <w:tc>
          <w:tcPr>
            <w:tcW w:w="20" w:type="dxa"/>
            <w:vAlign w:val="bottom"/>
          </w:tcPr>
          <w:p>
            <w:pPr>
              <w:spacing w:after="0"/>
              <w:rPr>
                <w:sz w:val="18"/>
                <w:szCs w:val="18"/>
                <w:color w:val="auto"/>
              </w:rPr>
            </w:pPr>
          </w:p>
        </w:tc>
        <w:tc>
          <w:tcPr>
            <w:tcW w:w="1780" w:type="dxa"/>
            <w:vAlign w:val="bottom"/>
            <w:shd w:val="clear" w:color="auto" w:fill="CBDBD1"/>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BDBD1"/>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30,189</w:t>
            </w:r>
          </w:p>
        </w:tc>
        <w:tc>
          <w:tcPr>
            <w:tcW w:w="240" w:type="dxa"/>
            <w:vAlign w:val="bottom"/>
            <w:shd w:val="clear" w:color="auto" w:fill="CBDBD1"/>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5,090</w:t>
            </w: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1,471</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1780" w:type="dxa"/>
            <w:vAlign w:val="bottom"/>
            <w:shd w:val="clear" w:color="auto" w:fill="CBDBD1"/>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BDBD1"/>
          </w:tcPr>
          <w:p>
            <w:pPr>
              <w:spacing w:after="0"/>
              <w:rPr>
                <w:sz w:val="18"/>
                <w:szCs w:val="18"/>
                <w:color w:val="auto"/>
              </w:rPr>
            </w:pPr>
          </w:p>
        </w:tc>
        <w:tc>
          <w:tcPr>
            <w:tcW w:w="108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(1,033)</w:t>
            </w:r>
          </w:p>
        </w:tc>
        <w:tc>
          <w:tcPr>
            <w:tcW w:w="240" w:type="dxa"/>
            <w:vAlign w:val="bottom"/>
            <w:shd w:val="clear" w:color="auto" w:fill="CBDBD1"/>
          </w:tcPr>
          <w:p>
            <w:pPr>
              <w:spacing w:after="0"/>
              <w:rPr>
                <w:sz w:val="18"/>
                <w:szCs w:val="18"/>
                <w:color w:val="auto"/>
              </w:rPr>
            </w:pPr>
          </w:p>
        </w:tc>
        <w:tc>
          <w:tcPr>
            <w:tcW w:w="10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(611)</w:t>
            </w:r>
          </w:p>
        </w:tc>
      </w:tr>
      <w:tr>
        <w:trPr>
          <w:trHeight w:val="223"/>
        </w:trPr>
        <w:tc>
          <w:tcPr>
            <w:tcW w:w="20" w:type="dxa"/>
            <w:vAlign w:val="bottom"/>
          </w:tcPr>
          <w:p>
            <w:pPr>
              <w:spacing w:after="0"/>
              <w:rPr>
                <w:sz w:val="19"/>
                <w:szCs w:val="19"/>
                <w:color w:val="auto"/>
              </w:rPr>
            </w:pPr>
          </w:p>
        </w:tc>
        <w:tc>
          <w:tcPr>
            <w:tcW w:w="1780" w:type="dxa"/>
            <w:vAlign w:val="bottom"/>
          </w:tcPr>
          <w:p>
            <w:pPr>
              <w:spacing w:after="0"/>
              <w:rPr>
                <w:sz w:val="20"/>
                <w:szCs w:val="20"/>
                <w:color w:val="auto"/>
              </w:rPr>
            </w:pPr>
            <w:r>
              <w:rPr>
                <w:rFonts w:ascii="Arial" w:cs="Arial" w:eastAsia="Arial" w:hAnsi="Arial"/>
                <w:sz w:val="18"/>
                <w:szCs w:val="18"/>
                <w:color w:val="auto"/>
                <w:w w:val="96"/>
              </w:rPr>
              <w:t>Stock warrant expense</w:t>
            </w:r>
          </w:p>
        </w:tc>
        <w:tc>
          <w:tcPr>
            <w:tcW w:w="2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(1,939,257)</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(2,745,280)</w:t>
            </w:r>
          </w:p>
        </w:tc>
      </w:tr>
      <w:tr>
        <w:trPr>
          <w:trHeight w:val="202"/>
        </w:trPr>
        <w:tc>
          <w:tcPr>
            <w:tcW w:w="20" w:type="dxa"/>
            <w:vAlign w:val="bottom"/>
          </w:tcPr>
          <w:p>
            <w:pPr>
              <w:spacing w:after="0"/>
              <w:rPr>
                <w:sz w:val="17"/>
                <w:szCs w:val="17"/>
                <w:color w:val="auto"/>
              </w:rPr>
            </w:pPr>
          </w:p>
        </w:tc>
        <w:tc>
          <w:tcPr>
            <w:tcW w:w="1780" w:type="dxa"/>
            <w:vAlign w:val="bottom"/>
            <w:shd w:val="clear" w:color="auto" w:fill="CBDBD1"/>
          </w:tcPr>
          <w:p>
            <w:pPr>
              <w:ind w:left="460"/>
              <w:spacing w:after="0" w:line="201" w:lineRule="exact"/>
              <w:rPr>
                <w:sz w:val="20"/>
                <w:szCs w:val="20"/>
                <w:color w:val="auto"/>
              </w:rPr>
            </w:pPr>
            <w:r>
              <w:rPr>
                <w:rFonts w:ascii="Arial" w:cs="Arial" w:eastAsia="Arial" w:hAnsi="Arial"/>
                <w:sz w:val="18"/>
                <w:szCs w:val="18"/>
                <w:color w:val="auto"/>
              </w:rPr>
              <w:t>Total other</w:t>
            </w:r>
          </w:p>
        </w:tc>
        <w:tc>
          <w:tcPr>
            <w:tcW w:w="240" w:type="dxa"/>
            <w:vAlign w:val="bottom"/>
            <w:tcBorders>
              <w:top w:val="single" w:sz="8" w:color="auto"/>
            </w:tcBorders>
            <w:shd w:val="clear" w:color="auto" w:fill="CBDBD1"/>
          </w:tcPr>
          <w:p>
            <w:pPr>
              <w:spacing w:after="0"/>
              <w:rPr>
                <w:sz w:val="17"/>
                <w:szCs w:val="17"/>
                <w:color w:val="auto"/>
              </w:rPr>
            </w:pPr>
          </w:p>
        </w:tc>
        <w:tc>
          <w:tcPr>
            <w:tcW w:w="1000" w:type="dxa"/>
            <w:vAlign w:val="bottom"/>
            <w:tcBorders>
              <w:top w:val="single" w:sz="8" w:color="auto"/>
            </w:tcBorders>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240" w:type="dxa"/>
            <w:vAlign w:val="bottom"/>
            <w:tcBorders>
              <w:top w:val="single" w:sz="8" w:color="auto"/>
            </w:tcBorders>
            <w:shd w:val="clear" w:color="auto" w:fill="CBDBD1"/>
          </w:tcPr>
          <w:p>
            <w:pPr>
              <w:spacing w:after="0"/>
              <w:rPr>
                <w:sz w:val="17"/>
                <w:szCs w:val="17"/>
                <w:color w:val="auto"/>
              </w:rPr>
            </w:pPr>
          </w:p>
        </w:tc>
        <w:tc>
          <w:tcPr>
            <w:tcW w:w="1000" w:type="dxa"/>
            <w:vAlign w:val="bottom"/>
            <w:tcBorders>
              <w:top w:val="single" w:sz="8" w:color="auto"/>
            </w:tcBorders>
            <w:shd w:val="clear" w:color="auto" w:fill="CBDBD1"/>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BDBD1"/>
          </w:tcPr>
          <w:p>
            <w:pPr>
              <w:ind w:left="460"/>
              <w:spacing w:after="0"/>
              <w:rPr>
                <w:sz w:val="20"/>
                <w:szCs w:val="20"/>
                <w:color w:val="auto"/>
              </w:rPr>
            </w:pPr>
            <w:r>
              <w:rPr>
                <w:rFonts w:ascii="Arial" w:cs="Arial" w:eastAsia="Arial" w:hAnsi="Arial"/>
                <w:sz w:val="18"/>
                <w:szCs w:val="18"/>
                <w:color w:val="auto"/>
              </w:rPr>
              <w:t>income</w:t>
            </w:r>
          </w:p>
        </w:tc>
        <w:tc>
          <w:tcPr>
            <w:tcW w:w="240" w:type="dxa"/>
            <w:vAlign w:val="bottom"/>
            <w:shd w:val="clear" w:color="auto" w:fill="CBDBD1"/>
          </w:tcPr>
          <w:p>
            <w:pPr>
              <w:spacing w:after="0"/>
              <w:rPr>
                <w:sz w:val="18"/>
                <w:szCs w:val="18"/>
                <w:color w:val="auto"/>
              </w:rPr>
            </w:pPr>
          </w:p>
        </w:tc>
        <w:tc>
          <w:tcPr>
            <w:tcW w:w="100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240" w:type="dxa"/>
            <w:vAlign w:val="bottom"/>
            <w:shd w:val="clear" w:color="auto" w:fill="CBDBD1"/>
          </w:tcPr>
          <w:p>
            <w:pPr>
              <w:spacing w:after="0"/>
              <w:rPr>
                <w:sz w:val="18"/>
                <w:szCs w:val="18"/>
                <w:color w:val="auto"/>
              </w:rPr>
            </w:pPr>
          </w:p>
        </w:tc>
        <w:tc>
          <w:tcPr>
            <w:tcW w:w="1000" w:type="dxa"/>
            <w:vAlign w:val="bottom"/>
            <w:shd w:val="clear" w:color="auto" w:fill="CBDBD1"/>
          </w:tcPr>
          <w:p>
            <w:pPr>
              <w:spacing w:after="0"/>
              <w:rPr>
                <w:sz w:val="18"/>
                <w:szCs w:val="18"/>
                <w:color w:val="auto"/>
              </w:rPr>
            </w:pPr>
          </w:p>
        </w:tc>
      </w:tr>
      <w:tr>
        <w:trPr>
          <w:trHeight w:val="271"/>
        </w:trPr>
        <w:tc>
          <w:tcPr>
            <w:tcW w:w="20" w:type="dxa"/>
            <w:vAlign w:val="bottom"/>
          </w:tcPr>
          <w:p>
            <w:pPr>
              <w:spacing w:after="0"/>
              <w:rPr>
                <w:sz w:val="23"/>
                <w:szCs w:val="23"/>
                <w:color w:val="auto"/>
              </w:rPr>
            </w:pPr>
          </w:p>
        </w:tc>
        <w:tc>
          <w:tcPr>
            <w:tcW w:w="1780" w:type="dxa"/>
            <w:vAlign w:val="bottom"/>
            <w:tcBorders>
              <w:bottom w:val="single" w:sz="8" w:color="CBDBD1"/>
            </w:tcBorders>
            <w:shd w:val="clear" w:color="auto" w:fill="CBDBD1"/>
          </w:tcPr>
          <w:p>
            <w:pPr>
              <w:ind w:left="460"/>
              <w:spacing w:after="0"/>
              <w:rPr>
                <w:sz w:val="20"/>
                <w:szCs w:val="20"/>
                <w:color w:val="auto"/>
              </w:rPr>
            </w:pPr>
            <w:r>
              <w:rPr>
                <w:rFonts w:ascii="Arial" w:cs="Arial" w:eastAsia="Arial" w:hAnsi="Arial"/>
                <w:sz w:val="18"/>
                <w:szCs w:val="18"/>
                <w:color w:val="auto"/>
              </w:rPr>
              <w:t>(expenses)</w:t>
            </w:r>
          </w:p>
        </w:tc>
        <w:tc>
          <w:tcPr>
            <w:tcW w:w="240" w:type="dxa"/>
            <w:vAlign w:val="bottom"/>
            <w:tcBorders>
              <w:bottom w:val="single" w:sz="8" w:color="auto"/>
            </w:tcBorders>
            <w:shd w:val="clear" w:color="auto" w:fill="CBDBD1"/>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(1,908,630)</w:t>
            </w:r>
          </w:p>
        </w:tc>
        <w:tc>
          <w:tcPr>
            <w:tcW w:w="80" w:type="dxa"/>
            <w:vAlign w:val="bottom"/>
            <w:tcBorders>
              <w:bottom w:val="single" w:sz="8" w:color="CBDBD1"/>
            </w:tcBorders>
            <w:shd w:val="clear" w:color="auto" w:fill="CBDBD1"/>
          </w:tcPr>
          <w:p>
            <w:pPr>
              <w:spacing w:after="0"/>
              <w:rPr>
                <w:sz w:val="23"/>
                <w:szCs w:val="23"/>
                <w:color w:val="auto"/>
              </w:rPr>
            </w:pPr>
          </w:p>
        </w:tc>
        <w:tc>
          <w:tcPr>
            <w:tcW w:w="240" w:type="dxa"/>
            <w:vAlign w:val="bottom"/>
            <w:tcBorders>
              <w:bottom w:val="single" w:sz="8" w:color="auto"/>
            </w:tcBorders>
            <w:shd w:val="clear" w:color="auto" w:fill="CBDBD1"/>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(2,740,801)</w:t>
            </w: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13: </w:t>
      </w:r>
      <w:r>
        <w:rPr>
          <w:rFonts w:ascii="Arial" w:cs="Arial" w:eastAsia="Arial" w:hAnsi="Arial"/>
          <w:sz w:val="18"/>
          <w:szCs w:val="18"/>
          <w:b w:val="1"/>
          <w:bCs w:val="1"/>
          <w:u w:val="single" w:color="auto"/>
          <w:color w:val="auto"/>
        </w:rPr>
        <w:t>Income Taxes</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the year ended December 31, 2009, the Company incurred a net loss of approximately $4,556,000 and therefore has no tax liability. The Company began operations in 2007 and has previous net operating loss carry-forwards of $1,513,000 through December 31, 2008. The cumulative loss of approximately $9,350,000 will be carried forward and can be used through the year 2028 to offset future taxable income. In the future, the cumulative net operating loss carry-forward for income tax purposes may differ from the cumulative financial statement loss due to timing differences between book and tax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cumulative tax effect at the expected rate of 34% of significant items comprising our net deferred tax amount is as follows:</w:t>
      </w:r>
    </w:p>
    <w:p>
      <w:pPr>
        <w:spacing w:after="0" w:line="248" w:lineRule="exact"/>
        <w:rPr>
          <w:sz w:val="20"/>
          <w:szCs w:val="20"/>
          <w:color w:val="auto"/>
        </w:rPr>
      </w:pPr>
    </w:p>
    <w:tbl>
      <w:tblPr>
        <w:tblLayout w:type="fixed"/>
        <w:tblInd w:w="500" w:type="dxa"/>
        <w:tblCellMar>
          <w:top w:w="0" w:type="dxa"/>
          <w:left w:w="0" w:type="dxa"/>
          <w:bottom w:w="0" w:type="dxa"/>
          <w:right w:w="0" w:type="dxa"/>
        </w:tblCellMar>
      </w:tblPr>
      <w:tr>
        <w:trPr>
          <w:trHeight w:val="241"/>
        </w:trPr>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2008</w:t>
            </w:r>
          </w:p>
        </w:tc>
      </w:tr>
      <w:tr>
        <w:trPr>
          <w:trHeight w:val="202"/>
        </w:trPr>
        <w:tc>
          <w:tcPr>
            <w:tcW w:w="1540" w:type="dxa"/>
            <w:vAlign w:val="bottom"/>
          </w:tcPr>
          <w:p>
            <w:pPr>
              <w:spacing w:after="0" w:line="201" w:lineRule="exact"/>
              <w:rPr>
                <w:sz w:val="20"/>
                <w:szCs w:val="20"/>
                <w:color w:val="auto"/>
              </w:rPr>
            </w:pPr>
            <w:r>
              <w:rPr>
                <w:rFonts w:ascii="Arial" w:cs="Arial" w:eastAsia="Arial" w:hAnsi="Arial"/>
                <w:sz w:val="18"/>
                <w:szCs w:val="18"/>
                <w:color w:val="auto"/>
              </w:rPr>
              <w:t>Deferred tax asset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attributable to:</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02"/>
        </w:trPr>
        <w:tc>
          <w:tcPr>
            <w:tcW w:w="154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rPr>
              <w:t>Net operating loss</w:t>
            </w:r>
          </w:p>
        </w:tc>
        <w:tc>
          <w:tcPr>
            <w:tcW w:w="80" w:type="dxa"/>
            <w:vAlign w:val="bottom"/>
            <w:shd w:val="clear" w:color="auto" w:fill="CBDBD1"/>
          </w:tcPr>
          <w:p>
            <w:pPr>
              <w:spacing w:after="0"/>
              <w:rPr>
                <w:sz w:val="17"/>
                <w:szCs w:val="17"/>
                <w:color w:val="auto"/>
              </w:rPr>
            </w:pPr>
          </w:p>
        </w:tc>
        <w:tc>
          <w:tcPr>
            <w:tcW w:w="280" w:type="dxa"/>
            <w:vAlign w:val="bottom"/>
            <w:shd w:val="clear" w:color="auto" w:fill="CBDBD1"/>
          </w:tcPr>
          <w:p>
            <w:pPr>
              <w:spacing w:after="0"/>
              <w:rPr>
                <w:sz w:val="17"/>
                <w:szCs w:val="17"/>
                <w:color w:val="auto"/>
              </w:rPr>
            </w:pPr>
          </w:p>
        </w:tc>
        <w:tc>
          <w:tcPr>
            <w:tcW w:w="10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300" w:type="dxa"/>
            <w:vAlign w:val="bottom"/>
            <w:shd w:val="clear" w:color="auto" w:fill="CBDBD1"/>
          </w:tcPr>
          <w:p>
            <w:pPr>
              <w:spacing w:after="0"/>
              <w:rPr>
                <w:sz w:val="17"/>
                <w:szCs w:val="17"/>
                <w:color w:val="auto"/>
              </w:rPr>
            </w:pPr>
          </w:p>
        </w:tc>
        <w:tc>
          <w:tcPr>
            <w:tcW w:w="1060" w:type="dxa"/>
            <w:vAlign w:val="bottom"/>
            <w:shd w:val="clear" w:color="auto" w:fill="CBDBD1"/>
          </w:tcPr>
          <w:p>
            <w:pPr>
              <w:spacing w:after="0"/>
              <w:rPr>
                <w:sz w:val="17"/>
                <w:szCs w:val="17"/>
                <w:color w:val="auto"/>
              </w:rPr>
            </w:pPr>
          </w:p>
        </w:tc>
      </w:tr>
      <w:tr>
        <w:trPr>
          <w:trHeight w:val="230"/>
        </w:trPr>
        <w:tc>
          <w:tcPr>
            <w:tcW w:w="1540" w:type="dxa"/>
            <w:vAlign w:val="bottom"/>
            <w:shd w:val="clear" w:color="auto" w:fill="CBDBD1"/>
          </w:tcPr>
          <w:p>
            <w:pPr>
              <w:spacing w:after="0"/>
              <w:rPr>
                <w:sz w:val="20"/>
                <w:szCs w:val="20"/>
                <w:color w:val="auto"/>
              </w:rPr>
            </w:pPr>
            <w:r>
              <w:rPr>
                <w:rFonts w:ascii="Arial" w:cs="Arial" w:eastAsia="Arial" w:hAnsi="Arial"/>
                <w:sz w:val="18"/>
                <w:szCs w:val="18"/>
                <w:color w:val="auto"/>
              </w:rPr>
              <w:t>carryover</w:t>
            </w:r>
          </w:p>
        </w:tc>
        <w:tc>
          <w:tcPr>
            <w:tcW w:w="360" w:type="dxa"/>
            <w:vAlign w:val="bottom"/>
            <w:gridSpan w:val="2"/>
            <w:shd w:val="clear" w:color="auto" w:fill="CBDBD1"/>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3,179,000</w:t>
            </w:r>
          </w:p>
        </w:tc>
        <w:tc>
          <w:tcPr>
            <w:tcW w:w="380" w:type="dxa"/>
            <w:vAlign w:val="bottom"/>
            <w:gridSpan w:val="2"/>
            <w:shd w:val="clear" w:color="auto" w:fill="CBDBD1"/>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1,513,000</w:t>
            </w:r>
          </w:p>
        </w:tc>
      </w:tr>
      <w:tr>
        <w:trPr>
          <w:trHeight w:val="223"/>
        </w:trPr>
        <w:tc>
          <w:tcPr>
            <w:tcW w:w="1540" w:type="dxa"/>
            <w:vAlign w:val="bottom"/>
          </w:tcPr>
          <w:p>
            <w:pPr>
              <w:spacing w:after="0"/>
              <w:rPr>
                <w:sz w:val="20"/>
                <w:szCs w:val="20"/>
                <w:color w:val="auto"/>
              </w:rPr>
            </w:pPr>
            <w:r>
              <w:rPr>
                <w:rFonts w:ascii="Arial" w:cs="Arial" w:eastAsia="Arial" w:hAnsi="Arial"/>
                <w:sz w:val="18"/>
                <w:szCs w:val="18"/>
                <w:color w:val="auto"/>
                <w:w w:val="94"/>
              </w:rPr>
              <w:t>Valuation allowance</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(3,179,000)</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(1,513,000)</w:t>
            </w:r>
          </w:p>
        </w:tc>
      </w:tr>
      <w:tr>
        <w:trPr>
          <w:trHeight w:val="202"/>
        </w:trPr>
        <w:tc>
          <w:tcPr>
            <w:tcW w:w="1540" w:type="dxa"/>
            <w:vAlign w:val="bottom"/>
            <w:shd w:val="clear" w:color="auto" w:fill="CBDBD1"/>
          </w:tcPr>
          <w:p>
            <w:pPr>
              <w:ind w:left="160"/>
              <w:spacing w:after="0" w:line="201" w:lineRule="exact"/>
              <w:rPr>
                <w:sz w:val="20"/>
                <w:szCs w:val="20"/>
                <w:color w:val="auto"/>
              </w:rPr>
            </w:pPr>
            <w:r>
              <w:rPr>
                <w:rFonts w:ascii="Arial" w:cs="Arial" w:eastAsia="Arial" w:hAnsi="Arial"/>
                <w:sz w:val="18"/>
                <w:szCs w:val="18"/>
                <w:color w:val="auto"/>
              </w:rPr>
              <w:t>Net deferred tax</w:t>
            </w:r>
          </w:p>
        </w:tc>
        <w:tc>
          <w:tcPr>
            <w:tcW w:w="80" w:type="dxa"/>
            <w:vAlign w:val="bottom"/>
            <w:shd w:val="clear" w:color="auto" w:fill="CBDBD1"/>
          </w:tcPr>
          <w:p>
            <w:pPr>
              <w:spacing w:after="0"/>
              <w:rPr>
                <w:sz w:val="17"/>
                <w:szCs w:val="17"/>
                <w:color w:val="auto"/>
              </w:rPr>
            </w:pPr>
          </w:p>
        </w:tc>
        <w:tc>
          <w:tcPr>
            <w:tcW w:w="280" w:type="dxa"/>
            <w:vAlign w:val="bottom"/>
            <w:shd w:val="clear" w:color="auto" w:fill="CBDBD1"/>
          </w:tcPr>
          <w:p>
            <w:pPr>
              <w:spacing w:after="0"/>
              <w:rPr>
                <w:sz w:val="17"/>
                <w:szCs w:val="17"/>
                <w:color w:val="auto"/>
              </w:rPr>
            </w:pPr>
          </w:p>
        </w:tc>
        <w:tc>
          <w:tcPr>
            <w:tcW w:w="10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300" w:type="dxa"/>
            <w:vAlign w:val="bottom"/>
            <w:shd w:val="clear" w:color="auto" w:fill="CBDBD1"/>
          </w:tcPr>
          <w:p>
            <w:pPr>
              <w:spacing w:after="0"/>
              <w:rPr>
                <w:sz w:val="17"/>
                <w:szCs w:val="17"/>
                <w:color w:val="auto"/>
              </w:rPr>
            </w:pPr>
          </w:p>
        </w:tc>
        <w:tc>
          <w:tcPr>
            <w:tcW w:w="1060" w:type="dxa"/>
            <w:vAlign w:val="bottom"/>
            <w:shd w:val="clear" w:color="auto" w:fill="CBDBD1"/>
          </w:tcPr>
          <w:p>
            <w:pPr>
              <w:spacing w:after="0"/>
              <w:rPr>
                <w:sz w:val="17"/>
                <w:szCs w:val="17"/>
                <w:color w:val="auto"/>
              </w:rPr>
            </w:pPr>
          </w:p>
        </w:tc>
      </w:tr>
      <w:tr>
        <w:trPr>
          <w:trHeight w:val="251"/>
        </w:trPr>
        <w:tc>
          <w:tcPr>
            <w:tcW w:w="1540" w:type="dxa"/>
            <w:vAlign w:val="bottom"/>
            <w:shd w:val="clear" w:color="auto" w:fill="CBDBD1"/>
          </w:tcPr>
          <w:p>
            <w:pPr>
              <w:ind w:left="160"/>
              <w:spacing w:after="0"/>
              <w:rPr>
                <w:sz w:val="20"/>
                <w:szCs w:val="20"/>
                <w:color w:val="auto"/>
              </w:rPr>
            </w:pPr>
            <w:r>
              <w:rPr>
                <w:rFonts w:ascii="Arial" w:cs="Arial" w:eastAsia="Arial" w:hAnsi="Arial"/>
                <w:sz w:val="18"/>
                <w:szCs w:val="18"/>
                <w:color w:val="auto"/>
              </w:rPr>
              <w:t>asset</w:t>
            </w:r>
          </w:p>
        </w:tc>
        <w:tc>
          <w:tcPr>
            <w:tcW w:w="360" w:type="dxa"/>
            <w:vAlign w:val="bottom"/>
            <w:gridSpan w:val="2"/>
            <w:shd w:val="clear" w:color="auto" w:fill="CBDBD1"/>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BDBD1"/>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540" w:type="dxa"/>
            <w:vAlign w:val="bottom"/>
            <w:tcBorders>
              <w:top w:val="single" w:sz="8" w:color="CBDBD1"/>
            </w:tcBorders>
            <w:shd w:val="clear" w:color="auto" w:fill="CBDBD1"/>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14: </w:t>
      </w:r>
      <w:r>
        <w:rPr>
          <w:rFonts w:ascii="Arial" w:cs="Arial" w:eastAsia="Arial" w:hAnsi="Arial"/>
          <w:sz w:val="18"/>
          <w:szCs w:val="18"/>
          <w:b w:val="1"/>
          <w:bCs w:val="1"/>
          <w:u w:val="single" w:color="auto"/>
          <w:color w:val="auto"/>
        </w:rPr>
        <w:t>Going Concern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The Company has sustained substantial losses since inception.</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view of this matter, the ability of the Company to continue as a going concern is dependent upon growth of revenues and the ability of the Company to raise additional capital. Management believes that its successful ability to raise capital and increases in revenues will provide the opportunity for the Company to continue as a going concern.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15: </w:t>
      </w:r>
      <w:r>
        <w:rPr>
          <w:rFonts w:ascii="Arial" w:cs="Arial" w:eastAsia="Arial" w:hAnsi="Arial"/>
          <w:sz w:val="18"/>
          <w:szCs w:val="18"/>
          <w:b w:val="1"/>
          <w:bCs w:val="1"/>
          <w:u w:val="single" w:color="auto"/>
          <w:color w:val="auto"/>
        </w:rPr>
        <w:t>Subsequent Events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analyzed its operations subsequent to December 31, 2009 through the date these financial statements were filed with the Securities and Exchange Commission and has determined that it does not have any material subsequent events to disclose.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 events occurred requiring disclosure under Item 307 and 308 of Regulation S-K during the fiscal year ending December 31, 2009.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9A(T).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we conducted an evaluation of the effectiveness, as of December 31, 2009, of our disclosure controls and procedures, as defined in Rules 13a-15(e) and 15d-15(e) under the Securities Exchange Act of 1934, as amended, or the Exchange Act. The purpose of this evaluation was to determine whether as of the evaluation date our disclosure controls and procedures were effective to provide reasonable assurance that the information we are required to disclose in our filings with the Securities and Exchange Commission, or SEC, under the Exchange Act (i) is recorded, processed, summarized and reported within the time periods specified in the SEC’s rules and forms and (ii) accumulated and communicated to our management, including our chief executive officer and chief financial officer, as appropriate to allow timely decisions regarding required disclosure. Based on their evaluation, our management has concluded, as discussed below, that a material weakness existed in our internal control over financial reporting as of December 31, 2009 and as a result our disclosures controls and procedures were not effective.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56"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13a-15(e) and 15d-15(f) of the Exchange Act. We have designed our internal controls to provide reasonable, but not absolute, assurance that our financial statements are prepared in accordance with U.S. GAAP. We assess the effectiveness of our internal controls based on the criteria set forth in the Internal Control — Integrated Framework developed by the Committee of Sponsoring Organizations of the Treadway Commission. In performing the assessment, our management identified a material weakness in internal control over financial reporting as of December 31, 2009. Specifically, we had the following significant deficiencies at December 31, 2009:</w:t>
      </w:r>
    </w:p>
    <w:p>
      <w:pPr>
        <w:spacing w:after="0" w:line="220" w:lineRule="exact"/>
        <w:rPr>
          <w:sz w:val="20"/>
          <w:szCs w:val="20"/>
          <w:color w:val="auto"/>
        </w:rPr>
      </w:pPr>
    </w:p>
    <w:p>
      <w:pPr>
        <w:jc w:val="both"/>
        <w:ind w:left="660" w:hanging="184"/>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currently only has one employee to oversee bank reconciliations, posting payables, and so forth, so there are no checks and balances on internal controls. Mr. David Lester recently assumed responsibilities for the company as the sole officer. Prior officers of the company have not implemented checks and balances on internal controls.</w:t>
      </w:r>
    </w:p>
    <w:p>
      <w:pPr>
        <w:spacing w:after="0" w:line="2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Due to this material weakness, management has concluded that our internal control over financial reporting was not effective as of December 31, 2009.</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w:t>
      </w:r>
    </w:p>
    <w:p>
      <w:pPr>
        <w:spacing w:after="0" w:line="256"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In the first quarter 2009, the company engaged the accounting firm of Tama, Budja &amp; Raab, P.C to assist on the preparation of quarterly and annual financials. The firm also plans to assist the company with Quickbooks assistance. The company plans to remedy internal control weaknesses during 2010.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 Attestation</w:t>
      </w:r>
    </w:p>
    <w:p>
      <w:pPr>
        <w:spacing w:after="0" w:line="25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This annual report does not include an attestation report of the company's registered public accounting firm regarding internal control over financial reporting. Management's report was not subject to attestation by the company's registered public accounting firm pursuant to temporary rules of the Securities and Exchange Commission that permit the company to provide only management's report in this annual report.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During the most recently completed fiscal quarter, there has been no change in our internal control over financial reporting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 on the Effectiveness of Internal Controls</w:t>
      </w:r>
    </w:p>
    <w:p>
      <w:pPr>
        <w:spacing w:after="0" w:line="25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sets forth the names, ages, and positions of our current directors and executive officers as of December 31, 2009.</w:t>
      </w:r>
    </w:p>
    <w:p>
      <w:pPr>
        <w:spacing w:after="0" w:line="235" w:lineRule="exact"/>
        <w:rPr>
          <w:sz w:val="20"/>
          <w:szCs w:val="20"/>
          <w:color w:val="auto"/>
        </w:rPr>
      </w:pPr>
    </w:p>
    <w:tbl>
      <w:tblPr>
        <w:tblLayout w:type="fixed"/>
        <w:tblInd w:w="3440" w:type="dxa"/>
        <w:tblCellMar>
          <w:top w:w="0" w:type="dxa"/>
          <w:left w:w="0" w:type="dxa"/>
          <w:bottom w:w="0" w:type="dxa"/>
          <w:right w:w="0" w:type="dxa"/>
        </w:tblCellMar>
      </w:tblPr>
      <w:tr>
        <w:trPr>
          <w:trHeight w:val="207"/>
        </w:trPr>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420" w:type="dxa"/>
            <w:vAlign w:val="bottom"/>
            <w:gridSpan w:val="3"/>
          </w:tcPr>
          <w:p>
            <w:pPr>
              <w:ind w:left="80"/>
              <w:spacing w:after="0"/>
              <w:rPr>
                <w:sz w:val="20"/>
                <w:szCs w:val="20"/>
                <w:color w:val="auto"/>
              </w:rPr>
            </w:pPr>
            <w:r>
              <w:rPr>
                <w:rFonts w:ascii="Arial" w:cs="Arial" w:eastAsia="Arial" w:hAnsi="Arial"/>
                <w:sz w:val="18"/>
                <w:szCs w:val="18"/>
                <w:b w:val="1"/>
                <w:bCs w:val="1"/>
                <w:color w:val="auto"/>
                <w:w w:val="93"/>
              </w:rPr>
              <w:t>Age</w:t>
            </w:r>
          </w:p>
        </w:tc>
        <w:tc>
          <w:tcPr>
            <w:tcW w:w="2860" w:type="dxa"/>
            <w:vAlign w:val="bottom"/>
            <w:gridSpan w:val="3"/>
          </w:tcPr>
          <w:p>
            <w:pPr>
              <w:ind w:left="40"/>
              <w:spacing w:after="0"/>
              <w:rPr>
                <w:sz w:val="20"/>
                <w:szCs w:val="20"/>
                <w:color w:val="auto"/>
              </w:rPr>
            </w:pPr>
            <w:r>
              <w:rPr>
                <w:rFonts w:ascii="Arial" w:cs="Arial" w:eastAsia="Arial" w:hAnsi="Arial"/>
                <w:sz w:val="18"/>
                <w:szCs w:val="18"/>
                <w:b w:val="1"/>
                <w:bCs w:val="1"/>
                <w:color w:val="auto"/>
              </w:rPr>
              <w:t>Position(s) and Office(s) Held</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gridSpan w:val="2"/>
            <w:shd w:val="clear" w:color="auto" w:fill="CBDBD1"/>
          </w:tcPr>
          <w:p>
            <w:pPr>
              <w:spacing w:after="0"/>
              <w:rPr>
                <w:sz w:val="20"/>
                <w:szCs w:val="20"/>
                <w:color w:val="auto"/>
              </w:rPr>
            </w:pPr>
            <w:r>
              <w:rPr>
                <w:rFonts w:ascii="Arial" w:cs="Arial" w:eastAsia="Arial" w:hAnsi="Arial"/>
                <w:sz w:val="18"/>
                <w:szCs w:val="18"/>
                <w:color w:val="auto"/>
              </w:rPr>
              <w:t>David Lester</w:t>
            </w:r>
          </w:p>
        </w:tc>
        <w:tc>
          <w:tcPr>
            <w:tcW w:w="380" w:type="dxa"/>
            <w:vAlign w:val="bottom"/>
            <w:gridSpan w:val="2"/>
            <w:shd w:val="clear" w:color="auto" w:fill="CBDBD1"/>
          </w:tcPr>
          <w:p>
            <w:pPr>
              <w:ind w:left="80"/>
              <w:spacing w:after="0"/>
              <w:rPr>
                <w:sz w:val="20"/>
                <w:szCs w:val="20"/>
                <w:color w:val="auto"/>
              </w:rPr>
            </w:pPr>
            <w:r>
              <w:rPr>
                <w:rFonts w:ascii="Arial" w:cs="Arial" w:eastAsia="Arial" w:hAnsi="Arial"/>
                <w:sz w:val="18"/>
                <w:szCs w:val="18"/>
                <w:color w:val="auto"/>
              </w:rPr>
              <w:t>52</w:t>
            </w:r>
          </w:p>
        </w:tc>
        <w:tc>
          <w:tcPr>
            <w:tcW w:w="40" w:type="dxa"/>
            <w:vAlign w:val="bottom"/>
            <w:shd w:val="clear" w:color="auto" w:fill="CBDBD1"/>
          </w:tcPr>
          <w:p>
            <w:pPr>
              <w:spacing w:after="0"/>
              <w:rPr>
                <w:sz w:val="18"/>
                <w:szCs w:val="18"/>
                <w:color w:val="auto"/>
              </w:rPr>
            </w:pPr>
          </w:p>
        </w:tc>
        <w:tc>
          <w:tcPr>
            <w:tcW w:w="2860" w:type="dxa"/>
            <w:vAlign w:val="bottom"/>
            <w:gridSpan w:val="3"/>
            <w:shd w:val="clear" w:color="auto" w:fill="CBDBD1"/>
          </w:tcPr>
          <w:p>
            <w:pPr>
              <w:ind w:left="40"/>
              <w:spacing w:after="0"/>
              <w:rPr>
                <w:sz w:val="20"/>
                <w:szCs w:val="20"/>
                <w:color w:val="auto"/>
              </w:rPr>
            </w:pPr>
            <w:r>
              <w:rPr>
                <w:rFonts w:ascii="Arial" w:cs="Arial" w:eastAsia="Arial" w:hAnsi="Arial"/>
                <w:sz w:val="18"/>
                <w:szCs w:val="18"/>
                <w:color w:val="auto"/>
                <w:w w:val="97"/>
              </w:rPr>
              <w:t>Chief Executive Officer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w w:val="98"/>
              </w:rPr>
              <w:t>David A. Harrell</w:t>
            </w:r>
          </w:p>
        </w:tc>
        <w:tc>
          <w:tcPr>
            <w:tcW w:w="380" w:type="dxa"/>
            <w:vAlign w:val="bottom"/>
            <w:gridSpan w:val="2"/>
          </w:tcPr>
          <w:p>
            <w:pPr>
              <w:ind w:left="8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8"/>
                <w:szCs w:val="18"/>
                <w:color w:val="auto"/>
              </w:rPr>
            </w:pPr>
          </w:p>
        </w:tc>
        <w:tc>
          <w:tcPr>
            <w:tcW w:w="2860" w:type="dxa"/>
            <w:vAlign w:val="bottom"/>
            <w:gridSpan w:val="3"/>
          </w:tcPr>
          <w:p>
            <w:pPr>
              <w:ind w:left="40"/>
              <w:spacing w:after="0"/>
              <w:rPr>
                <w:sz w:val="20"/>
                <w:szCs w:val="20"/>
                <w:color w:val="auto"/>
              </w:rPr>
            </w:pPr>
            <w:r>
              <w:rPr>
                <w:rFonts w:ascii="Arial" w:cs="Arial" w:eastAsia="Arial" w:hAnsi="Arial"/>
                <w:sz w:val="18"/>
                <w:szCs w:val="18"/>
                <w:color w:val="auto"/>
              </w:rPr>
              <w:t>Chairman and Director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60" w:type="dxa"/>
            <w:vAlign w:val="bottom"/>
            <w:gridSpan w:val="2"/>
            <w:shd w:val="clear" w:color="auto" w:fill="CBDBD1"/>
          </w:tcPr>
          <w:p>
            <w:pPr>
              <w:spacing w:after="0" w:line="201" w:lineRule="exact"/>
              <w:rPr>
                <w:sz w:val="20"/>
                <w:szCs w:val="20"/>
                <w:color w:val="auto"/>
              </w:rPr>
            </w:pPr>
            <w:r>
              <w:rPr>
                <w:rFonts w:ascii="Arial" w:cs="Arial" w:eastAsia="Arial" w:hAnsi="Arial"/>
                <w:sz w:val="18"/>
                <w:szCs w:val="18"/>
                <w:color w:val="auto"/>
              </w:rPr>
              <w:t>Thomas E.</w:t>
            </w:r>
          </w:p>
        </w:tc>
        <w:tc>
          <w:tcPr>
            <w:tcW w:w="80" w:type="dxa"/>
            <w:vAlign w:val="bottom"/>
            <w:shd w:val="clear" w:color="auto" w:fill="CBDBD1"/>
          </w:tcPr>
          <w:p>
            <w:pPr>
              <w:spacing w:after="0"/>
              <w:rPr>
                <w:sz w:val="17"/>
                <w:szCs w:val="17"/>
                <w:color w:val="auto"/>
              </w:rPr>
            </w:pPr>
          </w:p>
        </w:tc>
        <w:tc>
          <w:tcPr>
            <w:tcW w:w="300" w:type="dxa"/>
            <w:vAlign w:val="bottom"/>
            <w:shd w:val="clear" w:color="auto" w:fill="CBDBD1"/>
          </w:tcPr>
          <w:p>
            <w:pPr>
              <w:spacing w:after="0"/>
              <w:rPr>
                <w:sz w:val="17"/>
                <w:szCs w:val="17"/>
                <w:color w:val="auto"/>
              </w:rPr>
            </w:pPr>
          </w:p>
        </w:tc>
        <w:tc>
          <w:tcPr>
            <w:tcW w:w="40" w:type="dxa"/>
            <w:vAlign w:val="bottom"/>
            <w:shd w:val="clear" w:color="auto" w:fill="CBDBD1"/>
          </w:tcPr>
          <w:p>
            <w:pPr>
              <w:spacing w:after="0"/>
              <w:rPr>
                <w:sz w:val="17"/>
                <w:szCs w:val="17"/>
                <w:color w:val="auto"/>
              </w:rPr>
            </w:pPr>
          </w:p>
        </w:tc>
        <w:tc>
          <w:tcPr>
            <w:tcW w:w="40" w:type="dxa"/>
            <w:vAlign w:val="bottom"/>
            <w:shd w:val="clear" w:color="auto" w:fill="CBDBD1"/>
          </w:tcPr>
          <w:p>
            <w:pPr>
              <w:spacing w:after="0"/>
              <w:rPr>
                <w:sz w:val="17"/>
                <w:szCs w:val="17"/>
                <w:color w:val="auto"/>
              </w:rPr>
            </w:pPr>
          </w:p>
        </w:tc>
        <w:tc>
          <w:tcPr>
            <w:tcW w:w="2280" w:type="dxa"/>
            <w:vAlign w:val="bottom"/>
            <w:shd w:val="clear" w:color="auto" w:fill="CBDBD1"/>
          </w:tcPr>
          <w:p>
            <w:pPr>
              <w:spacing w:after="0"/>
              <w:rPr>
                <w:sz w:val="17"/>
                <w:szCs w:val="17"/>
                <w:color w:val="auto"/>
              </w:rPr>
            </w:pPr>
          </w:p>
        </w:tc>
        <w:tc>
          <w:tcPr>
            <w:tcW w:w="540" w:type="dxa"/>
            <w:vAlign w:val="bottom"/>
            <w:shd w:val="clear" w:color="auto" w:fill="CBDBD1"/>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gridSpan w:val="2"/>
            <w:shd w:val="clear" w:color="auto" w:fill="CBDBD1"/>
          </w:tcPr>
          <w:p>
            <w:pPr>
              <w:spacing w:after="0"/>
              <w:rPr>
                <w:sz w:val="20"/>
                <w:szCs w:val="20"/>
                <w:color w:val="auto"/>
              </w:rPr>
            </w:pPr>
            <w:r>
              <w:rPr>
                <w:rFonts w:ascii="Arial" w:cs="Arial" w:eastAsia="Arial" w:hAnsi="Arial"/>
                <w:sz w:val="18"/>
                <w:szCs w:val="18"/>
                <w:color w:val="auto"/>
              </w:rPr>
              <w:t>Majerowicz</w:t>
            </w:r>
          </w:p>
        </w:tc>
        <w:tc>
          <w:tcPr>
            <w:tcW w:w="380" w:type="dxa"/>
            <w:vAlign w:val="bottom"/>
            <w:gridSpan w:val="2"/>
            <w:shd w:val="clear" w:color="auto" w:fill="CBDBD1"/>
          </w:tcPr>
          <w:p>
            <w:pPr>
              <w:ind w:left="80"/>
              <w:spacing w:after="0"/>
              <w:rPr>
                <w:sz w:val="20"/>
                <w:szCs w:val="20"/>
                <w:color w:val="auto"/>
              </w:rPr>
            </w:pPr>
            <w:r>
              <w:rPr>
                <w:rFonts w:ascii="Arial" w:cs="Arial" w:eastAsia="Arial" w:hAnsi="Arial"/>
                <w:sz w:val="18"/>
                <w:szCs w:val="18"/>
                <w:color w:val="auto"/>
              </w:rPr>
              <w:t>58</w:t>
            </w:r>
          </w:p>
        </w:tc>
        <w:tc>
          <w:tcPr>
            <w:tcW w:w="40" w:type="dxa"/>
            <w:vAlign w:val="bottom"/>
            <w:shd w:val="clear" w:color="auto" w:fill="CBDBD1"/>
          </w:tcPr>
          <w:p>
            <w:pPr>
              <w:spacing w:after="0"/>
              <w:rPr>
                <w:sz w:val="20"/>
                <w:szCs w:val="20"/>
                <w:color w:val="auto"/>
              </w:rPr>
            </w:pPr>
          </w:p>
        </w:tc>
        <w:tc>
          <w:tcPr>
            <w:tcW w:w="2860" w:type="dxa"/>
            <w:vAlign w:val="bottom"/>
            <w:gridSpan w:val="3"/>
            <w:shd w:val="clear" w:color="auto" w:fill="CBDBD1"/>
          </w:tcPr>
          <w:p>
            <w:pPr>
              <w:ind w:left="40"/>
              <w:spacing w:after="0"/>
              <w:rPr>
                <w:sz w:val="20"/>
                <w:szCs w:val="20"/>
                <w:color w:val="auto"/>
              </w:rPr>
            </w:pPr>
            <w:r>
              <w:rPr>
                <w:rFonts w:ascii="Arial" w:cs="Arial" w:eastAsia="Arial" w:hAnsi="Arial"/>
                <w:sz w:val="18"/>
                <w:szCs w:val="18"/>
                <w:color w:val="auto"/>
              </w:rPr>
              <w:t>Secretary and Director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60" w:type="dxa"/>
            <w:vAlign w:val="bottom"/>
            <w:gridSpan w:val="2"/>
          </w:tcPr>
          <w:p>
            <w:pPr>
              <w:spacing w:after="0" w:line="201" w:lineRule="exact"/>
              <w:rPr>
                <w:sz w:val="20"/>
                <w:szCs w:val="20"/>
                <w:color w:val="auto"/>
              </w:rPr>
            </w:pPr>
            <w:r>
              <w:rPr>
                <w:rFonts w:ascii="Arial" w:cs="Arial" w:eastAsia="Arial" w:hAnsi="Arial"/>
                <w:sz w:val="18"/>
                <w:szCs w:val="18"/>
                <w:color w:val="auto"/>
              </w:rPr>
              <w:t>Terence J.</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80" w:type="dxa"/>
            <w:vAlign w:val="bottom"/>
            <w:gridSpan w:val="3"/>
          </w:tcPr>
          <w:p>
            <w:pPr>
              <w:spacing w:after="0"/>
              <w:rPr>
                <w:sz w:val="20"/>
                <w:szCs w:val="20"/>
                <w:color w:val="auto"/>
              </w:rPr>
            </w:pPr>
            <w:r>
              <w:rPr>
                <w:rFonts w:ascii="Arial" w:cs="Arial" w:eastAsia="Arial" w:hAnsi="Arial"/>
                <w:sz w:val="18"/>
                <w:szCs w:val="18"/>
                <w:color w:val="auto"/>
              </w:rPr>
              <w:t>Hamilton</w:t>
            </w:r>
          </w:p>
        </w:tc>
        <w:tc>
          <w:tcPr>
            <w:tcW w:w="380" w:type="dxa"/>
            <w:vAlign w:val="bottom"/>
            <w:gridSpan w:val="2"/>
          </w:tcPr>
          <w:p>
            <w:pPr>
              <w:ind w:left="8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20"/>
                <w:szCs w:val="20"/>
                <w:color w:val="auto"/>
              </w:rPr>
            </w:pPr>
          </w:p>
        </w:tc>
        <w:tc>
          <w:tcPr>
            <w:tcW w:w="2860" w:type="dxa"/>
            <w:vAlign w:val="bottom"/>
            <w:gridSpan w:val="3"/>
          </w:tcPr>
          <w:p>
            <w:pPr>
              <w:ind w:left="40"/>
              <w:spacing w:after="0"/>
              <w:rPr>
                <w:sz w:val="20"/>
                <w:szCs w:val="20"/>
                <w:color w:val="auto"/>
              </w:rPr>
            </w:pPr>
            <w:r>
              <w:rPr>
                <w:rFonts w:ascii="Arial" w:cs="Arial" w:eastAsia="Arial" w:hAnsi="Arial"/>
                <w:sz w:val="18"/>
                <w:szCs w:val="18"/>
                <w:color w:val="auto"/>
              </w:rPr>
              <w:t>Director and VP of Sales</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brief description of the background and business experience of each of our current executive officers and directors.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Lester</w:t>
      </w:r>
    </w:p>
    <w:p>
      <w:pPr>
        <w:spacing w:after="0" w:line="256"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Mr. Lester is a business veteran whom has accumulated over thirty years of executive experience in the areas of business, marketing, sales, operations, technology, and leadership. Prior to accepting his new role with us, Mr. Lester held the title of Director, Consumer &amp; Industrial Products Marketing for Deloitte LLP. During his tenure at Deloitte, he established Deloitte as a leader through innovative programs and strategic partnerships. Prior to Deloitte, he worked with Sun Microsystems as Director, Industry Strategy &amp; Marketing, and Manufacturing Industries.</w:t>
      </w:r>
    </w:p>
    <w:p>
      <w:pPr>
        <w:spacing w:after="0" w:line="19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David Lester has worked with Governor Tommy Thompson, former Secretary of Health &amp; Human Services, on health care reform and cost control; partnered with Governor Tom Ridge, former head of Homeland Security on defending cyber security initiatives; and as a active participant within the National Association of Manufacturers and the Manufacturing Institute worked with former Michigan Governor John Engler, now President of the National Association of Manufacturers, on challenges inhibiting the competitiveness of manufacturers like health care reform, trade policy, renewable energy, business tax reform, and sustainability.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5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Mr. Harrell founded the Company in January of 2006 and has served as our President and Chief Executive Officer. He became a director when the Company changed from a limited liability to a corporation in 2007. Mr. Harrell was the Vice President of Development for Meridian Incorporated from 2003-2005 and, prior to that, had been Vice President of Sales and Marketing since 1999 at Advance Graphic Systems. Mr. Harrell has spent two decades leading sales, marketing and business development units within the pharmaceutical and national retail industries. Prior to his work at Advance Graphic Systems, Mr. Harrell served for ten years at SmithKline Beecham, specializing in the managed markets healthcare segment. As part of the Integrated Health Division, Mr. Harrell was responsible for contracting and achieving regional revenue growth for SmithKline Beecham's four business units: Pharmaceuticals, Consumer Health, Clinical Labs and Diversified Pharmaceutical Services (PBM). During his tenure with SmithKline Beecham, he was a recipient of numerous national awards and served as a member of the Division's Strategic Planning Committee. Mr. Harrell graduated from Oakland University with a Bachelor of Science in Business Administration.</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E. Majerowicz</w:t>
      </w:r>
    </w:p>
    <w:p>
      <w:pPr>
        <w:spacing w:after="0" w:line="2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Mr. Majerowicz joined the Company as our Director in 2007. Mr. Majerowicz has been a partner at the law firm of Puzzuoli, Hribar, Iafrate, Majerowicz &amp; Kohler since 1979.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Terence J. Hamilton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Hamilton joined the Company as a Director and VP of Sales in February 2008. Prior to that, Mr. Hamilton was Manager at MedImmune since 2005 and was Senior National Account Manager for Glaxo SmithKline pharmaceuticals for 13 years prior to that. Mr. Hamilton has spent the last 19 years working in the pharmaceutical and biotech arenas within various sales, marketing and managed markets management positions. He also has held many positions within the pharmaceutical and biotech industries, including District Manager, Brand Manager, Managed Market Specialist, Contract Manager, Government Account 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bylaws authorize two (2) directors unless changed by the Board of Directors. The board has since changed the number of directors authorized, and we currently have three (3)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Office</w:t>
      </w:r>
    </w:p>
    <w:p>
      <w:pPr>
        <w:spacing w:after="0" w:line="256"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Our Directors are appointed for a one-year term to hold office until the next annual general meeting of our shareholders or until removed from office in accordance with our bylaws. Our officers are appointed by our board of directors and hold office until removed by the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Employees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have no significant employees other than our officers and directors.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are no family relationships between or among the directors, executive officers or persons nominated or chosen by us to become directors or executive officers.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2" w:right="31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256"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To the best of our knowledge, during the past five years, none of the following occurred with respect to a present or former director, executive officer, or employee: (1) any bankruptcy petition filed by or against any business of which such person was a general partner or executive officer either</w:t>
      </w:r>
    </w:p>
    <w:p>
      <w:pPr>
        <w:ind w:right="40"/>
        <w:spacing w:after="0" w:line="252" w:lineRule="auto"/>
        <w:rPr>
          <w:sz w:val="20"/>
          <w:szCs w:val="20"/>
          <w:color w:val="auto"/>
        </w:rPr>
      </w:pPr>
      <w:r>
        <w:rPr>
          <w:rFonts w:ascii="Arial" w:cs="Arial" w:eastAsia="Arial" w:hAnsi="Arial"/>
          <w:sz w:val="18"/>
          <w:szCs w:val="18"/>
          <w:color w:val="auto"/>
        </w:rPr>
        <w:t>at the time of the bankruptcy or within two years prior to that time; (2) any conviction in a criminal proceeding or being subject to a pending criminal proceeding (excluding traffic violations and other minor offenses); (3) being subject to any order, judgment or decree, not subsequently reversed, suspended or vacated, of any court of competent jurisdiction, permanently or temporarily enjoining, barring, suspending or otherwise limiting his or her involvement in any type of business, securities or banking activities; and (4) being found by a court of competent jurisdiction (in a civil action), the SEC or the Commodities Futures Trading Commission to have violated a federal or state securities or commodities law, and the judgment has not been reversed, suspended or vacated.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5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do not have a separately-designated standing audit committee. The entire board of directors performs the functions of an audit committee, but no written charter governs the actions of the board of directors when performing the functions of that would generally be performed by an audit committee. The board of directors approves the selection of our independent accountants and meets and interacts with the independent accountants to discuss issues related to financial reporting. In addition, the board of directors reviews the scope and results of the audit with the independent accountants, reviews with management and the independent accountants our annual operating results, considers the adequacy of our internal accounting procedures and considers other auditing and accounting matters including fees to be paid to the independent auditor and the performance of the independent auditor.</w:t>
      </w:r>
    </w:p>
    <w:p>
      <w:pPr>
        <w:spacing w:after="0" w:line="192"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We do not have an audit committee financial expert because of the size of our company and our board of directors at this time. We believe that we do not require an audit committee financial expert at this time because we retain outside consultants who possess these attributes as needed.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year ending December 31, 2009, the board of directors:</w:t>
      </w:r>
    </w:p>
    <w:p>
      <w:pPr>
        <w:spacing w:after="0" w:line="252" w:lineRule="exact"/>
        <w:rPr>
          <w:sz w:val="20"/>
          <w:szCs w:val="20"/>
          <w:color w:val="auto"/>
        </w:rPr>
      </w:pPr>
    </w:p>
    <w:p>
      <w:pPr>
        <w:ind w:left="660" w:hanging="22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management, and</w:t>
      </w:r>
    </w:p>
    <w:p>
      <w:pPr>
        <w:spacing w:after="0" w:line="252" w:lineRule="exact"/>
        <w:rPr>
          <w:rFonts w:ascii="Arial" w:cs="Arial" w:eastAsia="Arial" w:hAnsi="Arial"/>
          <w:sz w:val="18"/>
          <w:szCs w:val="18"/>
          <w:color w:val="auto"/>
        </w:rPr>
      </w:pPr>
    </w:p>
    <w:p>
      <w:pPr>
        <w:ind w:left="660" w:hanging="229"/>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Reviewed and discussed the written disclosures and the letter from our independent auditors on the matters relating to the auditor's independence.</w:t>
      </w:r>
    </w:p>
    <w:p>
      <w:pPr>
        <w:spacing w:after="0" w:line="27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Based upon the board of directors’ review and discussion of the matters above, the board of directors authorized inclusion of the audited financial statements for the year ended December 31, 2009 to be included in this Annual Report on Form 10-K and filed with the Securities and Exchange Commission.</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56"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Section 16(a) of the Exchange Act requires our directors and executive officers and persons who beneficially own more than ten percent of a registered class of the Company’s equity securities to file with the SEC initial reports of ownership and reports of changes in ownership of common stock and other equity securities of the Company. Officers, directors and greater than ten percent beneficial shareholders are required by SEC regulations to furnish us with copies of all Section 16(a) forms they file. To the best of our knowledge based solely on a review of Forms 3, 4, and 5 (and any amendments thereof) received by us during or with respect to the year ended December 31, 2008, the following persons have failed to file, on a timely basis, the identified reports required by Section 16(a) of the Exchange Act during fiscal year ended December 31, 2008:</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Number</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Transactions</w:t>
            </w:r>
          </w:p>
        </w:tc>
        <w:tc>
          <w:tcPr>
            <w:tcW w:w="860" w:type="dxa"/>
            <w:vAlign w:val="bottom"/>
          </w:tcPr>
          <w:p>
            <w:pPr>
              <w:jc w:val="center"/>
              <w:spacing w:after="0"/>
              <w:rPr>
                <w:sz w:val="20"/>
                <w:szCs w:val="20"/>
                <w:color w:val="auto"/>
              </w:rPr>
            </w:pPr>
            <w:r>
              <w:rPr>
                <w:rFonts w:ascii="Arial" w:cs="Arial" w:eastAsia="Arial" w:hAnsi="Arial"/>
                <w:sz w:val="18"/>
                <w:szCs w:val="18"/>
                <w:color w:val="auto"/>
                <w:w w:val="94"/>
              </w:rPr>
              <w:t>Known</w:t>
            </w: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rPr>
              <w:t>of</w:t>
            </w: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not</w:t>
            </w: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failures to</w:t>
            </w: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late</w:t>
            </w: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timely reported</w:t>
            </w:r>
          </w:p>
        </w:tc>
        <w:tc>
          <w:tcPr>
            <w:tcW w:w="860" w:type="dxa"/>
            <w:vAlign w:val="bottom"/>
          </w:tcPr>
          <w:p>
            <w:pPr>
              <w:jc w:val="center"/>
              <w:spacing w:after="0"/>
              <w:rPr>
                <w:sz w:val="20"/>
                <w:szCs w:val="20"/>
                <w:color w:val="auto"/>
              </w:rPr>
            </w:pPr>
            <w:r>
              <w:rPr>
                <w:rFonts w:ascii="Arial" w:cs="Arial" w:eastAsia="Arial" w:hAnsi="Arial"/>
                <w:sz w:val="18"/>
                <w:szCs w:val="18"/>
                <w:color w:val="auto"/>
                <w:w w:val="94"/>
              </w:rPr>
              <w:t>file a</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Name and principal</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reports</w:t>
            </w:r>
          </w:p>
        </w:tc>
        <w:tc>
          <w:tcPr>
            <w:tcW w:w="12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required</w:t>
            </w:r>
          </w:p>
        </w:tc>
      </w:tr>
      <w:tr>
        <w:trPr>
          <w:trHeight w:val="237"/>
        </w:trPr>
        <w:tc>
          <w:tcPr>
            <w:tcW w:w="1780" w:type="dxa"/>
            <w:vAlign w:val="bottom"/>
            <w:gridSpan w:val="2"/>
          </w:tcPr>
          <w:p>
            <w:pPr>
              <w:spacing w:after="0"/>
              <w:rPr>
                <w:sz w:val="20"/>
                <w:szCs w:val="20"/>
                <w:color w:val="auto"/>
              </w:rPr>
            </w:pPr>
            <w:r>
              <w:rPr>
                <w:rFonts w:ascii="Arial" w:cs="Arial" w:eastAsia="Arial" w:hAnsi="Arial"/>
                <w:sz w:val="18"/>
                <w:szCs w:val="18"/>
                <w:color w:val="auto"/>
              </w:rPr>
              <w:t>position</w:t>
            </w:r>
          </w:p>
        </w:tc>
        <w:tc>
          <w:tcPr>
            <w:tcW w:w="7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form</w:t>
            </w:r>
          </w:p>
        </w:tc>
      </w:tr>
      <w:tr>
        <w:trPr>
          <w:trHeight w:val="202"/>
        </w:trPr>
        <w:tc>
          <w:tcPr>
            <w:tcW w:w="20" w:type="dxa"/>
            <w:vAlign w:val="bottom"/>
          </w:tcPr>
          <w:p>
            <w:pPr>
              <w:spacing w:after="0"/>
              <w:rPr>
                <w:sz w:val="17"/>
                <w:szCs w:val="17"/>
                <w:color w:val="auto"/>
              </w:rPr>
            </w:pPr>
          </w:p>
        </w:tc>
        <w:tc>
          <w:tcPr>
            <w:tcW w:w="1760" w:type="dxa"/>
            <w:vAlign w:val="bottom"/>
            <w:tcBorders>
              <w:top w:val="single" w:sz="8" w:color="auto"/>
            </w:tcBorders>
            <w:shd w:val="clear" w:color="auto" w:fill="CBDBD1"/>
          </w:tcPr>
          <w:p>
            <w:pPr>
              <w:spacing w:after="0" w:line="201" w:lineRule="exact"/>
              <w:rPr>
                <w:sz w:val="20"/>
                <w:szCs w:val="20"/>
                <w:color w:val="auto"/>
              </w:rPr>
            </w:pPr>
            <w:r>
              <w:rPr>
                <w:rFonts w:ascii="Arial" w:cs="Arial" w:eastAsia="Arial" w:hAnsi="Arial"/>
                <w:sz w:val="18"/>
                <w:szCs w:val="18"/>
                <w:color w:val="auto"/>
              </w:rPr>
              <w:t>David Lester</w:t>
            </w:r>
          </w:p>
        </w:tc>
        <w:tc>
          <w:tcPr>
            <w:tcW w:w="720" w:type="dxa"/>
            <w:vAlign w:val="bottom"/>
            <w:tcBorders>
              <w:top w:val="single" w:sz="8" w:color="auto"/>
            </w:tcBorders>
            <w:shd w:val="clear" w:color="auto" w:fill="CBDBD1"/>
          </w:tcPr>
          <w:p>
            <w:pPr>
              <w:jc w:val="center"/>
              <w:spacing w:after="0" w:line="201" w:lineRule="exact"/>
              <w:rPr>
                <w:sz w:val="20"/>
                <w:szCs w:val="20"/>
                <w:color w:val="auto"/>
              </w:rPr>
            </w:pPr>
            <w:r>
              <w:rPr>
                <w:rFonts w:ascii="Arial" w:cs="Arial" w:eastAsia="Arial" w:hAnsi="Arial"/>
                <w:sz w:val="18"/>
                <w:szCs w:val="18"/>
                <w:color w:val="auto"/>
                <w:w w:val="79"/>
              </w:rPr>
              <w:t>1</w:t>
            </w:r>
          </w:p>
        </w:tc>
        <w:tc>
          <w:tcPr>
            <w:tcW w:w="1220" w:type="dxa"/>
            <w:vAlign w:val="bottom"/>
            <w:tcBorders>
              <w:top w:val="single" w:sz="8" w:color="auto"/>
            </w:tcBorders>
            <w:shd w:val="clear" w:color="auto" w:fill="CBDBD1"/>
          </w:tcPr>
          <w:p>
            <w:pPr>
              <w:jc w:val="center"/>
              <w:spacing w:after="0" w:line="201" w:lineRule="exact"/>
              <w:rPr>
                <w:sz w:val="20"/>
                <w:szCs w:val="20"/>
                <w:color w:val="auto"/>
              </w:rPr>
            </w:pPr>
            <w:r>
              <w:rPr>
                <w:rFonts w:ascii="Arial" w:cs="Arial" w:eastAsia="Arial" w:hAnsi="Arial"/>
                <w:sz w:val="18"/>
                <w:szCs w:val="18"/>
                <w:color w:val="auto"/>
                <w:w w:val="79"/>
              </w:rPr>
              <w:t>3</w:t>
            </w:r>
          </w:p>
        </w:tc>
        <w:tc>
          <w:tcPr>
            <w:tcW w:w="860" w:type="dxa"/>
            <w:vAlign w:val="bottom"/>
            <w:tcBorders>
              <w:top w:val="single" w:sz="8" w:color="auto"/>
            </w:tcBorders>
            <w:shd w:val="clear" w:color="auto" w:fill="CBDBD1"/>
          </w:tcPr>
          <w:p>
            <w:pPr>
              <w:jc w:val="center"/>
              <w:spacing w:after="0" w:line="201" w:lineRule="exact"/>
              <w:rPr>
                <w:sz w:val="20"/>
                <w:szCs w:val="20"/>
                <w:color w:val="auto"/>
              </w:rPr>
            </w:pPr>
            <w:r>
              <w:rPr>
                <w:rFonts w:ascii="Arial" w:cs="Arial" w:eastAsia="Arial" w:hAnsi="Arial"/>
                <w:sz w:val="18"/>
                <w:szCs w:val="18"/>
                <w:color w:val="auto"/>
                <w:w w:val="79"/>
              </w:rPr>
              <w:t>0</w:t>
            </w:r>
          </w:p>
        </w:tc>
      </w:tr>
      <w:tr>
        <w:trPr>
          <w:trHeight w:val="230"/>
        </w:trPr>
        <w:tc>
          <w:tcPr>
            <w:tcW w:w="20" w:type="dxa"/>
            <w:vAlign w:val="bottom"/>
          </w:tcPr>
          <w:p>
            <w:pPr>
              <w:spacing w:after="0"/>
              <w:rPr>
                <w:sz w:val="20"/>
                <w:szCs w:val="20"/>
                <w:color w:val="auto"/>
              </w:rPr>
            </w:pPr>
          </w:p>
        </w:tc>
        <w:tc>
          <w:tcPr>
            <w:tcW w:w="1760" w:type="dxa"/>
            <w:vAlign w:val="bottom"/>
            <w:shd w:val="clear" w:color="auto" w:fill="CBDBD1"/>
          </w:tcPr>
          <w:p>
            <w:pPr>
              <w:spacing w:after="0"/>
              <w:rPr>
                <w:sz w:val="20"/>
                <w:szCs w:val="20"/>
                <w:color w:val="auto"/>
              </w:rPr>
            </w:pPr>
            <w:r>
              <w:rPr>
                <w:rFonts w:ascii="Arial" w:cs="Arial" w:eastAsia="Arial" w:hAnsi="Arial"/>
                <w:sz w:val="18"/>
                <w:szCs w:val="18"/>
                <w:color w:val="auto"/>
              </w:rPr>
              <w:t>CEO and Director</w:t>
            </w:r>
          </w:p>
        </w:tc>
        <w:tc>
          <w:tcPr>
            <w:tcW w:w="720" w:type="dxa"/>
            <w:vAlign w:val="bottom"/>
            <w:shd w:val="clear" w:color="auto" w:fill="CBDBD1"/>
          </w:tcPr>
          <w:p>
            <w:pPr>
              <w:spacing w:after="0"/>
              <w:rPr>
                <w:sz w:val="20"/>
                <w:szCs w:val="20"/>
                <w:color w:val="auto"/>
              </w:rPr>
            </w:pPr>
          </w:p>
        </w:tc>
        <w:tc>
          <w:tcPr>
            <w:tcW w:w="1220" w:type="dxa"/>
            <w:vAlign w:val="bottom"/>
            <w:shd w:val="clear" w:color="auto" w:fill="CBDBD1"/>
          </w:tcPr>
          <w:p>
            <w:pPr>
              <w:spacing w:after="0"/>
              <w:rPr>
                <w:sz w:val="20"/>
                <w:szCs w:val="20"/>
                <w:color w:val="auto"/>
              </w:rPr>
            </w:pPr>
          </w:p>
        </w:tc>
        <w:tc>
          <w:tcPr>
            <w:tcW w:w="860" w:type="dxa"/>
            <w:vAlign w:val="bottom"/>
            <w:shd w:val="clear" w:color="auto" w:fill="CBDBD1"/>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760" w:type="dxa"/>
            <w:vAlign w:val="bottom"/>
          </w:tcPr>
          <w:p>
            <w:pPr>
              <w:spacing w:after="0" w:line="201" w:lineRule="exact"/>
              <w:rPr>
                <w:sz w:val="20"/>
                <w:szCs w:val="20"/>
                <w:color w:val="auto"/>
              </w:rPr>
            </w:pPr>
            <w:r>
              <w:rPr>
                <w:rFonts w:ascii="Arial" w:cs="Arial" w:eastAsia="Arial" w:hAnsi="Arial"/>
                <w:sz w:val="18"/>
                <w:szCs w:val="18"/>
                <w:color w:val="auto"/>
              </w:rPr>
              <w:t>David A. Harrell</w:t>
            </w: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79"/>
              </w:rPr>
              <w:t>1</w:t>
            </w:r>
          </w:p>
        </w:tc>
        <w:tc>
          <w:tcPr>
            <w:tcW w:w="1220" w:type="dxa"/>
            <w:vAlign w:val="bottom"/>
          </w:tcPr>
          <w:p>
            <w:pPr>
              <w:jc w:val="center"/>
              <w:spacing w:after="0" w:line="201" w:lineRule="exact"/>
              <w:rPr>
                <w:sz w:val="20"/>
                <w:szCs w:val="20"/>
                <w:color w:val="auto"/>
              </w:rPr>
            </w:pPr>
            <w:r>
              <w:rPr>
                <w:rFonts w:ascii="Arial" w:cs="Arial" w:eastAsia="Arial" w:hAnsi="Arial"/>
                <w:sz w:val="18"/>
                <w:szCs w:val="18"/>
                <w:color w:val="auto"/>
                <w:w w:val="79"/>
              </w:rPr>
              <w:t>1</w:t>
            </w: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79"/>
              </w:rPr>
              <w:t>0</w:t>
            </w:r>
          </w:p>
        </w:tc>
      </w:tr>
      <w:tr>
        <w:trPr>
          <w:trHeight w:val="230"/>
        </w:trPr>
        <w:tc>
          <w:tcPr>
            <w:tcW w:w="1780" w:type="dxa"/>
            <w:vAlign w:val="bottom"/>
            <w:gridSpan w:val="2"/>
          </w:tcPr>
          <w:p>
            <w:pPr>
              <w:spacing w:after="0"/>
              <w:rPr>
                <w:sz w:val="20"/>
                <w:szCs w:val="20"/>
                <w:color w:val="auto"/>
              </w:rPr>
            </w:pPr>
            <w:r>
              <w:rPr>
                <w:rFonts w:ascii="Arial" w:cs="Arial" w:eastAsia="Arial" w:hAnsi="Arial"/>
                <w:sz w:val="18"/>
                <w:szCs w:val="18"/>
                <w:color w:val="auto"/>
                <w:w w:val="97"/>
              </w:rPr>
              <w:t>Chairman and Director</w:t>
            </w:r>
          </w:p>
        </w:tc>
        <w:tc>
          <w:tcPr>
            <w:tcW w:w="7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76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w w:val="95"/>
              </w:rPr>
              <w:t>Thomas E. Majerowicz</w:t>
            </w:r>
          </w:p>
        </w:tc>
        <w:tc>
          <w:tcPr>
            <w:tcW w:w="720" w:type="dxa"/>
            <w:vAlign w:val="bottom"/>
            <w:shd w:val="clear" w:color="auto" w:fill="CBDBD1"/>
          </w:tcPr>
          <w:p>
            <w:pPr>
              <w:jc w:val="center"/>
              <w:spacing w:after="0" w:line="201" w:lineRule="exact"/>
              <w:rPr>
                <w:sz w:val="20"/>
                <w:szCs w:val="20"/>
                <w:color w:val="auto"/>
              </w:rPr>
            </w:pPr>
            <w:r>
              <w:rPr>
                <w:rFonts w:ascii="Arial" w:cs="Arial" w:eastAsia="Arial" w:hAnsi="Arial"/>
                <w:sz w:val="18"/>
                <w:szCs w:val="18"/>
                <w:color w:val="auto"/>
                <w:w w:val="79"/>
              </w:rPr>
              <w:t>1</w:t>
            </w:r>
          </w:p>
        </w:tc>
        <w:tc>
          <w:tcPr>
            <w:tcW w:w="1220" w:type="dxa"/>
            <w:vAlign w:val="bottom"/>
            <w:shd w:val="clear" w:color="auto" w:fill="CBDBD1"/>
          </w:tcPr>
          <w:p>
            <w:pPr>
              <w:jc w:val="center"/>
              <w:spacing w:after="0" w:line="201" w:lineRule="exact"/>
              <w:rPr>
                <w:sz w:val="20"/>
                <w:szCs w:val="20"/>
                <w:color w:val="auto"/>
              </w:rPr>
            </w:pPr>
            <w:r>
              <w:rPr>
                <w:rFonts w:ascii="Arial" w:cs="Arial" w:eastAsia="Arial" w:hAnsi="Arial"/>
                <w:sz w:val="18"/>
                <w:szCs w:val="18"/>
                <w:color w:val="auto"/>
                <w:w w:val="79"/>
              </w:rPr>
              <w:t>1</w:t>
            </w:r>
          </w:p>
        </w:tc>
        <w:tc>
          <w:tcPr>
            <w:tcW w:w="860" w:type="dxa"/>
            <w:vAlign w:val="bottom"/>
            <w:shd w:val="clear" w:color="auto" w:fill="CBDBD1"/>
          </w:tcPr>
          <w:p>
            <w:pPr>
              <w:jc w:val="center"/>
              <w:spacing w:after="0" w:line="201" w:lineRule="exact"/>
              <w:rPr>
                <w:sz w:val="20"/>
                <w:szCs w:val="20"/>
                <w:color w:val="auto"/>
              </w:rPr>
            </w:pPr>
            <w:r>
              <w:rPr>
                <w:rFonts w:ascii="Arial" w:cs="Arial" w:eastAsia="Arial" w:hAnsi="Arial"/>
                <w:sz w:val="18"/>
                <w:szCs w:val="18"/>
                <w:color w:val="auto"/>
                <w:w w:val="79"/>
              </w:rPr>
              <w:t>0</w:t>
            </w:r>
          </w:p>
        </w:tc>
      </w:tr>
      <w:tr>
        <w:trPr>
          <w:trHeight w:val="230"/>
        </w:trPr>
        <w:tc>
          <w:tcPr>
            <w:tcW w:w="20" w:type="dxa"/>
            <w:vAlign w:val="bottom"/>
          </w:tcPr>
          <w:p>
            <w:pPr>
              <w:spacing w:after="0"/>
              <w:rPr>
                <w:sz w:val="20"/>
                <w:szCs w:val="20"/>
                <w:color w:val="auto"/>
              </w:rPr>
            </w:pPr>
          </w:p>
        </w:tc>
        <w:tc>
          <w:tcPr>
            <w:tcW w:w="1760" w:type="dxa"/>
            <w:vAlign w:val="bottom"/>
            <w:shd w:val="clear" w:color="auto" w:fill="CBDBD1"/>
          </w:tcPr>
          <w:p>
            <w:pPr>
              <w:spacing w:after="0"/>
              <w:rPr>
                <w:sz w:val="20"/>
                <w:szCs w:val="20"/>
                <w:color w:val="auto"/>
              </w:rPr>
            </w:pPr>
            <w:r>
              <w:rPr>
                <w:rFonts w:ascii="Arial" w:cs="Arial" w:eastAsia="Arial" w:hAnsi="Arial"/>
                <w:sz w:val="18"/>
                <w:szCs w:val="18"/>
                <w:color w:val="auto"/>
                <w:w w:val="96"/>
              </w:rPr>
              <w:t>Secretary and Director</w:t>
            </w:r>
          </w:p>
        </w:tc>
        <w:tc>
          <w:tcPr>
            <w:tcW w:w="720" w:type="dxa"/>
            <w:vAlign w:val="bottom"/>
            <w:shd w:val="clear" w:color="auto" w:fill="CBDBD1"/>
          </w:tcPr>
          <w:p>
            <w:pPr>
              <w:spacing w:after="0"/>
              <w:rPr>
                <w:sz w:val="20"/>
                <w:szCs w:val="20"/>
                <w:color w:val="auto"/>
              </w:rPr>
            </w:pPr>
          </w:p>
        </w:tc>
        <w:tc>
          <w:tcPr>
            <w:tcW w:w="1220" w:type="dxa"/>
            <w:vAlign w:val="bottom"/>
            <w:shd w:val="clear" w:color="auto" w:fill="CBDBD1"/>
          </w:tcPr>
          <w:p>
            <w:pPr>
              <w:spacing w:after="0"/>
              <w:rPr>
                <w:sz w:val="20"/>
                <w:szCs w:val="20"/>
                <w:color w:val="auto"/>
              </w:rPr>
            </w:pPr>
          </w:p>
        </w:tc>
        <w:tc>
          <w:tcPr>
            <w:tcW w:w="860" w:type="dxa"/>
            <w:vAlign w:val="bottom"/>
            <w:shd w:val="clear" w:color="auto" w:fill="CBDBD1"/>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760" w:type="dxa"/>
            <w:vAlign w:val="bottom"/>
          </w:tcPr>
          <w:p>
            <w:pPr>
              <w:spacing w:after="0" w:line="201" w:lineRule="exact"/>
              <w:rPr>
                <w:sz w:val="20"/>
                <w:szCs w:val="20"/>
                <w:color w:val="auto"/>
              </w:rPr>
            </w:pPr>
            <w:r>
              <w:rPr>
                <w:rFonts w:ascii="Arial" w:cs="Arial" w:eastAsia="Arial" w:hAnsi="Arial"/>
                <w:sz w:val="18"/>
                <w:szCs w:val="18"/>
                <w:color w:val="auto"/>
              </w:rPr>
              <w:t>Terence J. Hamilton</w:t>
            </w: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79"/>
              </w:rPr>
              <w:t>1</w:t>
            </w:r>
          </w:p>
        </w:tc>
        <w:tc>
          <w:tcPr>
            <w:tcW w:w="1220" w:type="dxa"/>
            <w:vAlign w:val="bottom"/>
          </w:tcPr>
          <w:p>
            <w:pPr>
              <w:jc w:val="center"/>
              <w:spacing w:after="0" w:line="201" w:lineRule="exact"/>
              <w:rPr>
                <w:sz w:val="20"/>
                <w:szCs w:val="20"/>
                <w:color w:val="auto"/>
              </w:rPr>
            </w:pPr>
            <w:r>
              <w:rPr>
                <w:rFonts w:ascii="Arial" w:cs="Arial" w:eastAsia="Arial" w:hAnsi="Arial"/>
                <w:sz w:val="18"/>
                <w:szCs w:val="18"/>
                <w:color w:val="auto"/>
                <w:w w:val="79"/>
              </w:rPr>
              <w:t>1</w:t>
            </w: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79"/>
              </w:rPr>
              <w:t>0</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VP of Sales and</w:t>
            </w:r>
          </w:p>
        </w:tc>
        <w:tc>
          <w:tcPr>
            <w:tcW w:w="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17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7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5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of December 31, 2009, we had not adopted a Code of Ethics for Financial Executives, which would include our principal executive officer, principal financial officer, principal accounting officer or controller, or persons performing similar functions.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table below summarizes all compensation awarded to, earned by, or paid to our former or current executive officers for the fiscal years ended December 31, 2009 and 2008.</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COMPENSATION TABLE</w:t>
      </w:r>
    </w:p>
    <w:p>
      <w:pPr>
        <w:spacing w:after="0" w:line="27" w:lineRule="exact"/>
        <w:rPr>
          <w:sz w:val="20"/>
          <w:szCs w:val="20"/>
          <w:color w:val="auto"/>
        </w:rPr>
      </w:pPr>
    </w:p>
    <w:tbl>
      <w:tblPr>
        <w:tblLayout w:type="fixed"/>
        <w:tblInd w:w="1440" w:type="dxa"/>
        <w:tblCellMar>
          <w:top w:w="0" w:type="dxa"/>
          <w:left w:w="0" w:type="dxa"/>
          <w:bottom w:w="0" w:type="dxa"/>
          <w:right w:w="0" w:type="dxa"/>
        </w:tblCellMar>
      </w:tblPr>
      <w:tr>
        <w:trPr>
          <w:trHeight w:val="209"/>
        </w:trPr>
        <w:tc>
          <w:tcPr>
            <w:tcW w:w="10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Non-Equity</w:t>
            </w: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Nonqualified</w:t>
            </w:r>
          </w:p>
        </w:tc>
        <w:tc>
          <w:tcPr>
            <w:tcW w:w="1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Name</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Incentive</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Deferred</w:t>
            </w: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and</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Stock</w:t>
            </w:r>
          </w:p>
        </w:tc>
        <w:tc>
          <w:tcPr>
            <w:tcW w:w="860" w:type="dxa"/>
            <w:vAlign w:val="bottom"/>
          </w:tcPr>
          <w:p>
            <w:pPr>
              <w:ind w:left="180"/>
              <w:spacing w:after="0"/>
              <w:rPr>
                <w:sz w:val="20"/>
                <w:szCs w:val="20"/>
                <w:color w:val="auto"/>
              </w:rPr>
            </w:pPr>
            <w:r>
              <w:rPr>
                <w:rFonts w:ascii="Arial" w:cs="Arial" w:eastAsia="Arial" w:hAnsi="Arial"/>
                <w:sz w:val="18"/>
                <w:szCs w:val="18"/>
                <w:color w:val="auto"/>
              </w:rPr>
              <w:t>Option</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Plan</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Compensation</w:t>
            </w:r>
          </w:p>
        </w:tc>
        <w:tc>
          <w:tcPr>
            <w:tcW w:w="1160" w:type="dxa"/>
            <w:vAlign w:val="bottom"/>
          </w:tcPr>
          <w:p>
            <w:pPr>
              <w:jc w:val="center"/>
              <w:spacing w:after="0"/>
              <w:rPr>
                <w:sz w:val="20"/>
                <w:szCs w:val="20"/>
                <w:color w:val="auto"/>
              </w:rPr>
            </w:pPr>
            <w:r>
              <w:rPr>
                <w:rFonts w:ascii="Arial" w:cs="Arial" w:eastAsia="Arial" w:hAnsi="Arial"/>
                <w:sz w:val="18"/>
                <w:szCs w:val="18"/>
                <w:color w:val="auto"/>
                <w:w w:val="97"/>
              </w:rPr>
              <w:t>All Other</w:t>
            </w:r>
          </w:p>
        </w:tc>
        <w:tc>
          <w:tcPr>
            <w:tcW w:w="7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principal</w:t>
            </w:r>
          </w:p>
        </w:tc>
        <w:tc>
          <w:tcPr>
            <w:tcW w:w="440" w:type="dxa"/>
            <w:vAlign w:val="bottom"/>
          </w:tcPr>
          <w:p>
            <w:pPr>
              <w:spacing w:after="0"/>
              <w:rPr>
                <w:sz w:val="18"/>
                <w:szCs w:val="18"/>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auto"/>
              </w:rPr>
              <w:t>Salary</w:t>
            </w:r>
          </w:p>
        </w:tc>
        <w:tc>
          <w:tcPr>
            <w:tcW w:w="580" w:type="dxa"/>
            <w:vAlign w:val="bottom"/>
          </w:tcPr>
          <w:p>
            <w:pPr>
              <w:jc w:val="right"/>
              <w:spacing w:after="0"/>
              <w:rPr>
                <w:sz w:val="20"/>
                <w:szCs w:val="20"/>
                <w:color w:val="auto"/>
              </w:rPr>
            </w:pPr>
            <w:r>
              <w:rPr>
                <w:rFonts w:ascii="Arial" w:cs="Arial" w:eastAsia="Arial" w:hAnsi="Arial"/>
                <w:sz w:val="18"/>
                <w:szCs w:val="18"/>
                <w:color w:val="auto"/>
                <w:w w:val="97"/>
              </w:rPr>
              <w:t>Bonus</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Awards</w:t>
            </w:r>
          </w:p>
        </w:tc>
        <w:tc>
          <w:tcPr>
            <w:tcW w:w="860" w:type="dxa"/>
            <w:vAlign w:val="bottom"/>
          </w:tcPr>
          <w:p>
            <w:pPr>
              <w:ind w:left="160"/>
              <w:spacing w:after="0"/>
              <w:rPr>
                <w:sz w:val="20"/>
                <w:szCs w:val="20"/>
                <w:color w:val="auto"/>
              </w:rPr>
            </w:pPr>
            <w:r>
              <w:rPr>
                <w:rFonts w:ascii="Arial" w:cs="Arial" w:eastAsia="Arial" w:hAnsi="Arial"/>
                <w:sz w:val="18"/>
                <w:szCs w:val="18"/>
                <w:color w:val="auto"/>
              </w:rPr>
              <w:t>Awards</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Compensation</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Earnings</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Compensation</w:t>
            </w:r>
          </w:p>
        </w:tc>
        <w:tc>
          <w:tcPr>
            <w:tcW w:w="700" w:type="dxa"/>
            <w:vAlign w:val="bottom"/>
          </w:tcPr>
          <w:p>
            <w:pPr>
              <w:ind w:left="180"/>
              <w:spacing w:after="0"/>
              <w:rPr>
                <w:sz w:val="20"/>
                <w:szCs w:val="20"/>
                <w:color w:val="auto"/>
              </w:rPr>
            </w:pPr>
            <w:r>
              <w:rPr>
                <w:rFonts w:ascii="Arial" w:cs="Arial" w:eastAsia="Arial" w:hAnsi="Arial"/>
                <w:sz w:val="18"/>
                <w:szCs w:val="18"/>
                <w:color w:val="auto"/>
              </w:rPr>
              <w:t>Total</w:t>
            </w:r>
          </w:p>
        </w:tc>
      </w:tr>
      <w:tr>
        <w:trPr>
          <w:trHeight w:val="237"/>
        </w:trPr>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position</w:t>
            </w: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4"/>
              </w:rPr>
              <w:t>Year</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r>
      <w:tr>
        <w:trPr>
          <w:trHeight w:val="202"/>
        </w:trPr>
        <w:tc>
          <w:tcPr>
            <w:tcW w:w="100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rPr>
              <w:t>David</w:t>
            </w:r>
          </w:p>
        </w:tc>
        <w:tc>
          <w:tcPr>
            <w:tcW w:w="440" w:type="dxa"/>
            <w:vAlign w:val="bottom"/>
            <w:shd w:val="clear" w:color="auto" w:fill="CBDBD1"/>
          </w:tcPr>
          <w:p>
            <w:pPr>
              <w:ind w:left="40"/>
              <w:spacing w:after="0" w:line="201" w:lineRule="exact"/>
              <w:rPr>
                <w:sz w:val="20"/>
                <w:szCs w:val="20"/>
                <w:color w:val="auto"/>
              </w:rPr>
            </w:pPr>
            <w:r>
              <w:rPr>
                <w:rFonts w:ascii="Arial" w:cs="Arial" w:eastAsia="Arial" w:hAnsi="Arial"/>
                <w:sz w:val="18"/>
                <w:szCs w:val="18"/>
                <w:color w:val="auto"/>
                <w:w w:val="94"/>
              </w:rPr>
              <w:t>2009</w:t>
            </w:r>
          </w:p>
        </w:tc>
        <w:tc>
          <w:tcPr>
            <w:tcW w:w="680" w:type="dxa"/>
            <w:vAlign w:val="bottom"/>
            <w:shd w:val="clear" w:color="auto" w:fill="CBDBD1"/>
          </w:tcPr>
          <w:p>
            <w:pPr>
              <w:jc w:val="center"/>
              <w:spacing w:after="0" w:line="201" w:lineRule="exact"/>
              <w:rPr>
                <w:sz w:val="20"/>
                <w:szCs w:val="20"/>
                <w:color w:val="auto"/>
              </w:rPr>
            </w:pPr>
            <w:r>
              <w:rPr>
                <w:rFonts w:ascii="Arial" w:cs="Arial" w:eastAsia="Arial" w:hAnsi="Arial"/>
                <w:sz w:val="18"/>
                <w:szCs w:val="18"/>
                <w:color w:val="auto"/>
                <w:w w:val="89"/>
              </w:rPr>
              <w:t>150,000</w:t>
            </w:r>
          </w:p>
        </w:tc>
        <w:tc>
          <w:tcPr>
            <w:tcW w:w="580" w:type="dxa"/>
            <w:vAlign w:val="bottom"/>
            <w:shd w:val="clear" w:color="auto" w:fill="CBDBD1"/>
          </w:tcPr>
          <w:p>
            <w:pPr>
              <w:jc w:val="center"/>
              <w:spacing w:after="0" w:line="201" w:lineRule="exact"/>
              <w:rPr>
                <w:sz w:val="20"/>
                <w:szCs w:val="20"/>
                <w:color w:val="auto"/>
              </w:rPr>
            </w:pPr>
            <w:r>
              <w:rPr>
                <w:rFonts w:ascii="Arial" w:cs="Arial" w:eastAsia="Arial" w:hAnsi="Arial"/>
                <w:sz w:val="18"/>
                <w:szCs w:val="18"/>
                <w:color w:val="auto"/>
                <w:w w:val="99"/>
              </w:rPr>
              <w:t>-</w:t>
            </w:r>
          </w:p>
        </w:tc>
        <w:tc>
          <w:tcPr>
            <w:tcW w:w="720" w:type="dxa"/>
            <w:vAlign w:val="bottom"/>
            <w:shd w:val="clear" w:color="auto" w:fill="CBDBD1"/>
          </w:tcPr>
          <w:p>
            <w:pPr>
              <w:jc w:val="center"/>
              <w:spacing w:after="0" w:line="201"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BDBD1"/>
          </w:tcPr>
          <w:p>
            <w:pPr>
              <w:jc w:val="center"/>
              <w:spacing w:after="0" w:line="202" w:lineRule="exact"/>
              <w:rPr>
                <w:sz w:val="20"/>
                <w:szCs w:val="20"/>
                <w:color w:val="auto"/>
              </w:rPr>
            </w:pPr>
            <w:r>
              <w:rPr>
                <w:rFonts w:ascii="Arial" w:cs="Arial" w:eastAsia="Arial" w:hAnsi="Arial"/>
                <w:sz w:val="17"/>
                <w:szCs w:val="17"/>
                <w:color w:val="auto"/>
                <w:w w:val="92"/>
              </w:rPr>
              <w:t>552,343</w:t>
            </w:r>
            <w:r>
              <w:rPr>
                <w:rFonts w:ascii="Arial" w:cs="Arial" w:eastAsia="Arial" w:hAnsi="Arial"/>
                <w:sz w:val="23"/>
                <w:szCs w:val="23"/>
                <w:color w:val="auto"/>
                <w:w w:val="92"/>
                <w:vertAlign w:val="superscript"/>
              </w:rPr>
              <w:t>(2)</w:t>
            </w:r>
          </w:p>
        </w:tc>
        <w:tc>
          <w:tcPr>
            <w:tcW w:w="1200" w:type="dxa"/>
            <w:vAlign w:val="bottom"/>
            <w:shd w:val="clear" w:color="auto" w:fill="CBDBD1"/>
          </w:tcPr>
          <w:p>
            <w:pPr>
              <w:jc w:val="center"/>
              <w:spacing w:after="0" w:line="201"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BDBD1"/>
          </w:tcPr>
          <w:p>
            <w:pPr>
              <w:jc w:val="center"/>
              <w:spacing w:after="0" w:line="201"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BDBD1"/>
          </w:tcPr>
          <w:p>
            <w:pPr>
              <w:jc w:val="center"/>
              <w:spacing w:after="0" w:line="201"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BDBD1"/>
          </w:tcPr>
          <w:p>
            <w:pPr>
              <w:jc w:val="center"/>
              <w:spacing w:after="0" w:line="201" w:lineRule="exact"/>
              <w:rPr>
                <w:sz w:val="20"/>
                <w:szCs w:val="20"/>
                <w:color w:val="auto"/>
              </w:rPr>
            </w:pPr>
            <w:r>
              <w:rPr>
                <w:rFonts w:ascii="Arial" w:cs="Arial" w:eastAsia="Arial" w:hAnsi="Arial"/>
                <w:sz w:val="18"/>
                <w:szCs w:val="18"/>
                <w:color w:val="auto"/>
                <w:w w:val="89"/>
              </w:rPr>
              <w:t>702,343</w:t>
            </w:r>
          </w:p>
        </w:tc>
      </w:tr>
      <w:tr>
        <w:trPr>
          <w:trHeight w:val="216"/>
        </w:trPr>
        <w:tc>
          <w:tcPr>
            <w:tcW w:w="1000" w:type="dxa"/>
            <w:vAlign w:val="bottom"/>
            <w:shd w:val="clear" w:color="auto" w:fill="CBDBD1"/>
          </w:tcPr>
          <w:p>
            <w:pPr>
              <w:spacing w:after="0" w:line="216" w:lineRule="exact"/>
              <w:rPr>
                <w:sz w:val="20"/>
                <w:szCs w:val="20"/>
                <w:color w:val="auto"/>
              </w:rPr>
            </w:pPr>
            <w:r>
              <w:rPr>
                <w:rFonts w:ascii="Arial" w:cs="Arial" w:eastAsia="Arial" w:hAnsi="Arial"/>
                <w:sz w:val="18"/>
                <w:szCs w:val="18"/>
                <w:color w:val="auto"/>
              </w:rPr>
              <w:t>Lester</w:t>
            </w:r>
            <w:r>
              <w:rPr>
                <w:rFonts w:ascii="Arial" w:cs="Arial" w:eastAsia="Arial" w:hAnsi="Arial"/>
                <w:sz w:val="25"/>
                <w:szCs w:val="25"/>
                <w:color w:val="auto"/>
                <w:vertAlign w:val="superscript"/>
              </w:rPr>
              <w:t>(1)</w:t>
            </w:r>
          </w:p>
        </w:tc>
        <w:tc>
          <w:tcPr>
            <w:tcW w:w="440" w:type="dxa"/>
            <w:vAlign w:val="bottom"/>
            <w:shd w:val="clear" w:color="auto" w:fill="CBDBD1"/>
          </w:tcPr>
          <w:p>
            <w:pPr>
              <w:ind w:left="40"/>
              <w:spacing w:after="0"/>
              <w:rPr>
                <w:sz w:val="20"/>
                <w:szCs w:val="20"/>
                <w:color w:val="auto"/>
              </w:rPr>
            </w:pPr>
            <w:r>
              <w:rPr>
                <w:rFonts w:ascii="Arial" w:cs="Arial" w:eastAsia="Arial" w:hAnsi="Arial"/>
                <w:sz w:val="18"/>
                <w:szCs w:val="18"/>
                <w:color w:val="auto"/>
                <w:w w:val="94"/>
              </w:rPr>
              <w:t>2008</w:t>
            </w:r>
          </w:p>
        </w:tc>
        <w:tc>
          <w:tcPr>
            <w:tcW w:w="68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000" w:type="dxa"/>
            <w:vAlign w:val="bottom"/>
            <w:shd w:val="clear" w:color="auto" w:fill="CBDBD1"/>
          </w:tcPr>
          <w:p>
            <w:pPr>
              <w:spacing w:after="0"/>
              <w:rPr>
                <w:sz w:val="20"/>
                <w:szCs w:val="20"/>
                <w:color w:val="auto"/>
              </w:rPr>
            </w:pPr>
            <w:r>
              <w:rPr>
                <w:rFonts w:ascii="Arial" w:cs="Arial" w:eastAsia="Arial" w:hAnsi="Arial"/>
                <w:sz w:val="18"/>
                <w:szCs w:val="18"/>
                <w:color w:val="auto"/>
              </w:rPr>
              <w:t>CEO and</w:t>
            </w:r>
          </w:p>
        </w:tc>
        <w:tc>
          <w:tcPr>
            <w:tcW w:w="440" w:type="dxa"/>
            <w:vAlign w:val="bottom"/>
            <w:shd w:val="clear" w:color="auto" w:fill="CBDBD1"/>
          </w:tcPr>
          <w:p>
            <w:pPr>
              <w:spacing w:after="0"/>
              <w:rPr>
                <w:sz w:val="18"/>
                <w:szCs w:val="18"/>
                <w:color w:val="auto"/>
              </w:rPr>
            </w:pPr>
          </w:p>
        </w:tc>
        <w:tc>
          <w:tcPr>
            <w:tcW w:w="680" w:type="dxa"/>
            <w:vAlign w:val="bottom"/>
            <w:shd w:val="clear" w:color="auto" w:fill="CBDBD1"/>
          </w:tcPr>
          <w:p>
            <w:pPr>
              <w:spacing w:after="0"/>
              <w:rPr>
                <w:sz w:val="18"/>
                <w:szCs w:val="18"/>
                <w:color w:val="auto"/>
              </w:rPr>
            </w:pPr>
          </w:p>
        </w:tc>
        <w:tc>
          <w:tcPr>
            <w:tcW w:w="580" w:type="dxa"/>
            <w:vAlign w:val="bottom"/>
            <w:shd w:val="clear" w:color="auto" w:fill="CBDBD1"/>
          </w:tcPr>
          <w:p>
            <w:pPr>
              <w:spacing w:after="0"/>
              <w:rPr>
                <w:sz w:val="18"/>
                <w:szCs w:val="18"/>
                <w:color w:val="auto"/>
              </w:rPr>
            </w:pPr>
          </w:p>
        </w:tc>
        <w:tc>
          <w:tcPr>
            <w:tcW w:w="720" w:type="dxa"/>
            <w:vAlign w:val="bottom"/>
            <w:shd w:val="clear" w:color="auto" w:fill="CBDBD1"/>
          </w:tcPr>
          <w:p>
            <w:pPr>
              <w:spacing w:after="0"/>
              <w:rPr>
                <w:sz w:val="18"/>
                <w:szCs w:val="18"/>
                <w:color w:val="auto"/>
              </w:rPr>
            </w:pPr>
          </w:p>
        </w:tc>
        <w:tc>
          <w:tcPr>
            <w:tcW w:w="860" w:type="dxa"/>
            <w:vAlign w:val="bottom"/>
            <w:shd w:val="clear" w:color="auto" w:fill="CBDBD1"/>
          </w:tcPr>
          <w:p>
            <w:pPr>
              <w:spacing w:after="0"/>
              <w:rPr>
                <w:sz w:val="18"/>
                <w:szCs w:val="18"/>
                <w:color w:val="auto"/>
              </w:rPr>
            </w:pPr>
          </w:p>
        </w:tc>
        <w:tc>
          <w:tcPr>
            <w:tcW w:w="1200" w:type="dxa"/>
            <w:vAlign w:val="bottom"/>
            <w:shd w:val="clear" w:color="auto" w:fill="CBDBD1"/>
          </w:tcPr>
          <w:p>
            <w:pPr>
              <w:spacing w:after="0"/>
              <w:rPr>
                <w:sz w:val="18"/>
                <w:szCs w:val="18"/>
                <w:color w:val="auto"/>
              </w:rPr>
            </w:pPr>
          </w:p>
        </w:tc>
        <w:tc>
          <w:tcPr>
            <w:tcW w:w="1200" w:type="dxa"/>
            <w:vAlign w:val="bottom"/>
            <w:shd w:val="clear" w:color="auto" w:fill="CBDBD1"/>
          </w:tcPr>
          <w:p>
            <w:pPr>
              <w:spacing w:after="0"/>
              <w:rPr>
                <w:sz w:val="18"/>
                <w:szCs w:val="18"/>
                <w:color w:val="auto"/>
              </w:rPr>
            </w:pPr>
          </w:p>
        </w:tc>
        <w:tc>
          <w:tcPr>
            <w:tcW w:w="1160" w:type="dxa"/>
            <w:vAlign w:val="bottom"/>
            <w:shd w:val="clear" w:color="auto" w:fill="CBDBD1"/>
          </w:tcPr>
          <w:p>
            <w:pPr>
              <w:spacing w:after="0"/>
              <w:rPr>
                <w:sz w:val="18"/>
                <w:szCs w:val="18"/>
                <w:color w:val="auto"/>
              </w:rPr>
            </w:pPr>
          </w:p>
        </w:tc>
        <w:tc>
          <w:tcPr>
            <w:tcW w:w="700" w:type="dxa"/>
            <w:vAlign w:val="bottom"/>
            <w:shd w:val="clear" w:color="auto" w:fill="CBDBD1"/>
          </w:tcPr>
          <w:p>
            <w:pPr>
              <w:spacing w:after="0"/>
              <w:rPr>
                <w:sz w:val="18"/>
                <w:szCs w:val="18"/>
                <w:color w:val="auto"/>
              </w:rPr>
            </w:pPr>
          </w:p>
        </w:tc>
      </w:tr>
      <w:tr>
        <w:trPr>
          <w:trHeight w:val="230"/>
        </w:trPr>
        <w:tc>
          <w:tcPr>
            <w:tcW w:w="1000" w:type="dxa"/>
            <w:vAlign w:val="bottom"/>
            <w:shd w:val="clear" w:color="auto" w:fill="CBDBD1"/>
          </w:tcPr>
          <w:p>
            <w:pPr>
              <w:spacing w:after="0"/>
              <w:rPr>
                <w:sz w:val="20"/>
                <w:szCs w:val="20"/>
                <w:color w:val="auto"/>
              </w:rPr>
            </w:pPr>
            <w:r>
              <w:rPr>
                <w:rFonts w:ascii="Arial" w:cs="Arial" w:eastAsia="Arial" w:hAnsi="Arial"/>
                <w:sz w:val="18"/>
                <w:szCs w:val="18"/>
                <w:color w:val="auto"/>
              </w:rPr>
              <w:t>Director</w:t>
            </w:r>
          </w:p>
        </w:tc>
        <w:tc>
          <w:tcPr>
            <w:tcW w:w="440" w:type="dxa"/>
            <w:vAlign w:val="bottom"/>
            <w:shd w:val="clear" w:color="auto" w:fill="CBDBD1"/>
          </w:tcPr>
          <w:p>
            <w:pPr>
              <w:spacing w:after="0"/>
              <w:rPr>
                <w:sz w:val="20"/>
                <w:szCs w:val="20"/>
                <w:color w:val="auto"/>
              </w:rPr>
            </w:pPr>
          </w:p>
        </w:tc>
        <w:tc>
          <w:tcPr>
            <w:tcW w:w="680" w:type="dxa"/>
            <w:vAlign w:val="bottom"/>
            <w:shd w:val="clear" w:color="auto" w:fill="CBDBD1"/>
          </w:tcPr>
          <w:p>
            <w:pPr>
              <w:spacing w:after="0"/>
              <w:rPr>
                <w:sz w:val="20"/>
                <w:szCs w:val="20"/>
                <w:color w:val="auto"/>
              </w:rPr>
            </w:pPr>
          </w:p>
        </w:tc>
        <w:tc>
          <w:tcPr>
            <w:tcW w:w="580" w:type="dxa"/>
            <w:vAlign w:val="bottom"/>
            <w:shd w:val="clear" w:color="auto" w:fill="CBDBD1"/>
          </w:tcPr>
          <w:p>
            <w:pPr>
              <w:spacing w:after="0"/>
              <w:rPr>
                <w:sz w:val="20"/>
                <w:szCs w:val="20"/>
                <w:color w:val="auto"/>
              </w:rPr>
            </w:pPr>
          </w:p>
        </w:tc>
        <w:tc>
          <w:tcPr>
            <w:tcW w:w="720" w:type="dxa"/>
            <w:vAlign w:val="bottom"/>
            <w:shd w:val="clear" w:color="auto" w:fill="CBDBD1"/>
          </w:tcPr>
          <w:p>
            <w:pPr>
              <w:spacing w:after="0"/>
              <w:rPr>
                <w:sz w:val="20"/>
                <w:szCs w:val="20"/>
                <w:color w:val="auto"/>
              </w:rPr>
            </w:pPr>
          </w:p>
        </w:tc>
        <w:tc>
          <w:tcPr>
            <w:tcW w:w="860" w:type="dxa"/>
            <w:vAlign w:val="bottom"/>
            <w:shd w:val="clear" w:color="auto" w:fill="CBDBD1"/>
          </w:tcPr>
          <w:p>
            <w:pPr>
              <w:spacing w:after="0"/>
              <w:rPr>
                <w:sz w:val="20"/>
                <w:szCs w:val="20"/>
                <w:color w:val="auto"/>
              </w:rPr>
            </w:pPr>
          </w:p>
        </w:tc>
        <w:tc>
          <w:tcPr>
            <w:tcW w:w="1200" w:type="dxa"/>
            <w:vAlign w:val="bottom"/>
            <w:shd w:val="clear" w:color="auto" w:fill="CBDBD1"/>
          </w:tcPr>
          <w:p>
            <w:pPr>
              <w:spacing w:after="0"/>
              <w:rPr>
                <w:sz w:val="20"/>
                <w:szCs w:val="20"/>
                <w:color w:val="auto"/>
              </w:rPr>
            </w:pPr>
          </w:p>
        </w:tc>
        <w:tc>
          <w:tcPr>
            <w:tcW w:w="1200" w:type="dxa"/>
            <w:vAlign w:val="bottom"/>
            <w:shd w:val="clear" w:color="auto" w:fill="CBDBD1"/>
          </w:tcPr>
          <w:p>
            <w:pPr>
              <w:spacing w:after="0"/>
              <w:rPr>
                <w:sz w:val="20"/>
                <w:szCs w:val="20"/>
                <w:color w:val="auto"/>
              </w:rPr>
            </w:pPr>
          </w:p>
        </w:tc>
        <w:tc>
          <w:tcPr>
            <w:tcW w:w="1160" w:type="dxa"/>
            <w:vAlign w:val="bottom"/>
            <w:shd w:val="clear" w:color="auto" w:fill="CBDBD1"/>
          </w:tcPr>
          <w:p>
            <w:pPr>
              <w:spacing w:after="0"/>
              <w:rPr>
                <w:sz w:val="20"/>
                <w:szCs w:val="20"/>
                <w:color w:val="auto"/>
              </w:rPr>
            </w:pPr>
          </w:p>
        </w:tc>
        <w:tc>
          <w:tcPr>
            <w:tcW w:w="700" w:type="dxa"/>
            <w:vAlign w:val="bottom"/>
            <w:shd w:val="clear" w:color="auto" w:fill="CBDBD1"/>
          </w:tcPr>
          <w:p>
            <w:pPr>
              <w:spacing w:after="0"/>
              <w:rPr>
                <w:sz w:val="20"/>
                <w:szCs w:val="20"/>
                <w:color w:val="auto"/>
              </w:rPr>
            </w:pPr>
          </w:p>
        </w:tc>
      </w:tr>
      <w:tr>
        <w:trPr>
          <w:trHeight w:val="202"/>
        </w:trPr>
        <w:tc>
          <w:tcPr>
            <w:tcW w:w="1000" w:type="dxa"/>
            <w:vAlign w:val="bottom"/>
          </w:tcPr>
          <w:p>
            <w:pPr>
              <w:spacing w:after="0" w:line="201" w:lineRule="exact"/>
              <w:rPr>
                <w:sz w:val="20"/>
                <w:szCs w:val="20"/>
                <w:color w:val="auto"/>
              </w:rPr>
            </w:pPr>
            <w:r>
              <w:rPr>
                <w:rFonts w:ascii="Arial" w:cs="Arial" w:eastAsia="Arial" w:hAnsi="Arial"/>
                <w:sz w:val="18"/>
                <w:szCs w:val="18"/>
                <w:color w:val="auto"/>
              </w:rPr>
              <w:t>Thomas E.</w:t>
            </w:r>
          </w:p>
        </w:tc>
        <w:tc>
          <w:tcPr>
            <w:tcW w:w="440" w:type="dxa"/>
            <w:vAlign w:val="bottom"/>
          </w:tcPr>
          <w:p>
            <w:pPr>
              <w:ind w:left="40"/>
              <w:spacing w:after="0" w:line="201" w:lineRule="exact"/>
              <w:rPr>
                <w:sz w:val="20"/>
                <w:szCs w:val="20"/>
                <w:color w:val="auto"/>
              </w:rPr>
            </w:pPr>
            <w:r>
              <w:rPr>
                <w:rFonts w:ascii="Arial" w:cs="Arial" w:eastAsia="Arial" w:hAnsi="Arial"/>
                <w:sz w:val="18"/>
                <w:szCs w:val="18"/>
                <w:color w:val="auto"/>
                <w:w w:val="94"/>
              </w:rPr>
              <w:t>2009</w:t>
            </w:r>
          </w:p>
        </w:tc>
        <w:tc>
          <w:tcPr>
            <w:tcW w:w="680" w:type="dxa"/>
            <w:vAlign w:val="bottom"/>
          </w:tcPr>
          <w:p>
            <w:pPr>
              <w:spacing w:after="0"/>
              <w:rPr>
                <w:sz w:val="17"/>
                <w:szCs w:val="17"/>
                <w:color w:val="auto"/>
              </w:rPr>
            </w:pPr>
          </w:p>
        </w:tc>
        <w:tc>
          <w:tcPr>
            <w:tcW w:w="58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720" w:type="dxa"/>
            <w:vAlign w:val="bottom"/>
          </w:tcPr>
          <w:p>
            <w:pPr>
              <w:jc w:val="center"/>
              <w:spacing w:after="0" w:line="202" w:lineRule="exact"/>
              <w:rPr>
                <w:sz w:val="20"/>
                <w:szCs w:val="20"/>
                <w:color w:val="auto"/>
              </w:rPr>
            </w:pPr>
            <w:r>
              <w:rPr>
                <w:rFonts w:ascii="Arial" w:cs="Arial" w:eastAsia="Arial" w:hAnsi="Arial"/>
                <w:sz w:val="17"/>
                <w:szCs w:val="17"/>
                <w:color w:val="auto"/>
                <w:w w:val="90"/>
              </w:rPr>
              <w:t>12,240</w:t>
            </w:r>
            <w:r>
              <w:rPr>
                <w:rFonts w:ascii="Arial" w:cs="Arial" w:eastAsia="Arial" w:hAnsi="Arial"/>
                <w:sz w:val="23"/>
                <w:szCs w:val="23"/>
                <w:color w:val="auto"/>
                <w:w w:val="90"/>
                <w:vertAlign w:val="superscript"/>
              </w:rPr>
              <w:t>(2)</w:t>
            </w: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700" w:type="dxa"/>
            <w:vAlign w:val="bottom"/>
          </w:tcPr>
          <w:p>
            <w:pPr>
              <w:jc w:val="center"/>
              <w:spacing w:after="0" w:line="201" w:lineRule="exact"/>
              <w:rPr>
                <w:sz w:val="20"/>
                <w:szCs w:val="20"/>
                <w:color w:val="auto"/>
              </w:rPr>
            </w:pPr>
            <w:r>
              <w:rPr>
                <w:rFonts w:ascii="Arial" w:cs="Arial" w:eastAsia="Arial" w:hAnsi="Arial"/>
                <w:sz w:val="18"/>
                <w:szCs w:val="18"/>
                <w:color w:val="auto"/>
                <w:w w:val="90"/>
              </w:rPr>
              <w:t>12,240</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Majerowicz</w:t>
            </w:r>
          </w:p>
        </w:tc>
        <w:tc>
          <w:tcPr>
            <w:tcW w:w="440" w:type="dxa"/>
            <w:vAlign w:val="bottom"/>
          </w:tcPr>
          <w:p>
            <w:pPr>
              <w:ind w:left="40"/>
              <w:spacing w:after="0"/>
              <w:rPr>
                <w:sz w:val="20"/>
                <w:szCs w:val="20"/>
                <w:color w:val="auto"/>
              </w:rPr>
            </w:pPr>
            <w:r>
              <w:rPr>
                <w:rFonts w:ascii="Arial" w:cs="Arial" w:eastAsia="Arial" w:hAnsi="Arial"/>
                <w:sz w:val="18"/>
                <w:szCs w:val="18"/>
                <w:color w:val="auto"/>
                <w:w w:val="94"/>
              </w:rPr>
              <w:t>2008</w:t>
            </w:r>
          </w:p>
        </w:tc>
        <w:tc>
          <w:tcPr>
            <w:tcW w:w="68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Secretary</w:t>
            </w: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02"/>
        </w:trPr>
        <w:tc>
          <w:tcPr>
            <w:tcW w:w="100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rPr>
              <w:t>Terence J.</w:t>
            </w:r>
          </w:p>
        </w:tc>
        <w:tc>
          <w:tcPr>
            <w:tcW w:w="440" w:type="dxa"/>
            <w:vAlign w:val="bottom"/>
            <w:shd w:val="clear" w:color="auto" w:fill="CBDBD1"/>
          </w:tcPr>
          <w:p>
            <w:pPr>
              <w:ind w:left="40"/>
              <w:spacing w:after="0" w:line="201" w:lineRule="exact"/>
              <w:rPr>
                <w:sz w:val="20"/>
                <w:szCs w:val="20"/>
                <w:color w:val="auto"/>
              </w:rPr>
            </w:pPr>
            <w:r>
              <w:rPr>
                <w:rFonts w:ascii="Arial" w:cs="Arial" w:eastAsia="Arial" w:hAnsi="Arial"/>
                <w:sz w:val="18"/>
                <w:szCs w:val="18"/>
                <w:color w:val="auto"/>
                <w:w w:val="94"/>
              </w:rPr>
              <w:t>2009</w:t>
            </w:r>
          </w:p>
        </w:tc>
        <w:tc>
          <w:tcPr>
            <w:tcW w:w="680" w:type="dxa"/>
            <w:vAlign w:val="bottom"/>
            <w:shd w:val="clear" w:color="auto" w:fill="CBDBD1"/>
          </w:tcPr>
          <w:p>
            <w:pPr>
              <w:jc w:val="center"/>
              <w:spacing w:after="0" w:line="201" w:lineRule="exact"/>
              <w:rPr>
                <w:sz w:val="20"/>
                <w:szCs w:val="20"/>
                <w:color w:val="auto"/>
              </w:rPr>
            </w:pPr>
            <w:r>
              <w:rPr>
                <w:rFonts w:ascii="Arial" w:cs="Arial" w:eastAsia="Arial" w:hAnsi="Arial"/>
                <w:sz w:val="18"/>
                <w:szCs w:val="18"/>
                <w:color w:val="auto"/>
                <w:w w:val="89"/>
              </w:rPr>
              <w:t>123,500</w:t>
            </w:r>
          </w:p>
        </w:tc>
        <w:tc>
          <w:tcPr>
            <w:tcW w:w="580" w:type="dxa"/>
            <w:vAlign w:val="bottom"/>
            <w:shd w:val="clear" w:color="auto" w:fill="CBDBD1"/>
          </w:tcPr>
          <w:p>
            <w:pPr>
              <w:jc w:val="center"/>
              <w:spacing w:after="0" w:line="201" w:lineRule="exact"/>
              <w:rPr>
                <w:sz w:val="20"/>
                <w:szCs w:val="20"/>
                <w:color w:val="auto"/>
              </w:rPr>
            </w:pPr>
            <w:r>
              <w:rPr>
                <w:rFonts w:ascii="Arial" w:cs="Arial" w:eastAsia="Arial" w:hAnsi="Arial"/>
                <w:sz w:val="18"/>
                <w:szCs w:val="18"/>
                <w:color w:val="auto"/>
                <w:w w:val="99"/>
              </w:rPr>
              <w:t>-</w:t>
            </w:r>
          </w:p>
        </w:tc>
        <w:tc>
          <w:tcPr>
            <w:tcW w:w="720" w:type="dxa"/>
            <w:vAlign w:val="bottom"/>
            <w:shd w:val="clear" w:color="auto" w:fill="CBDBD1"/>
          </w:tcPr>
          <w:p>
            <w:pPr>
              <w:jc w:val="center"/>
              <w:spacing w:after="0" w:line="201"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BDBD1"/>
          </w:tcPr>
          <w:p>
            <w:pPr>
              <w:jc w:val="center"/>
              <w:spacing w:after="0" w:line="202" w:lineRule="exact"/>
              <w:rPr>
                <w:sz w:val="20"/>
                <w:szCs w:val="20"/>
                <w:color w:val="auto"/>
              </w:rPr>
            </w:pPr>
            <w:r>
              <w:rPr>
                <w:rFonts w:ascii="Arial" w:cs="Arial" w:eastAsia="Arial" w:hAnsi="Arial"/>
                <w:sz w:val="17"/>
                <w:szCs w:val="17"/>
                <w:color w:val="auto"/>
                <w:w w:val="92"/>
              </w:rPr>
              <w:t>461,330</w:t>
            </w:r>
            <w:r>
              <w:rPr>
                <w:rFonts w:ascii="Arial" w:cs="Arial" w:eastAsia="Arial" w:hAnsi="Arial"/>
                <w:sz w:val="23"/>
                <w:szCs w:val="23"/>
                <w:color w:val="auto"/>
                <w:w w:val="92"/>
                <w:vertAlign w:val="superscript"/>
              </w:rPr>
              <w:t>(2)</w:t>
            </w:r>
          </w:p>
        </w:tc>
        <w:tc>
          <w:tcPr>
            <w:tcW w:w="1200" w:type="dxa"/>
            <w:vAlign w:val="bottom"/>
            <w:shd w:val="clear" w:color="auto" w:fill="CBDBD1"/>
          </w:tcPr>
          <w:p>
            <w:pPr>
              <w:jc w:val="center"/>
              <w:spacing w:after="0" w:line="201"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BDBD1"/>
          </w:tcPr>
          <w:p>
            <w:pPr>
              <w:jc w:val="center"/>
              <w:spacing w:after="0" w:line="201"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BDBD1"/>
          </w:tcPr>
          <w:p>
            <w:pPr>
              <w:jc w:val="center"/>
              <w:spacing w:after="0" w:line="201"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BDBD1"/>
          </w:tcPr>
          <w:p>
            <w:pPr>
              <w:jc w:val="center"/>
              <w:spacing w:after="0" w:line="201" w:lineRule="exact"/>
              <w:rPr>
                <w:sz w:val="20"/>
                <w:szCs w:val="20"/>
                <w:color w:val="auto"/>
              </w:rPr>
            </w:pPr>
            <w:r>
              <w:rPr>
                <w:rFonts w:ascii="Arial" w:cs="Arial" w:eastAsia="Arial" w:hAnsi="Arial"/>
                <w:sz w:val="18"/>
                <w:szCs w:val="18"/>
                <w:color w:val="auto"/>
                <w:w w:val="89"/>
              </w:rPr>
              <w:t>584,830</w:t>
            </w:r>
          </w:p>
        </w:tc>
      </w:tr>
      <w:tr>
        <w:trPr>
          <w:trHeight w:val="216"/>
        </w:trPr>
        <w:tc>
          <w:tcPr>
            <w:tcW w:w="1000" w:type="dxa"/>
            <w:vAlign w:val="bottom"/>
            <w:shd w:val="clear" w:color="auto" w:fill="CBDBD1"/>
          </w:tcPr>
          <w:p>
            <w:pPr>
              <w:spacing w:after="0"/>
              <w:rPr>
                <w:sz w:val="20"/>
                <w:szCs w:val="20"/>
                <w:color w:val="auto"/>
              </w:rPr>
            </w:pPr>
            <w:r>
              <w:rPr>
                <w:rFonts w:ascii="Arial" w:cs="Arial" w:eastAsia="Arial" w:hAnsi="Arial"/>
                <w:sz w:val="18"/>
                <w:szCs w:val="18"/>
                <w:color w:val="auto"/>
              </w:rPr>
              <w:t>Hamilton</w:t>
            </w:r>
          </w:p>
        </w:tc>
        <w:tc>
          <w:tcPr>
            <w:tcW w:w="440" w:type="dxa"/>
            <w:vAlign w:val="bottom"/>
            <w:shd w:val="clear" w:color="auto" w:fill="CBDBD1"/>
          </w:tcPr>
          <w:p>
            <w:pPr>
              <w:ind w:left="40"/>
              <w:spacing w:after="0"/>
              <w:rPr>
                <w:sz w:val="20"/>
                <w:szCs w:val="20"/>
                <w:color w:val="auto"/>
              </w:rPr>
            </w:pPr>
            <w:r>
              <w:rPr>
                <w:rFonts w:ascii="Arial" w:cs="Arial" w:eastAsia="Arial" w:hAnsi="Arial"/>
                <w:sz w:val="18"/>
                <w:szCs w:val="18"/>
                <w:color w:val="auto"/>
                <w:w w:val="94"/>
              </w:rPr>
              <w:t>2008</w:t>
            </w:r>
          </w:p>
        </w:tc>
        <w:tc>
          <w:tcPr>
            <w:tcW w:w="68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89"/>
              </w:rPr>
              <w:t>120,000</w:t>
            </w:r>
          </w:p>
        </w:tc>
        <w:tc>
          <w:tcPr>
            <w:tcW w:w="58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89"/>
              </w:rPr>
              <w:t>120,000</w:t>
            </w:r>
          </w:p>
        </w:tc>
      </w:tr>
      <w:tr>
        <w:trPr>
          <w:trHeight w:val="216"/>
        </w:trPr>
        <w:tc>
          <w:tcPr>
            <w:tcW w:w="1000" w:type="dxa"/>
            <w:vAlign w:val="bottom"/>
            <w:shd w:val="clear" w:color="auto" w:fill="CBDBD1"/>
          </w:tcPr>
          <w:p>
            <w:pPr>
              <w:spacing w:after="0"/>
              <w:rPr>
                <w:sz w:val="20"/>
                <w:szCs w:val="20"/>
                <w:color w:val="auto"/>
              </w:rPr>
            </w:pPr>
            <w:r>
              <w:rPr>
                <w:rFonts w:ascii="Arial" w:cs="Arial" w:eastAsia="Arial" w:hAnsi="Arial"/>
                <w:sz w:val="18"/>
                <w:szCs w:val="18"/>
                <w:color w:val="auto"/>
              </w:rPr>
              <w:t>VP of Sales</w:t>
            </w:r>
          </w:p>
        </w:tc>
        <w:tc>
          <w:tcPr>
            <w:tcW w:w="440" w:type="dxa"/>
            <w:vAlign w:val="bottom"/>
            <w:shd w:val="clear" w:color="auto" w:fill="CBDBD1"/>
          </w:tcPr>
          <w:p>
            <w:pPr>
              <w:spacing w:after="0"/>
              <w:rPr>
                <w:sz w:val="18"/>
                <w:szCs w:val="18"/>
                <w:color w:val="auto"/>
              </w:rPr>
            </w:pPr>
          </w:p>
        </w:tc>
        <w:tc>
          <w:tcPr>
            <w:tcW w:w="680" w:type="dxa"/>
            <w:vAlign w:val="bottom"/>
            <w:shd w:val="clear" w:color="auto" w:fill="CBDBD1"/>
          </w:tcPr>
          <w:p>
            <w:pPr>
              <w:spacing w:after="0"/>
              <w:rPr>
                <w:sz w:val="18"/>
                <w:szCs w:val="18"/>
                <w:color w:val="auto"/>
              </w:rPr>
            </w:pPr>
          </w:p>
        </w:tc>
        <w:tc>
          <w:tcPr>
            <w:tcW w:w="580" w:type="dxa"/>
            <w:vAlign w:val="bottom"/>
            <w:shd w:val="clear" w:color="auto" w:fill="CBDBD1"/>
          </w:tcPr>
          <w:p>
            <w:pPr>
              <w:spacing w:after="0"/>
              <w:rPr>
                <w:sz w:val="18"/>
                <w:szCs w:val="18"/>
                <w:color w:val="auto"/>
              </w:rPr>
            </w:pPr>
          </w:p>
        </w:tc>
        <w:tc>
          <w:tcPr>
            <w:tcW w:w="720" w:type="dxa"/>
            <w:vAlign w:val="bottom"/>
            <w:shd w:val="clear" w:color="auto" w:fill="CBDBD1"/>
          </w:tcPr>
          <w:p>
            <w:pPr>
              <w:spacing w:after="0"/>
              <w:rPr>
                <w:sz w:val="18"/>
                <w:szCs w:val="18"/>
                <w:color w:val="auto"/>
              </w:rPr>
            </w:pPr>
          </w:p>
        </w:tc>
        <w:tc>
          <w:tcPr>
            <w:tcW w:w="860" w:type="dxa"/>
            <w:vAlign w:val="bottom"/>
            <w:shd w:val="clear" w:color="auto" w:fill="CBDBD1"/>
          </w:tcPr>
          <w:p>
            <w:pPr>
              <w:spacing w:after="0"/>
              <w:rPr>
                <w:sz w:val="18"/>
                <w:szCs w:val="18"/>
                <w:color w:val="auto"/>
              </w:rPr>
            </w:pPr>
          </w:p>
        </w:tc>
        <w:tc>
          <w:tcPr>
            <w:tcW w:w="1200" w:type="dxa"/>
            <w:vAlign w:val="bottom"/>
            <w:shd w:val="clear" w:color="auto" w:fill="CBDBD1"/>
          </w:tcPr>
          <w:p>
            <w:pPr>
              <w:spacing w:after="0"/>
              <w:rPr>
                <w:sz w:val="18"/>
                <w:szCs w:val="18"/>
                <w:color w:val="auto"/>
              </w:rPr>
            </w:pPr>
          </w:p>
        </w:tc>
        <w:tc>
          <w:tcPr>
            <w:tcW w:w="1200" w:type="dxa"/>
            <w:vAlign w:val="bottom"/>
            <w:shd w:val="clear" w:color="auto" w:fill="CBDBD1"/>
          </w:tcPr>
          <w:p>
            <w:pPr>
              <w:spacing w:after="0"/>
              <w:rPr>
                <w:sz w:val="18"/>
                <w:szCs w:val="18"/>
                <w:color w:val="auto"/>
              </w:rPr>
            </w:pPr>
          </w:p>
        </w:tc>
        <w:tc>
          <w:tcPr>
            <w:tcW w:w="1160" w:type="dxa"/>
            <w:vAlign w:val="bottom"/>
            <w:shd w:val="clear" w:color="auto" w:fill="CBDBD1"/>
          </w:tcPr>
          <w:p>
            <w:pPr>
              <w:spacing w:after="0"/>
              <w:rPr>
                <w:sz w:val="18"/>
                <w:szCs w:val="18"/>
                <w:color w:val="auto"/>
              </w:rPr>
            </w:pPr>
          </w:p>
        </w:tc>
        <w:tc>
          <w:tcPr>
            <w:tcW w:w="700" w:type="dxa"/>
            <w:vAlign w:val="bottom"/>
            <w:shd w:val="clear" w:color="auto" w:fill="CBDBD1"/>
          </w:tcPr>
          <w:p>
            <w:pPr>
              <w:spacing w:after="0"/>
              <w:rPr>
                <w:sz w:val="18"/>
                <w:szCs w:val="18"/>
                <w:color w:val="auto"/>
              </w:rPr>
            </w:pPr>
          </w:p>
        </w:tc>
      </w:tr>
      <w:tr>
        <w:trPr>
          <w:trHeight w:val="216"/>
        </w:trPr>
        <w:tc>
          <w:tcPr>
            <w:tcW w:w="1000" w:type="dxa"/>
            <w:vAlign w:val="bottom"/>
            <w:shd w:val="clear" w:color="auto" w:fill="CBDBD1"/>
          </w:tcPr>
          <w:p>
            <w:pPr>
              <w:spacing w:after="0"/>
              <w:rPr>
                <w:sz w:val="20"/>
                <w:szCs w:val="20"/>
                <w:color w:val="auto"/>
              </w:rPr>
            </w:pPr>
            <w:r>
              <w:rPr>
                <w:rFonts w:ascii="Arial" w:cs="Arial" w:eastAsia="Arial" w:hAnsi="Arial"/>
                <w:sz w:val="18"/>
                <w:szCs w:val="18"/>
                <w:color w:val="auto"/>
              </w:rPr>
              <w:t>and</w:t>
            </w:r>
          </w:p>
        </w:tc>
        <w:tc>
          <w:tcPr>
            <w:tcW w:w="440" w:type="dxa"/>
            <w:vAlign w:val="bottom"/>
            <w:shd w:val="clear" w:color="auto" w:fill="CBDBD1"/>
          </w:tcPr>
          <w:p>
            <w:pPr>
              <w:spacing w:after="0"/>
              <w:rPr>
                <w:sz w:val="18"/>
                <w:szCs w:val="18"/>
                <w:color w:val="auto"/>
              </w:rPr>
            </w:pPr>
          </w:p>
        </w:tc>
        <w:tc>
          <w:tcPr>
            <w:tcW w:w="680" w:type="dxa"/>
            <w:vAlign w:val="bottom"/>
            <w:shd w:val="clear" w:color="auto" w:fill="CBDBD1"/>
          </w:tcPr>
          <w:p>
            <w:pPr>
              <w:spacing w:after="0"/>
              <w:rPr>
                <w:sz w:val="18"/>
                <w:szCs w:val="18"/>
                <w:color w:val="auto"/>
              </w:rPr>
            </w:pPr>
          </w:p>
        </w:tc>
        <w:tc>
          <w:tcPr>
            <w:tcW w:w="580" w:type="dxa"/>
            <w:vAlign w:val="bottom"/>
            <w:shd w:val="clear" w:color="auto" w:fill="CBDBD1"/>
          </w:tcPr>
          <w:p>
            <w:pPr>
              <w:spacing w:after="0"/>
              <w:rPr>
                <w:sz w:val="18"/>
                <w:szCs w:val="18"/>
                <w:color w:val="auto"/>
              </w:rPr>
            </w:pPr>
          </w:p>
        </w:tc>
        <w:tc>
          <w:tcPr>
            <w:tcW w:w="720" w:type="dxa"/>
            <w:vAlign w:val="bottom"/>
            <w:shd w:val="clear" w:color="auto" w:fill="CBDBD1"/>
          </w:tcPr>
          <w:p>
            <w:pPr>
              <w:spacing w:after="0"/>
              <w:rPr>
                <w:sz w:val="18"/>
                <w:szCs w:val="18"/>
                <w:color w:val="auto"/>
              </w:rPr>
            </w:pPr>
          </w:p>
        </w:tc>
        <w:tc>
          <w:tcPr>
            <w:tcW w:w="860" w:type="dxa"/>
            <w:vAlign w:val="bottom"/>
            <w:shd w:val="clear" w:color="auto" w:fill="CBDBD1"/>
          </w:tcPr>
          <w:p>
            <w:pPr>
              <w:spacing w:after="0"/>
              <w:rPr>
                <w:sz w:val="18"/>
                <w:szCs w:val="18"/>
                <w:color w:val="auto"/>
              </w:rPr>
            </w:pPr>
          </w:p>
        </w:tc>
        <w:tc>
          <w:tcPr>
            <w:tcW w:w="1200" w:type="dxa"/>
            <w:vAlign w:val="bottom"/>
            <w:shd w:val="clear" w:color="auto" w:fill="CBDBD1"/>
          </w:tcPr>
          <w:p>
            <w:pPr>
              <w:spacing w:after="0"/>
              <w:rPr>
                <w:sz w:val="18"/>
                <w:szCs w:val="18"/>
                <w:color w:val="auto"/>
              </w:rPr>
            </w:pPr>
          </w:p>
        </w:tc>
        <w:tc>
          <w:tcPr>
            <w:tcW w:w="1200" w:type="dxa"/>
            <w:vAlign w:val="bottom"/>
            <w:shd w:val="clear" w:color="auto" w:fill="CBDBD1"/>
          </w:tcPr>
          <w:p>
            <w:pPr>
              <w:spacing w:after="0"/>
              <w:rPr>
                <w:sz w:val="18"/>
                <w:szCs w:val="18"/>
                <w:color w:val="auto"/>
              </w:rPr>
            </w:pPr>
          </w:p>
        </w:tc>
        <w:tc>
          <w:tcPr>
            <w:tcW w:w="1160" w:type="dxa"/>
            <w:vAlign w:val="bottom"/>
            <w:shd w:val="clear" w:color="auto" w:fill="CBDBD1"/>
          </w:tcPr>
          <w:p>
            <w:pPr>
              <w:spacing w:after="0"/>
              <w:rPr>
                <w:sz w:val="18"/>
                <w:szCs w:val="18"/>
                <w:color w:val="auto"/>
              </w:rPr>
            </w:pPr>
          </w:p>
        </w:tc>
        <w:tc>
          <w:tcPr>
            <w:tcW w:w="700" w:type="dxa"/>
            <w:vAlign w:val="bottom"/>
            <w:shd w:val="clear" w:color="auto" w:fill="CBDBD1"/>
          </w:tcPr>
          <w:p>
            <w:pPr>
              <w:spacing w:after="0"/>
              <w:rPr>
                <w:sz w:val="18"/>
                <w:szCs w:val="18"/>
                <w:color w:val="auto"/>
              </w:rPr>
            </w:pPr>
          </w:p>
        </w:tc>
      </w:tr>
      <w:tr>
        <w:trPr>
          <w:trHeight w:val="230"/>
        </w:trPr>
        <w:tc>
          <w:tcPr>
            <w:tcW w:w="1000" w:type="dxa"/>
            <w:vAlign w:val="bottom"/>
            <w:shd w:val="clear" w:color="auto" w:fill="CBDBD1"/>
          </w:tcPr>
          <w:p>
            <w:pPr>
              <w:spacing w:after="0" w:line="230" w:lineRule="exact"/>
              <w:rPr>
                <w:sz w:val="20"/>
                <w:szCs w:val="20"/>
                <w:color w:val="auto"/>
              </w:rPr>
            </w:pPr>
            <w:r>
              <w:rPr>
                <w:rFonts w:ascii="Arial" w:cs="Arial" w:eastAsia="Arial" w:hAnsi="Arial"/>
                <w:sz w:val="18"/>
                <w:szCs w:val="18"/>
                <w:color w:val="auto"/>
              </w:rPr>
              <w:t>Director</w:t>
            </w:r>
            <w:r>
              <w:rPr>
                <w:rFonts w:ascii="Arial" w:cs="Arial" w:eastAsia="Arial" w:hAnsi="Arial"/>
                <w:sz w:val="25"/>
                <w:szCs w:val="25"/>
                <w:color w:val="auto"/>
                <w:vertAlign w:val="superscript"/>
              </w:rPr>
              <w:t>(4)</w:t>
            </w:r>
          </w:p>
        </w:tc>
        <w:tc>
          <w:tcPr>
            <w:tcW w:w="440" w:type="dxa"/>
            <w:vAlign w:val="bottom"/>
            <w:shd w:val="clear" w:color="auto" w:fill="CBDBD1"/>
          </w:tcPr>
          <w:p>
            <w:pPr>
              <w:spacing w:after="0"/>
              <w:rPr>
                <w:sz w:val="20"/>
                <w:szCs w:val="20"/>
                <w:color w:val="auto"/>
              </w:rPr>
            </w:pPr>
          </w:p>
        </w:tc>
        <w:tc>
          <w:tcPr>
            <w:tcW w:w="680" w:type="dxa"/>
            <w:vAlign w:val="bottom"/>
            <w:shd w:val="clear" w:color="auto" w:fill="CBDBD1"/>
          </w:tcPr>
          <w:p>
            <w:pPr>
              <w:spacing w:after="0"/>
              <w:rPr>
                <w:sz w:val="20"/>
                <w:szCs w:val="20"/>
                <w:color w:val="auto"/>
              </w:rPr>
            </w:pPr>
          </w:p>
        </w:tc>
        <w:tc>
          <w:tcPr>
            <w:tcW w:w="580" w:type="dxa"/>
            <w:vAlign w:val="bottom"/>
            <w:shd w:val="clear" w:color="auto" w:fill="CBDBD1"/>
          </w:tcPr>
          <w:p>
            <w:pPr>
              <w:spacing w:after="0"/>
              <w:rPr>
                <w:sz w:val="20"/>
                <w:szCs w:val="20"/>
                <w:color w:val="auto"/>
              </w:rPr>
            </w:pPr>
          </w:p>
        </w:tc>
        <w:tc>
          <w:tcPr>
            <w:tcW w:w="720" w:type="dxa"/>
            <w:vAlign w:val="bottom"/>
            <w:shd w:val="clear" w:color="auto" w:fill="CBDBD1"/>
          </w:tcPr>
          <w:p>
            <w:pPr>
              <w:spacing w:after="0"/>
              <w:rPr>
                <w:sz w:val="20"/>
                <w:szCs w:val="20"/>
                <w:color w:val="auto"/>
              </w:rPr>
            </w:pPr>
          </w:p>
        </w:tc>
        <w:tc>
          <w:tcPr>
            <w:tcW w:w="860" w:type="dxa"/>
            <w:vAlign w:val="bottom"/>
            <w:shd w:val="clear" w:color="auto" w:fill="CBDBD1"/>
          </w:tcPr>
          <w:p>
            <w:pPr>
              <w:spacing w:after="0"/>
              <w:rPr>
                <w:sz w:val="20"/>
                <w:szCs w:val="20"/>
                <w:color w:val="auto"/>
              </w:rPr>
            </w:pPr>
          </w:p>
        </w:tc>
        <w:tc>
          <w:tcPr>
            <w:tcW w:w="1200" w:type="dxa"/>
            <w:vAlign w:val="bottom"/>
            <w:shd w:val="clear" w:color="auto" w:fill="CBDBD1"/>
          </w:tcPr>
          <w:p>
            <w:pPr>
              <w:spacing w:after="0"/>
              <w:rPr>
                <w:sz w:val="20"/>
                <w:szCs w:val="20"/>
                <w:color w:val="auto"/>
              </w:rPr>
            </w:pPr>
          </w:p>
        </w:tc>
        <w:tc>
          <w:tcPr>
            <w:tcW w:w="1200" w:type="dxa"/>
            <w:vAlign w:val="bottom"/>
            <w:shd w:val="clear" w:color="auto" w:fill="CBDBD1"/>
          </w:tcPr>
          <w:p>
            <w:pPr>
              <w:spacing w:after="0"/>
              <w:rPr>
                <w:sz w:val="20"/>
                <w:szCs w:val="20"/>
                <w:color w:val="auto"/>
              </w:rPr>
            </w:pPr>
          </w:p>
        </w:tc>
        <w:tc>
          <w:tcPr>
            <w:tcW w:w="1160" w:type="dxa"/>
            <w:vAlign w:val="bottom"/>
            <w:shd w:val="clear" w:color="auto" w:fill="CBDBD1"/>
          </w:tcPr>
          <w:p>
            <w:pPr>
              <w:spacing w:after="0"/>
              <w:rPr>
                <w:sz w:val="20"/>
                <w:szCs w:val="20"/>
                <w:color w:val="auto"/>
              </w:rPr>
            </w:pPr>
          </w:p>
        </w:tc>
        <w:tc>
          <w:tcPr>
            <w:tcW w:w="700" w:type="dxa"/>
            <w:vAlign w:val="bottom"/>
            <w:shd w:val="clear" w:color="auto" w:fill="CBDBD1"/>
          </w:tcPr>
          <w:p>
            <w:pPr>
              <w:spacing w:after="0"/>
              <w:rPr>
                <w:sz w:val="20"/>
                <w:szCs w:val="20"/>
                <w:color w:val="auto"/>
              </w:rPr>
            </w:pPr>
          </w:p>
        </w:tc>
      </w:tr>
      <w:tr>
        <w:trPr>
          <w:trHeight w:val="202"/>
        </w:trPr>
        <w:tc>
          <w:tcPr>
            <w:tcW w:w="1000" w:type="dxa"/>
            <w:vAlign w:val="bottom"/>
          </w:tcPr>
          <w:p>
            <w:pPr>
              <w:spacing w:after="0" w:line="201" w:lineRule="exact"/>
              <w:rPr>
                <w:sz w:val="20"/>
                <w:szCs w:val="20"/>
                <w:color w:val="auto"/>
              </w:rPr>
            </w:pPr>
            <w:r>
              <w:rPr>
                <w:rFonts w:ascii="Arial" w:cs="Arial" w:eastAsia="Arial" w:hAnsi="Arial"/>
                <w:sz w:val="18"/>
                <w:szCs w:val="18"/>
                <w:color w:val="auto"/>
              </w:rPr>
              <w:t>David</w:t>
            </w:r>
          </w:p>
        </w:tc>
        <w:tc>
          <w:tcPr>
            <w:tcW w:w="440" w:type="dxa"/>
            <w:vAlign w:val="bottom"/>
          </w:tcPr>
          <w:p>
            <w:pPr>
              <w:ind w:left="40"/>
              <w:spacing w:after="0" w:line="201" w:lineRule="exact"/>
              <w:rPr>
                <w:sz w:val="20"/>
                <w:szCs w:val="20"/>
                <w:color w:val="auto"/>
              </w:rPr>
            </w:pPr>
            <w:r>
              <w:rPr>
                <w:rFonts w:ascii="Arial" w:cs="Arial" w:eastAsia="Arial" w:hAnsi="Arial"/>
                <w:sz w:val="18"/>
                <w:szCs w:val="18"/>
                <w:color w:val="auto"/>
                <w:w w:val="94"/>
              </w:rPr>
              <w:t>2009</w:t>
            </w:r>
          </w:p>
        </w:tc>
        <w:tc>
          <w:tcPr>
            <w:tcW w:w="1260" w:type="dxa"/>
            <w:vAlign w:val="bottom"/>
            <w:gridSpan w:val="2"/>
          </w:tcPr>
          <w:p>
            <w:pPr>
              <w:jc w:val="right"/>
              <w:spacing w:after="0" w:line="201" w:lineRule="exact"/>
              <w:rPr>
                <w:sz w:val="20"/>
                <w:szCs w:val="20"/>
                <w:color w:val="auto"/>
              </w:rPr>
            </w:pPr>
            <w:r>
              <w:rPr>
                <w:rFonts w:ascii="Arial" w:cs="Arial" w:eastAsia="Arial" w:hAnsi="Arial"/>
                <w:sz w:val="18"/>
                <w:szCs w:val="18"/>
                <w:color w:val="auto"/>
                <w:w w:val="95"/>
              </w:rPr>
              <w:t>152,000 70,000</w:t>
            </w: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860" w:type="dxa"/>
            <w:vAlign w:val="bottom"/>
          </w:tcPr>
          <w:p>
            <w:pPr>
              <w:jc w:val="center"/>
              <w:spacing w:after="0" w:line="202" w:lineRule="exact"/>
              <w:rPr>
                <w:sz w:val="20"/>
                <w:szCs w:val="20"/>
                <w:color w:val="auto"/>
              </w:rPr>
            </w:pPr>
            <w:r>
              <w:rPr>
                <w:rFonts w:ascii="Arial" w:cs="Arial" w:eastAsia="Arial" w:hAnsi="Arial"/>
                <w:sz w:val="17"/>
                <w:szCs w:val="17"/>
                <w:color w:val="auto"/>
                <w:w w:val="92"/>
              </w:rPr>
              <w:t>307,553</w:t>
            </w:r>
            <w:r>
              <w:rPr>
                <w:rFonts w:ascii="Arial" w:cs="Arial" w:eastAsia="Arial" w:hAnsi="Arial"/>
                <w:sz w:val="23"/>
                <w:szCs w:val="23"/>
                <w:color w:val="auto"/>
                <w:w w:val="92"/>
                <w:vertAlign w:val="superscript"/>
              </w:rPr>
              <w:t>(2)</w:t>
            </w:r>
          </w:p>
        </w:tc>
        <w:tc>
          <w:tcPr>
            <w:tcW w:w="120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700" w:type="dxa"/>
            <w:vAlign w:val="bottom"/>
          </w:tcPr>
          <w:p>
            <w:pPr>
              <w:jc w:val="center"/>
              <w:spacing w:after="0" w:line="201" w:lineRule="exact"/>
              <w:rPr>
                <w:sz w:val="20"/>
                <w:szCs w:val="20"/>
                <w:color w:val="auto"/>
              </w:rPr>
            </w:pPr>
            <w:r>
              <w:rPr>
                <w:rFonts w:ascii="Arial" w:cs="Arial" w:eastAsia="Arial" w:hAnsi="Arial"/>
                <w:sz w:val="18"/>
                <w:szCs w:val="18"/>
                <w:color w:val="auto"/>
                <w:w w:val="89"/>
              </w:rPr>
              <w:t>529,553</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Harrell,</w:t>
            </w:r>
          </w:p>
        </w:tc>
        <w:tc>
          <w:tcPr>
            <w:tcW w:w="440" w:type="dxa"/>
            <w:vAlign w:val="bottom"/>
          </w:tcPr>
          <w:p>
            <w:pPr>
              <w:ind w:left="40"/>
              <w:spacing w:after="0"/>
              <w:rPr>
                <w:sz w:val="20"/>
                <w:szCs w:val="20"/>
                <w:color w:val="auto"/>
              </w:rPr>
            </w:pPr>
            <w:r>
              <w:rPr>
                <w:rFonts w:ascii="Arial" w:cs="Arial" w:eastAsia="Arial" w:hAnsi="Arial"/>
                <w:sz w:val="18"/>
                <w:szCs w:val="18"/>
                <w:color w:val="auto"/>
                <w:w w:val="94"/>
              </w:rPr>
              <w:t>2008</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144,000</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144,000</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Former</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88"/>
              </w:rPr>
              <w:t>President and</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0"/>
        </w:trPr>
        <w:tc>
          <w:tcPr>
            <w:tcW w:w="1000" w:type="dxa"/>
            <w:vAlign w:val="bottom"/>
          </w:tcPr>
          <w:p>
            <w:pPr>
              <w:spacing w:after="0" w:line="230" w:lineRule="exact"/>
              <w:rPr>
                <w:sz w:val="20"/>
                <w:szCs w:val="20"/>
                <w:color w:val="auto"/>
              </w:rPr>
            </w:pPr>
            <w:r>
              <w:rPr>
                <w:rFonts w:ascii="Arial" w:cs="Arial" w:eastAsia="Arial" w:hAnsi="Arial"/>
                <w:sz w:val="18"/>
                <w:szCs w:val="18"/>
                <w:color w:val="auto"/>
              </w:rPr>
              <w:t>CEO</w:t>
            </w:r>
            <w:r>
              <w:rPr>
                <w:rFonts w:ascii="Arial" w:cs="Arial" w:eastAsia="Arial" w:hAnsi="Arial"/>
                <w:sz w:val="25"/>
                <w:szCs w:val="25"/>
                <w:color w:val="auto"/>
                <w:vertAlign w:val="superscript"/>
              </w:rPr>
              <w:t>(5)</w:t>
            </w: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02"/>
        </w:trPr>
        <w:tc>
          <w:tcPr>
            <w:tcW w:w="100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rPr>
              <w:t>James</w:t>
            </w:r>
          </w:p>
        </w:tc>
        <w:tc>
          <w:tcPr>
            <w:tcW w:w="440" w:type="dxa"/>
            <w:vAlign w:val="bottom"/>
            <w:shd w:val="clear" w:color="auto" w:fill="CBDBD1"/>
          </w:tcPr>
          <w:p>
            <w:pPr>
              <w:ind w:left="40"/>
              <w:spacing w:after="0" w:line="201" w:lineRule="exact"/>
              <w:rPr>
                <w:sz w:val="20"/>
                <w:szCs w:val="20"/>
                <w:color w:val="auto"/>
              </w:rPr>
            </w:pPr>
            <w:r>
              <w:rPr>
                <w:rFonts w:ascii="Arial" w:cs="Arial" w:eastAsia="Arial" w:hAnsi="Arial"/>
                <w:sz w:val="18"/>
                <w:szCs w:val="18"/>
                <w:color w:val="auto"/>
                <w:w w:val="94"/>
              </w:rPr>
              <w:t>2009</w:t>
            </w:r>
          </w:p>
        </w:tc>
        <w:tc>
          <w:tcPr>
            <w:tcW w:w="680" w:type="dxa"/>
            <w:vAlign w:val="bottom"/>
            <w:shd w:val="clear" w:color="auto" w:fill="CBDBD1"/>
          </w:tcPr>
          <w:p>
            <w:pPr>
              <w:jc w:val="center"/>
              <w:spacing w:after="0" w:line="201"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BDBD1"/>
          </w:tcPr>
          <w:p>
            <w:pPr>
              <w:jc w:val="center"/>
              <w:spacing w:after="0" w:line="201" w:lineRule="exact"/>
              <w:rPr>
                <w:sz w:val="20"/>
                <w:szCs w:val="20"/>
                <w:color w:val="auto"/>
              </w:rPr>
            </w:pPr>
            <w:r>
              <w:rPr>
                <w:rFonts w:ascii="Arial" w:cs="Arial" w:eastAsia="Arial" w:hAnsi="Arial"/>
                <w:sz w:val="18"/>
                <w:szCs w:val="18"/>
                <w:color w:val="auto"/>
                <w:w w:val="99"/>
              </w:rPr>
              <w:t>-</w:t>
            </w:r>
          </w:p>
        </w:tc>
        <w:tc>
          <w:tcPr>
            <w:tcW w:w="720" w:type="dxa"/>
            <w:vAlign w:val="bottom"/>
            <w:shd w:val="clear" w:color="auto" w:fill="CBDBD1"/>
          </w:tcPr>
          <w:p>
            <w:pPr>
              <w:jc w:val="center"/>
              <w:spacing w:after="0" w:line="201"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BDBD1"/>
          </w:tcPr>
          <w:p>
            <w:pPr>
              <w:jc w:val="center"/>
              <w:spacing w:after="0" w:line="201"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BDBD1"/>
          </w:tcPr>
          <w:p>
            <w:pPr>
              <w:jc w:val="center"/>
              <w:spacing w:after="0" w:line="201"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BDBD1"/>
          </w:tcPr>
          <w:p>
            <w:pPr>
              <w:jc w:val="center"/>
              <w:spacing w:after="0" w:line="201"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BDBD1"/>
          </w:tcPr>
          <w:p>
            <w:pPr>
              <w:jc w:val="center"/>
              <w:spacing w:after="0" w:line="201"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BDBD1"/>
          </w:tcPr>
          <w:p>
            <w:pPr>
              <w:jc w:val="center"/>
              <w:spacing w:after="0" w:line="201" w:lineRule="exact"/>
              <w:rPr>
                <w:sz w:val="20"/>
                <w:szCs w:val="20"/>
                <w:color w:val="auto"/>
              </w:rPr>
            </w:pPr>
            <w:r>
              <w:rPr>
                <w:rFonts w:ascii="Arial" w:cs="Arial" w:eastAsia="Arial" w:hAnsi="Arial"/>
                <w:sz w:val="18"/>
                <w:szCs w:val="18"/>
                <w:color w:val="auto"/>
                <w:w w:val="99"/>
              </w:rPr>
              <w:t>-</w:t>
            </w:r>
          </w:p>
        </w:tc>
      </w:tr>
      <w:tr>
        <w:trPr>
          <w:trHeight w:val="216"/>
        </w:trPr>
        <w:tc>
          <w:tcPr>
            <w:tcW w:w="1000" w:type="dxa"/>
            <w:vAlign w:val="bottom"/>
            <w:shd w:val="clear" w:color="auto" w:fill="CBDBD1"/>
          </w:tcPr>
          <w:p>
            <w:pPr>
              <w:spacing w:after="0"/>
              <w:rPr>
                <w:sz w:val="20"/>
                <w:szCs w:val="20"/>
                <w:color w:val="auto"/>
              </w:rPr>
            </w:pPr>
            <w:r>
              <w:rPr>
                <w:rFonts w:ascii="Arial" w:cs="Arial" w:eastAsia="Arial" w:hAnsi="Arial"/>
                <w:sz w:val="18"/>
                <w:szCs w:val="18"/>
                <w:color w:val="auto"/>
              </w:rPr>
              <w:t>Vandeberg,</w:t>
            </w:r>
          </w:p>
        </w:tc>
        <w:tc>
          <w:tcPr>
            <w:tcW w:w="440" w:type="dxa"/>
            <w:vAlign w:val="bottom"/>
            <w:shd w:val="clear" w:color="auto" w:fill="CBDBD1"/>
          </w:tcPr>
          <w:p>
            <w:pPr>
              <w:ind w:left="40"/>
              <w:spacing w:after="0"/>
              <w:rPr>
                <w:sz w:val="20"/>
                <w:szCs w:val="20"/>
                <w:color w:val="auto"/>
              </w:rPr>
            </w:pPr>
            <w:r>
              <w:rPr>
                <w:rFonts w:ascii="Arial" w:cs="Arial" w:eastAsia="Arial" w:hAnsi="Arial"/>
                <w:sz w:val="18"/>
                <w:szCs w:val="18"/>
                <w:color w:val="auto"/>
                <w:w w:val="94"/>
              </w:rPr>
              <w:t>2008</w:t>
            </w:r>
          </w:p>
        </w:tc>
        <w:tc>
          <w:tcPr>
            <w:tcW w:w="68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000" w:type="dxa"/>
            <w:vAlign w:val="bottom"/>
            <w:shd w:val="clear" w:color="auto" w:fill="CBDBD1"/>
          </w:tcPr>
          <w:p>
            <w:pPr>
              <w:spacing w:after="0"/>
              <w:rPr>
                <w:sz w:val="20"/>
                <w:szCs w:val="20"/>
                <w:color w:val="auto"/>
              </w:rPr>
            </w:pPr>
            <w:r>
              <w:rPr>
                <w:rFonts w:ascii="Arial" w:cs="Arial" w:eastAsia="Arial" w:hAnsi="Arial"/>
                <w:sz w:val="18"/>
                <w:szCs w:val="18"/>
                <w:color w:val="auto"/>
                <w:w w:val="96"/>
              </w:rPr>
              <w:t>Former CEO</w:t>
            </w:r>
          </w:p>
        </w:tc>
        <w:tc>
          <w:tcPr>
            <w:tcW w:w="440" w:type="dxa"/>
            <w:vAlign w:val="bottom"/>
            <w:shd w:val="clear" w:color="auto" w:fill="CBDBD1"/>
          </w:tcPr>
          <w:p>
            <w:pPr>
              <w:spacing w:after="0"/>
              <w:rPr>
                <w:sz w:val="18"/>
                <w:szCs w:val="18"/>
                <w:color w:val="auto"/>
              </w:rPr>
            </w:pPr>
          </w:p>
        </w:tc>
        <w:tc>
          <w:tcPr>
            <w:tcW w:w="680" w:type="dxa"/>
            <w:vAlign w:val="bottom"/>
            <w:shd w:val="clear" w:color="auto" w:fill="CBDBD1"/>
          </w:tcPr>
          <w:p>
            <w:pPr>
              <w:spacing w:after="0"/>
              <w:rPr>
                <w:sz w:val="18"/>
                <w:szCs w:val="18"/>
                <w:color w:val="auto"/>
              </w:rPr>
            </w:pPr>
          </w:p>
        </w:tc>
        <w:tc>
          <w:tcPr>
            <w:tcW w:w="580" w:type="dxa"/>
            <w:vAlign w:val="bottom"/>
            <w:shd w:val="clear" w:color="auto" w:fill="CBDBD1"/>
          </w:tcPr>
          <w:p>
            <w:pPr>
              <w:spacing w:after="0"/>
              <w:rPr>
                <w:sz w:val="18"/>
                <w:szCs w:val="18"/>
                <w:color w:val="auto"/>
              </w:rPr>
            </w:pPr>
          </w:p>
        </w:tc>
        <w:tc>
          <w:tcPr>
            <w:tcW w:w="720" w:type="dxa"/>
            <w:vAlign w:val="bottom"/>
            <w:shd w:val="clear" w:color="auto" w:fill="CBDBD1"/>
          </w:tcPr>
          <w:p>
            <w:pPr>
              <w:spacing w:after="0"/>
              <w:rPr>
                <w:sz w:val="18"/>
                <w:szCs w:val="18"/>
                <w:color w:val="auto"/>
              </w:rPr>
            </w:pPr>
          </w:p>
        </w:tc>
        <w:tc>
          <w:tcPr>
            <w:tcW w:w="860" w:type="dxa"/>
            <w:vAlign w:val="bottom"/>
            <w:shd w:val="clear" w:color="auto" w:fill="CBDBD1"/>
          </w:tcPr>
          <w:p>
            <w:pPr>
              <w:spacing w:after="0"/>
              <w:rPr>
                <w:sz w:val="18"/>
                <w:szCs w:val="18"/>
                <w:color w:val="auto"/>
              </w:rPr>
            </w:pPr>
          </w:p>
        </w:tc>
        <w:tc>
          <w:tcPr>
            <w:tcW w:w="1200" w:type="dxa"/>
            <w:vAlign w:val="bottom"/>
            <w:shd w:val="clear" w:color="auto" w:fill="CBDBD1"/>
          </w:tcPr>
          <w:p>
            <w:pPr>
              <w:spacing w:after="0"/>
              <w:rPr>
                <w:sz w:val="18"/>
                <w:szCs w:val="18"/>
                <w:color w:val="auto"/>
              </w:rPr>
            </w:pPr>
          </w:p>
        </w:tc>
        <w:tc>
          <w:tcPr>
            <w:tcW w:w="1200" w:type="dxa"/>
            <w:vAlign w:val="bottom"/>
            <w:shd w:val="clear" w:color="auto" w:fill="CBDBD1"/>
          </w:tcPr>
          <w:p>
            <w:pPr>
              <w:spacing w:after="0"/>
              <w:rPr>
                <w:sz w:val="18"/>
                <w:szCs w:val="18"/>
                <w:color w:val="auto"/>
              </w:rPr>
            </w:pPr>
          </w:p>
        </w:tc>
        <w:tc>
          <w:tcPr>
            <w:tcW w:w="1160" w:type="dxa"/>
            <w:vAlign w:val="bottom"/>
            <w:shd w:val="clear" w:color="auto" w:fill="CBDBD1"/>
          </w:tcPr>
          <w:p>
            <w:pPr>
              <w:spacing w:after="0"/>
              <w:rPr>
                <w:sz w:val="18"/>
                <w:szCs w:val="18"/>
                <w:color w:val="auto"/>
              </w:rPr>
            </w:pPr>
          </w:p>
        </w:tc>
        <w:tc>
          <w:tcPr>
            <w:tcW w:w="700" w:type="dxa"/>
            <w:vAlign w:val="bottom"/>
            <w:shd w:val="clear" w:color="auto" w:fill="CBDBD1"/>
          </w:tcPr>
          <w:p>
            <w:pPr>
              <w:spacing w:after="0"/>
              <w:rPr>
                <w:sz w:val="18"/>
                <w:szCs w:val="18"/>
                <w:color w:val="auto"/>
              </w:rPr>
            </w:pPr>
          </w:p>
        </w:tc>
      </w:tr>
      <w:tr>
        <w:trPr>
          <w:trHeight w:val="230"/>
        </w:trPr>
        <w:tc>
          <w:tcPr>
            <w:tcW w:w="1000" w:type="dxa"/>
            <w:vAlign w:val="bottom"/>
            <w:shd w:val="clear" w:color="auto" w:fill="CBDBD1"/>
          </w:tcPr>
          <w:p>
            <w:pPr>
              <w:spacing w:after="0"/>
              <w:rPr>
                <w:sz w:val="20"/>
                <w:szCs w:val="20"/>
                <w:color w:val="auto"/>
              </w:rPr>
            </w:pPr>
            <w:r>
              <w:rPr>
                <w:rFonts w:ascii="Arial" w:cs="Arial" w:eastAsia="Arial" w:hAnsi="Arial"/>
                <w:sz w:val="18"/>
                <w:szCs w:val="18"/>
                <w:color w:val="auto"/>
              </w:rPr>
              <w:t>of RFID Ltd.</w:t>
            </w:r>
          </w:p>
        </w:tc>
        <w:tc>
          <w:tcPr>
            <w:tcW w:w="440" w:type="dxa"/>
            <w:vAlign w:val="bottom"/>
            <w:shd w:val="clear" w:color="auto" w:fill="CBDBD1"/>
          </w:tcPr>
          <w:p>
            <w:pPr>
              <w:spacing w:after="0"/>
              <w:rPr>
                <w:sz w:val="20"/>
                <w:szCs w:val="20"/>
                <w:color w:val="auto"/>
              </w:rPr>
            </w:pPr>
          </w:p>
        </w:tc>
        <w:tc>
          <w:tcPr>
            <w:tcW w:w="680" w:type="dxa"/>
            <w:vAlign w:val="bottom"/>
            <w:shd w:val="clear" w:color="auto" w:fill="CBDBD1"/>
          </w:tcPr>
          <w:p>
            <w:pPr>
              <w:spacing w:after="0"/>
              <w:rPr>
                <w:sz w:val="20"/>
                <w:szCs w:val="20"/>
                <w:color w:val="auto"/>
              </w:rPr>
            </w:pPr>
          </w:p>
        </w:tc>
        <w:tc>
          <w:tcPr>
            <w:tcW w:w="580" w:type="dxa"/>
            <w:vAlign w:val="bottom"/>
            <w:shd w:val="clear" w:color="auto" w:fill="CBDBD1"/>
          </w:tcPr>
          <w:p>
            <w:pPr>
              <w:spacing w:after="0"/>
              <w:rPr>
                <w:sz w:val="20"/>
                <w:szCs w:val="20"/>
                <w:color w:val="auto"/>
              </w:rPr>
            </w:pPr>
          </w:p>
        </w:tc>
        <w:tc>
          <w:tcPr>
            <w:tcW w:w="720" w:type="dxa"/>
            <w:vAlign w:val="bottom"/>
            <w:shd w:val="clear" w:color="auto" w:fill="CBDBD1"/>
          </w:tcPr>
          <w:p>
            <w:pPr>
              <w:spacing w:after="0"/>
              <w:rPr>
                <w:sz w:val="20"/>
                <w:szCs w:val="20"/>
                <w:color w:val="auto"/>
              </w:rPr>
            </w:pPr>
          </w:p>
        </w:tc>
        <w:tc>
          <w:tcPr>
            <w:tcW w:w="860" w:type="dxa"/>
            <w:vAlign w:val="bottom"/>
            <w:shd w:val="clear" w:color="auto" w:fill="CBDBD1"/>
          </w:tcPr>
          <w:p>
            <w:pPr>
              <w:spacing w:after="0"/>
              <w:rPr>
                <w:sz w:val="20"/>
                <w:szCs w:val="20"/>
                <w:color w:val="auto"/>
              </w:rPr>
            </w:pPr>
          </w:p>
        </w:tc>
        <w:tc>
          <w:tcPr>
            <w:tcW w:w="1200" w:type="dxa"/>
            <w:vAlign w:val="bottom"/>
            <w:shd w:val="clear" w:color="auto" w:fill="CBDBD1"/>
          </w:tcPr>
          <w:p>
            <w:pPr>
              <w:spacing w:after="0"/>
              <w:rPr>
                <w:sz w:val="20"/>
                <w:szCs w:val="20"/>
                <w:color w:val="auto"/>
              </w:rPr>
            </w:pPr>
          </w:p>
        </w:tc>
        <w:tc>
          <w:tcPr>
            <w:tcW w:w="1200" w:type="dxa"/>
            <w:vAlign w:val="bottom"/>
            <w:shd w:val="clear" w:color="auto" w:fill="CBDBD1"/>
          </w:tcPr>
          <w:p>
            <w:pPr>
              <w:spacing w:after="0"/>
              <w:rPr>
                <w:sz w:val="20"/>
                <w:szCs w:val="20"/>
                <w:color w:val="auto"/>
              </w:rPr>
            </w:pPr>
          </w:p>
        </w:tc>
        <w:tc>
          <w:tcPr>
            <w:tcW w:w="1160" w:type="dxa"/>
            <w:vAlign w:val="bottom"/>
            <w:shd w:val="clear" w:color="auto" w:fill="CBDBD1"/>
          </w:tcPr>
          <w:p>
            <w:pPr>
              <w:spacing w:after="0"/>
              <w:rPr>
                <w:sz w:val="20"/>
                <w:szCs w:val="20"/>
                <w:color w:val="auto"/>
              </w:rPr>
            </w:pPr>
          </w:p>
        </w:tc>
        <w:tc>
          <w:tcPr>
            <w:tcW w:w="700" w:type="dxa"/>
            <w:vAlign w:val="bottom"/>
            <w:shd w:val="clear" w:color="auto" w:fill="CBDBD1"/>
          </w:tcPr>
          <w:p>
            <w:pPr>
              <w:spacing w:after="0"/>
              <w:rPr>
                <w:sz w:val="20"/>
                <w:szCs w:val="20"/>
                <w:color w:val="auto"/>
              </w:rPr>
            </w:pPr>
          </w:p>
        </w:tc>
      </w:tr>
    </w:tbl>
    <w:p>
      <w:pPr>
        <w:ind w:left="660" w:hanging="30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Lester has held office as our Chief Executive Officer since April 1, 2009.</w:t>
      </w:r>
    </w:p>
    <w:p>
      <w:pPr>
        <w:spacing w:after="0" w:line="9" w:lineRule="exact"/>
        <w:rPr>
          <w:rFonts w:ascii="Arial" w:cs="Arial" w:eastAsia="Arial" w:hAnsi="Arial"/>
          <w:sz w:val="18"/>
          <w:szCs w:val="18"/>
          <w:color w:val="auto"/>
        </w:rPr>
      </w:pPr>
    </w:p>
    <w:p>
      <w:pPr>
        <w:ind w:left="660" w:hanging="304"/>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amount reflects the dollar amount recognized for financial statement reporting purposes for the fiscal year indicated in accordance with SFAS No. 123R, Share Based Payments of awards of restricted stock and stock options, as applicable.</w:t>
      </w:r>
    </w:p>
    <w:p>
      <w:pPr>
        <w:ind w:left="660" w:hanging="30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Supplement.</w:t>
      </w:r>
    </w:p>
    <w:p>
      <w:pPr>
        <w:spacing w:after="0" w:line="9" w:lineRule="exact"/>
        <w:rPr>
          <w:rFonts w:ascii="Arial" w:cs="Arial" w:eastAsia="Arial" w:hAnsi="Arial"/>
          <w:sz w:val="18"/>
          <w:szCs w:val="18"/>
          <w:color w:val="auto"/>
        </w:rPr>
      </w:pPr>
    </w:p>
    <w:p>
      <w:pPr>
        <w:ind w:left="660" w:hanging="30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Hamilton has held office as our VP of Sales since March 1, 2007.</w:t>
      </w:r>
    </w:p>
    <w:p>
      <w:pPr>
        <w:spacing w:after="0" w:line="9" w:lineRule="exact"/>
        <w:rPr>
          <w:rFonts w:ascii="Arial" w:cs="Arial" w:eastAsia="Arial" w:hAnsi="Arial"/>
          <w:sz w:val="18"/>
          <w:szCs w:val="18"/>
          <w:color w:val="auto"/>
        </w:rPr>
      </w:pPr>
    </w:p>
    <w:p>
      <w:pPr>
        <w:ind w:left="660" w:hanging="30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Harrell has held office as our Chairman since April 2008.</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the Summary Compensation Table</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April 6, 2009, we entered into an employment agreement with Mr. Lester to serve as our Chief Executive Officer. Under the agreement, we agreed to compensate Mr. Lester $150,000 annually and we granted him options to purchase 500,000 shares of our common stock, with 25% vesting immediately and 25% vesting after the completion of each quarter of hire. Mr. Lester is also eligible for additional quarterly and annual bonus compensation, stock options, and stock grants based on performance metrics outlined by our board of directors. He is entitled to vacation and sick days, and other benefits included in the agreement.</w:t>
      </w:r>
    </w:p>
    <w:p>
      <w:pPr>
        <w:spacing w:after="0" w:line="215"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On August 1, 2008, we entered into an employment agreement with Mr. Hamilton to serve as our VP of Sales. Under the agreement, we agreed to compensate Mr. Hamilton $120,000 annually and we granted him options to purchase 150,000 shares of our common stock in 2009. Mr. Hamilton is also eligible for additional quarterly and annual bonus compensation, stock options, and stock grants based on performance metrics outlined by our board of directors. He is entitled to vacation and sick days, and other benefits included in the agreement. On March 18, 2010, we entered into an addendum to the employment agreement to increase his compensation to $150,000 annually.</w:t>
      </w:r>
    </w:p>
    <w:p>
      <w:pPr>
        <w:spacing w:after="0" w:line="20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June 1, 2008, we entered into an employment agreement with Mr. Harrell to serve as our CEO. Mr. Harrell is no longer our CEO, but will be our Chairman and we intend to enter into an employment agreement with him in that capacity in the near future. The terms of his compensation as our CEO, which is still in effect, are an annual salary of $144,000 with a 5% cost of living increase on each 12 month anniversary. Mr. Harrell is also eligible for additional quarterly and annual bonus compensation, stock options, and stock grants based on performance metrics outlined by our board of directors. He is entitled to vacation and sick days, and other benefits included in the agreement. On March 18, 2010, we entered into an addendum to the employment agreement to increase his compensation to $152,000 annually.</w:t>
      </w:r>
    </w:p>
    <w:p>
      <w:pPr>
        <w:spacing w:after="0" w:line="200" w:lineRule="exact"/>
        <w:rPr>
          <w:sz w:val="20"/>
          <w:szCs w:val="20"/>
          <w:color w:val="auto"/>
        </w:rPr>
      </w:pPr>
    </w:p>
    <w:p>
      <w:pPr>
        <w:spacing w:after="0" w:line="2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summarizes all unexercised options, stock that has not vested, and equity incentive plan awards for each named executive officers as of December 31, 2009.</w:t>
      </w:r>
    </w:p>
    <w:p>
      <w:pPr>
        <w:spacing w:after="0" w:line="19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7"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11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spacing w:after="0"/>
              <w:rPr>
                <w:sz w:val="20"/>
                <w:szCs w:val="20"/>
                <w:color w:val="auto"/>
              </w:rPr>
            </w:pPr>
          </w:p>
        </w:tc>
        <w:tc>
          <w:tcPr>
            <w:tcW w:w="198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OPTION AWARDS</w:t>
            </w:r>
          </w:p>
        </w:tc>
        <w:tc>
          <w:tcPr>
            <w:tcW w:w="6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2240" w:type="dxa"/>
            <w:vAlign w:val="bottom"/>
            <w:tcBorders>
              <w:top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STOCK AWARDS</w:t>
            </w:r>
          </w:p>
        </w:tc>
      </w:tr>
      <w:tr>
        <w:trPr>
          <w:trHeight w:val="202"/>
        </w:trPr>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ind w:left="40"/>
              <w:spacing w:after="0" w:line="201" w:lineRule="exact"/>
              <w:rPr>
                <w:sz w:val="20"/>
                <w:szCs w:val="20"/>
                <w:color w:val="auto"/>
              </w:rPr>
            </w:pPr>
            <w:r>
              <w:rPr>
                <w:rFonts w:ascii="Arial" w:cs="Arial" w:eastAsia="Arial" w:hAnsi="Arial"/>
                <w:sz w:val="18"/>
                <w:szCs w:val="18"/>
                <w:color w:val="auto"/>
              </w:rPr>
              <w:t>Equity</w:t>
            </w:r>
          </w:p>
        </w:tc>
      </w:tr>
      <w:tr>
        <w:trPr>
          <w:trHeight w:val="216"/>
        </w:trPr>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rPr>
              <w:t>Equity</w:t>
            </w:r>
          </w:p>
        </w:tc>
        <w:tc>
          <w:tcPr>
            <w:tcW w:w="820" w:type="dxa"/>
            <w:vAlign w:val="bottom"/>
          </w:tcPr>
          <w:p>
            <w:pPr>
              <w:ind w:left="40"/>
              <w:spacing w:after="0"/>
              <w:rPr>
                <w:sz w:val="20"/>
                <w:szCs w:val="20"/>
                <w:color w:val="auto"/>
              </w:rPr>
            </w:pPr>
            <w:r>
              <w:rPr>
                <w:rFonts w:ascii="Arial" w:cs="Arial" w:eastAsia="Arial" w:hAnsi="Arial"/>
                <w:sz w:val="18"/>
                <w:szCs w:val="18"/>
                <w:color w:val="auto"/>
              </w:rPr>
              <w:t>Incentive</w:t>
            </w:r>
          </w:p>
        </w:tc>
      </w:tr>
      <w:tr>
        <w:trPr>
          <w:trHeight w:val="216"/>
        </w:trPr>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w w:val="97"/>
              </w:rPr>
              <w:t>Incentive</w:t>
            </w:r>
          </w:p>
        </w:tc>
        <w:tc>
          <w:tcPr>
            <w:tcW w:w="820" w:type="dxa"/>
            <w:vAlign w:val="bottom"/>
          </w:tcPr>
          <w:p>
            <w:pPr>
              <w:ind w:left="40"/>
              <w:spacing w:after="0"/>
              <w:rPr>
                <w:sz w:val="20"/>
                <w:szCs w:val="20"/>
                <w:color w:val="auto"/>
              </w:rPr>
            </w:pPr>
            <w:r>
              <w:rPr>
                <w:rFonts w:ascii="Arial" w:cs="Arial" w:eastAsia="Arial" w:hAnsi="Arial"/>
                <w:sz w:val="18"/>
                <w:szCs w:val="18"/>
                <w:color w:val="auto"/>
              </w:rPr>
              <w:t>Plan</w:t>
            </w:r>
          </w:p>
        </w:tc>
      </w:tr>
      <w:tr>
        <w:trPr>
          <w:trHeight w:val="216"/>
        </w:trPr>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ind w:left="80"/>
              <w:spacing w:after="0"/>
              <w:rPr>
                <w:sz w:val="20"/>
                <w:szCs w:val="20"/>
                <w:color w:val="auto"/>
              </w:rPr>
            </w:pPr>
            <w:r>
              <w:rPr>
                <w:rFonts w:ascii="Arial" w:cs="Arial" w:eastAsia="Arial" w:hAnsi="Arial"/>
                <w:sz w:val="18"/>
                <w:szCs w:val="18"/>
                <w:color w:val="auto"/>
              </w:rPr>
              <w:t>Market</w:t>
            </w:r>
          </w:p>
        </w:tc>
        <w:tc>
          <w:tcPr>
            <w:tcW w:w="760" w:type="dxa"/>
            <w:vAlign w:val="bottom"/>
          </w:tcPr>
          <w:p>
            <w:pPr>
              <w:ind w:left="80"/>
              <w:spacing w:after="0"/>
              <w:rPr>
                <w:sz w:val="20"/>
                <w:szCs w:val="20"/>
                <w:color w:val="auto"/>
              </w:rPr>
            </w:pPr>
            <w:r>
              <w:rPr>
                <w:rFonts w:ascii="Arial" w:cs="Arial" w:eastAsia="Arial" w:hAnsi="Arial"/>
                <w:sz w:val="18"/>
                <w:szCs w:val="18"/>
                <w:color w:val="auto"/>
              </w:rPr>
              <w:t>Plan</w:t>
            </w:r>
          </w:p>
        </w:tc>
        <w:tc>
          <w:tcPr>
            <w:tcW w:w="820" w:type="dxa"/>
            <w:vAlign w:val="bottom"/>
          </w:tcPr>
          <w:p>
            <w:pPr>
              <w:ind w:left="40"/>
              <w:spacing w:after="0"/>
              <w:rPr>
                <w:sz w:val="20"/>
                <w:szCs w:val="20"/>
                <w:color w:val="auto"/>
              </w:rPr>
            </w:pPr>
            <w:r>
              <w:rPr>
                <w:rFonts w:ascii="Arial" w:cs="Arial" w:eastAsia="Arial" w:hAnsi="Arial"/>
                <w:sz w:val="18"/>
                <w:szCs w:val="18"/>
                <w:color w:val="auto"/>
              </w:rPr>
              <w:t>Awards:</w:t>
            </w:r>
          </w:p>
        </w:tc>
      </w:tr>
      <w:tr>
        <w:trPr>
          <w:trHeight w:val="216"/>
        </w:trPr>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ind w:left="80"/>
              <w:spacing w:after="0"/>
              <w:rPr>
                <w:sz w:val="20"/>
                <w:szCs w:val="20"/>
                <w:color w:val="auto"/>
              </w:rPr>
            </w:pPr>
            <w:r>
              <w:rPr>
                <w:rFonts w:ascii="Arial" w:cs="Arial" w:eastAsia="Arial" w:hAnsi="Arial"/>
                <w:sz w:val="18"/>
                <w:szCs w:val="18"/>
                <w:color w:val="auto"/>
              </w:rPr>
              <w:t>Value</w:t>
            </w:r>
          </w:p>
        </w:tc>
        <w:tc>
          <w:tcPr>
            <w:tcW w:w="760" w:type="dxa"/>
            <w:vAlign w:val="bottom"/>
          </w:tcPr>
          <w:p>
            <w:pPr>
              <w:ind w:left="40"/>
              <w:spacing w:after="0"/>
              <w:rPr>
                <w:sz w:val="20"/>
                <w:szCs w:val="20"/>
                <w:color w:val="auto"/>
              </w:rPr>
            </w:pPr>
            <w:r>
              <w:rPr>
                <w:rFonts w:ascii="Arial" w:cs="Arial" w:eastAsia="Arial" w:hAnsi="Arial"/>
                <w:sz w:val="18"/>
                <w:szCs w:val="18"/>
                <w:color w:val="auto"/>
              </w:rPr>
              <w:t>Awards:</w:t>
            </w:r>
          </w:p>
        </w:tc>
        <w:tc>
          <w:tcPr>
            <w:tcW w:w="820" w:type="dxa"/>
            <w:vAlign w:val="bottom"/>
          </w:tcPr>
          <w:p>
            <w:pPr>
              <w:ind w:left="40"/>
              <w:spacing w:after="0"/>
              <w:rPr>
                <w:sz w:val="20"/>
                <w:szCs w:val="20"/>
                <w:color w:val="auto"/>
              </w:rPr>
            </w:pPr>
            <w:r>
              <w:rPr>
                <w:rFonts w:ascii="Arial" w:cs="Arial" w:eastAsia="Arial" w:hAnsi="Arial"/>
                <w:sz w:val="18"/>
                <w:szCs w:val="18"/>
                <w:color w:val="auto"/>
                <w:w w:val="99"/>
              </w:rPr>
              <w:t>Market or</w:t>
            </w:r>
          </w:p>
        </w:tc>
      </w:tr>
      <w:tr>
        <w:trPr>
          <w:trHeight w:val="216"/>
        </w:trPr>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8"/>
                <w:szCs w:val="18"/>
                <w:color w:val="auto"/>
              </w:rPr>
              <w:t>Equity</w:t>
            </w: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ind w:left="80"/>
              <w:spacing w:after="0"/>
              <w:rPr>
                <w:sz w:val="20"/>
                <w:szCs w:val="20"/>
                <w:color w:val="auto"/>
              </w:rPr>
            </w:pPr>
            <w:r>
              <w:rPr>
                <w:rFonts w:ascii="Arial" w:cs="Arial" w:eastAsia="Arial" w:hAnsi="Arial"/>
                <w:sz w:val="18"/>
                <w:szCs w:val="18"/>
                <w:color w:val="auto"/>
              </w:rPr>
              <w:t>of</w:t>
            </w:r>
          </w:p>
        </w:tc>
        <w:tc>
          <w:tcPr>
            <w:tcW w:w="760" w:type="dxa"/>
            <w:vAlign w:val="bottom"/>
          </w:tcPr>
          <w:p>
            <w:pPr>
              <w:ind w:left="80"/>
              <w:spacing w:after="0"/>
              <w:rPr>
                <w:sz w:val="20"/>
                <w:szCs w:val="20"/>
                <w:color w:val="auto"/>
              </w:rPr>
            </w:pPr>
            <w:r>
              <w:rPr>
                <w:rFonts w:ascii="Arial" w:cs="Arial" w:eastAsia="Arial" w:hAnsi="Arial"/>
                <w:sz w:val="18"/>
                <w:szCs w:val="18"/>
                <w:color w:val="auto"/>
              </w:rPr>
              <w:t>Number</w:t>
            </w:r>
          </w:p>
        </w:tc>
        <w:tc>
          <w:tcPr>
            <w:tcW w:w="820" w:type="dxa"/>
            <w:vAlign w:val="bottom"/>
          </w:tcPr>
          <w:p>
            <w:pPr>
              <w:ind w:left="40"/>
              <w:spacing w:after="0"/>
              <w:rPr>
                <w:sz w:val="20"/>
                <w:szCs w:val="20"/>
                <w:color w:val="auto"/>
              </w:rPr>
            </w:pPr>
            <w:r>
              <w:rPr>
                <w:rFonts w:ascii="Arial" w:cs="Arial" w:eastAsia="Arial" w:hAnsi="Arial"/>
                <w:sz w:val="18"/>
                <w:szCs w:val="18"/>
                <w:color w:val="auto"/>
              </w:rPr>
              <w:t>Payout</w:t>
            </w:r>
          </w:p>
        </w:tc>
      </w:tr>
      <w:tr>
        <w:trPr>
          <w:trHeight w:val="216"/>
        </w:trPr>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8"/>
                <w:szCs w:val="18"/>
                <w:color w:val="auto"/>
              </w:rPr>
              <w:t>Incentive</w:t>
            </w: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ind w:left="60"/>
              <w:spacing w:after="0"/>
              <w:rPr>
                <w:sz w:val="20"/>
                <w:szCs w:val="20"/>
                <w:color w:val="auto"/>
              </w:rPr>
            </w:pPr>
            <w:r>
              <w:rPr>
                <w:rFonts w:ascii="Arial" w:cs="Arial" w:eastAsia="Arial" w:hAnsi="Arial"/>
                <w:sz w:val="18"/>
                <w:szCs w:val="18"/>
                <w:color w:val="auto"/>
              </w:rPr>
              <w:t>Number</w:t>
            </w:r>
          </w:p>
        </w:tc>
        <w:tc>
          <w:tcPr>
            <w:tcW w:w="660" w:type="dxa"/>
            <w:vAlign w:val="bottom"/>
          </w:tcPr>
          <w:p>
            <w:pPr>
              <w:ind w:left="80"/>
              <w:spacing w:after="0"/>
              <w:rPr>
                <w:sz w:val="20"/>
                <w:szCs w:val="20"/>
                <w:color w:val="auto"/>
              </w:rPr>
            </w:pPr>
            <w:r>
              <w:rPr>
                <w:rFonts w:ascii="Arial" w:cs="Arial" w:eastAsia="Arial" w:hAnsi="Arial"/>
                <w:sz w:val="18"/>
                <w:szCs w:val="18"/>
                <w:color w:val="auto"/>
                <w:w w:val="98"/>
              </w:rPr>
              <w:t>Shares</w:t>
            </w:r>
          </w:p>
        </w:tc>
        <w:tc>
          <w:tcPr>
            <w:tcW w:w="760" w:type="dxa"/>
            <w:vAlign w:val="bottom"/>
          </w:tcPr>
          <w:p>
            <w:pPr>
              <w:ind w:left="40"/>
              <w:spacing w:after="0"/>
              <w:rPr>
                <w:sz w:val="20"/>
                <w:szCs w:val="20"/>
                <w:color w:val="auto"/>
              </w:rPr>
            </w:pPr>
            <w:r>
              <w:rPr>
                <w:rFonts w:ascii="Arial" w:cs="Arial" w:eastAsia="Arial" w:hAnsi="Arial"/>
                <w:sz w:val="18"/>
                <w:szCs w:val="18"/>
                <w:color w:val="auto"/>
              </w:rPr>
              <w:t>of</w:t>
            </w:r>
          </w:p>
        </w:tc>
        <w:tc>
          <w:tcPr>
            <w:tcW w:w="820" w:type="dxa"/>
            <w:vAlign w:val="bottom"/>
          </w:tcPr>
          <w:p>
            <w:pPr>
              <w:ind w:left="40"/>
              <w:spacing w:after="0"/>
              <w:rPr>
                <w:sz w:val="20"/>
                <w:szCs w:val="20"/>
                <w:color w:val="auto"/>
              </w:rPr>
            </w:pPr>
            <w:r>
              <w:rPr>
                <w:rFonts w:ascii="Arial" w:cs="Arial" w:eastAsia="Arial" w:hAnsi="Arial"/>
                <w:sz w:val="18"/>
                <w:szCs w:val="18"/>
                <w:color w:val="auto"/>
              </w:rPr>
              <w:t>Value of</w:t>
            </w:r>
          </w:p>
        </w:tc>
      </w:tr>
      <w:tr>
        <w:trPr>
          <w:trHeight w:val="216"/>
        </w:trPr>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ind w:left="120"/>
              <w:spacing w:after="0"/>
              <w:rPr>
                <w:sz w:val="20"/>
                <w:szCs w:val="20"/>
                <w:color w:val="auto"/>
              </w:rPr>
            </w:pPr>
            <w:r>
              <w:rPr>
                <w:rFonts w:ascii="Arial" w:cs="Arial" w:eastAsia="Arial" w:hAnsi="Arial"/>
                <w:sz w:val="18"/>
                <w:szCs w:val="18"/>
                <w:color w:val="auto"/>
              </w:rPr>
              <w:t>Plan</w:t>
            </w: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ind w:left="60"/>
              <w:spacing w:after="0"/>
              <w:rPr>
                <w:sz w:val="20"/>
                <w:szCs w:val="20"/>
                <w:color w:val="auto"/>
              </w:rPr>
            </w:pPr>
            <w:r>
              <w:rPr>
                <w:rFonts w:ascii="Arial" w:cs="Arial" w:eastAsia="Arial" w:hAnsi="Arial"/>
                <w:sz w:val="18"/>
                <w:szCs w:val="18"/>
                <w:color w:val="auto"/>
              </w:rPr>
              <w:t>of</w:t>
            </w:r>
          </w:p>
        </w:tc>
        <w:tc>
          <w:tcPr>
            <w:tcW w:w="660" w:type="dxa"/>
            <w:vAlign w:val="bottom"/>
          </w:tcPr>
          <w:p>
            <w:pPr>
              <w:ind w:left="80"/>
              <w:spacing w:after="0"/>
              <w:rPr>
                <w:sz w:val="20"/>
                <w:szCs w:val="20"/>
                <w:color w:val="auto"/>
              </w:rPr>
            </w:pPr>
            <w:r>
              <w:rPr>
                <w:rFonts w:ascii="Arial" w:cs="Arial" w:eastAsia="Arial" w:hAnsi="Arial"/>
                <w:sz w:val="18"/>
                <w:szCs w:val="18"/>
                <w:color w:val="auto"/>
              </w:rPr>
              <w:t>or</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w w:val="93"/>
              </w:rPr>
              <w:t>Unearned Unearned</w:t>
            </w:r>
          </w:p>
        </w:tc>
      </w:tr>
      <w:tr>
        <w:trPr>
          <w:trHeight w:val="216"/>
        </w:trPr>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8"/>
                <w:szCs w:val="18"/>
                <w:color w:val="auto"/>
              </w:rPr>
              <w:t>Awards:</w:t>
            </w: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ind w:left="60"/>
              <w:spacing w:after="0"/>
              <w:rPr>
                <w:sz w:val="20"/>
                <w:szCs w:val="20"/>
                <w:color w:val="auto"/>
              </w:rPr>
            </w:pPr>
            <w:r>
              <w:rPr>
                <w:rFonts w:ascii="Arial" w:cs="Arial" w:eastAsia="Arial" w:hAnsi="Arial"/>
                <w:sz w:val="18"/>
                <w:szCs w:val="18"/>
                <w:color w:val="auto"/>
              </w:rPr>
              <w:t>Shares</w:t>
            </w:r>
          </w:p>
        </w:tc>
        <w:tc>
          <w:tcPr>
            <w:tcW w:w="660" w:type="dxa"/>
            <w:vAlign w:val="bottom"/>
          </w:tcPr>
          <w:p>
            <w:pPr>
              <w:ind w:left="80"/>
              <w:spacing w:after="0"/>
              <w:rPr>
                <w:sz w:val="20"/>
                <w:szCs w:val="20"/>
                <w:color w:val="auto"/>
              </w:rPr>
            </w:pPr>
            <w:r>
              <w:rPr>
                <w:rFonts w:ascii="Arial" w:cs="Arial" w:eastAsia="Arial" w:hAnsi="Arial"/>
                <w:sz w:val="18"/>
                <w:szCs w:val="18"/>
                <w:color w:val="auto"/>
              </w:rPr>
              <w:t>Units</w:t>
            </w:r>
          </w:p>
        </w:tc>
        <w:tc>
          <w:tcPr>
            <w:tcW w:w="760" w:type="dxa"/>
            <w:vAlign w:val="bottom"/>
          </w:tcPr>
          <w:p>
            <w:pPr>
              <w:ind w:left="80"/>
              <w:spacing w:after="0"/>
              <w:rPr>
                <w:sz w:val="20"/>
                <w:szCs w:val="20"/>
                <w:color w:val="auto"/>
              </w:rPr>
            </w:pPr>
            <w:r>
              <w:rPr>
                <w:rFonts w:ascii="Arial" w:cs="Arial" w:eastAsia="Arial" w:hAnsi="Arial"/>
                <w:sz w:val="18"/>
                <w:szCs w:val="18"/>
                <w:color w:val="auto"/>
              </w:rPr>
              <w:t>Shares,</w:t>
            </w:r>
          </w:p>
        </w:tc>
        <w:tc>
          <w:tcPr>
            <w:tcW w:w="820" w:type="dxa"/>
            <w:vAlign w:val="bottom"/>
          </w:tcPr>
          <w:p>
            <w:pPr>
              <w:ind w:left="40"/>
              <w:spacing w:after="0"/>
              <w:rPr>
                <w:sz w:val="20"/>
                <w:szCs w:val="20"/>
                <w:color w:val="auto"/>
              </w:rPr>
            </w:pPr>
            <w:r>
              <w:rPr>
                <w:rFonts w:ascii="Arial" w:cs="Arial" w:eastAsia="Arial" w:hAnsi="Arial"/>
                <w:sz w:val="18"/>
                <w:szCs w:val="18"/>
                <w:color w:val="auto"/>
              </w:rPr>
              <w:t>Shares,</w:t>
            </w:r>
          </w:p>
        </w:tc>
      </w:tr>
      <w:tr>
        <w:trPr>
          <w:trHeight w:val="216"/>
        </w:trPr>
        <w:tc>
          <w:tcPr>
            <w:tcW w:w="116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w w:val="97"/>
              </w:rPr>
              <w:t>Number of</w:t>
            </w:r>
          </w:p>
        </w:tc>
        <w:tc>
          <w:tcPr>
            <w:tcW w:w="1040" w:type="dxa"/>
            <w:vAlign w:val="bottom"/>
          </w:tcPr>
          <w:p>
            <w:pPr>
              <w:ind w:left="60"/>
              <w:spacing w:after="0"/>
              <w:rPr>
                <w:sz w:val="20"/>
                <w:szCs w:val="20"/>
                <w:color w:val="auto"/>
              </w:rPr>
            </w:pPr>
            <w:r>
              <w:rPr>
                <w:rFonts w:ascii="Arial" w:cs="Arial" w:eastAsia="Arial" w:hAnsi="Arial"/>
                <w:sz w:val="18"/>
                <w:szCs w:val="18"/>
                <w:color w:val="auto"/>
              </w:rPr>
              <w:t>Number of</w:t>
            </w:r>
          </w:p>
        </w:tc>
        <w:tc>
          <w:tcPr>
            <w:tcW w:w="940" w:type="dxa"/>
            <w:vAlign w:val="bottom"/>
          </w:tcPr>
          <w:p>
            <w:pPr>
              <w:ind w:left="80"/>
              <w:spacing w:after="0"/>
              <w:rPr>
                <w:sz w:val="20"/>
                <w:szCs w:val="20"/>
                <w:color w:val="auto"/>
              </w:rPr>
            </w:pPr>
            <w:r>
              <w:rPr>
                <w:rFonts w:ascii="Arial" w:cs="Arial" w:eastAsia="Arial" w:hAnsi="Arial"/>
                <w:sz w:val="18"/>
                <w:szCs w:val="18"/>
                <w:color w:val="auto"/>
                <w:w w:val="99"/>
              </w:rPr>
              <w:t>Number of</w:t>
            </w: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ind w:left="60"/>
              <w:spacing w:after="0"/>
              <w:rPr>
                <w:sz w:val="20"/>
                <w:szCs w:val="20"/>
                <w:color w:val="auto"/>
              </w:rPr>
            </w:pPr>
            <w:r>
              <w:rPr>
                <w:rFonts w:ascii="Arial" w:cs="Arial" w:eastAsia="Arial" w:hAnsi="Arial"/>
                <w:sz w:val="18"/>
                <w:szCs w:val="18"/>
                <w:color w:val="auto"/>
              </w:rPr>
              <w:t>or Units</w:t>
            </w:r>
          </w:p>
        </w:tc>
        <w:tc>
          <w:tcPr>
            <w:tcW w:w="660" w:type="dxa"/>
            <w:vAlign w:val="bottom"/>
          </w:tcPr>
          <w:p>
            <w:pPr>
              <w:ind w:left="80"/>
              <w:spacing w:after="0"/>
              <w:rPr>
                <w:sz w:val="20"/>
                <w:szCs w:val="20"/>
                <w:color w:val="auto"/>
              </w:rPr>
            </w:pPr>
            <w:r>
              <w:rPr>
                <w:rFonts w:ascii="Arial" w:cs="Arial" w:eastAsia="Arial" w:hAnsi="Arial"/>
                <w:sz w:val="18"/>
                <w:szCs w:val="18"/>
                <w:color w:val="auto"/>
              </w:rPr>
              <w:t>of</w:t>
            </w:r>
          </w:p>
        </w:tc>
        <w:tc>
          <w:tcPr>
            <w:tcW w:w="760" w:type="dxa"/>
            <w:vAlign w:val="bottom"/>
          </w:tcPr>
          <w:p>
            <w:pPr>
              <w:ind w:left="40"/>
              <w:spacing w:after="0"/>
              <w:rPr>
                <w:sz w:val="20"/>
                <w:szCs w:val="20"/>
                <w:color w:val="auto"/>
              </w:rPr>
            </w:pPr>
            <w:r>
              <w:rPr>
                <w:rFonts w:ascii="Arial" w:cs="Arial" w:eastAsia="Arial" w:hAnsi="Arial"/>
                <w:sz w:val="18"/>
                <w:szCs w:val="18"/>
                <w:color w:val="auto"/>
              </w:rPr>
              <w:t>Units or</w:t>
            </w:r>
          </w:p>
        </w:tc>
        <w:tc>
          <w:tcPr>
            <w:tcW w:w="820" w:type="dxa"/>
            <w:vAlign w:val="bottom"/>
          </w:tcPr>
          <w:p>
            <w:pPr>
              <w:ind w:left="40"/>
              <w:spacing w:after="0"/>
              <w:rPr>
                <w:sz w:val="20"/>
                <w:szCs w:val="20"/>
                <w:color w:val="auto"/>
              </w:rPr>
            </w:pPr>
            <w:r>
              <w:rPr>
                <w:rFonts w:ascii="Arial" w:cs="Arial" w:eastAsia="Arial" w:hAnsi="Arial"/>
                <w:sz w:val="18"/>
                <w:szCs w:val="18"/>
                <w:color w:val="auto"/>
              </w:rPr>
              <w:t>Units or</w:t>
            </w:r>
          </w:p>
        </w:tc>
      </w:tr>
      <w:tr>
        <w:trPr>
          <w:trHeight w:val="216"/>
        </w:trPr>
        <w:tc>
          <w:tcPr>
            <w:tcW w:w="116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rPr>
              <w:t>Securities</w:t>
            </w:r>
          </w:p>
        </w:tc>
        <w:tc>
          <w:tcPr>
            <w:tcW w:w="1040" w:type="dxa"/>
            <w:vAlign w:val="bottom"/>
          </w:tcPr>
          <w:p>
            <w:pPr>
              <w:ind w:left="60"/>
              <w:spacing w:after="0"/>
              <w:rPr>
                <w:sz w:val="20"/>
                <w:szCs w:val="20"/>
                <w:color w:val="auto"/>
              </w:rPr>
            </w:pPr>
            <w:r>
              <w:rPr>
                <w:rFonts w:ascii="Arial" w:cs="Arial" w:eastAsia="Arial" w:hAnsi="Arial"/>
                <w:sz w:val="18"/>
                <w:szCs w:val="18"/>
                <w:color w:val="auto"/>
              </w:rPr>
              <w:t>Securities</w:t>
            </w:r>
          </w:p>
        </w:tc>
        <w:tc>
          <w:tcPr>
            <w:tcW w:w="940" w:type="dxa"/>
            <w:vAlign w:val="bottom"/>
          </w:tcPr>
          <w:p>
            <w:pPr>
              <w:ind w:left="80"/>
              <w:spacing w:after="0"/>
              <w:rPr>
                <w:sz w:val="20"/>
                <w:szCs w:val="20"/>
                <w:color w:val="auto"/>
              </w:rPr>
            </w:pPr>
            <w:r>
              <w:rPr>
                <w:rFonts w:ascii="Arial" w:cs="Arial" w:eastAsia="Arial" w:hAnsi="Arial"/>
                <w:sz w:val="18"/>
                <w:szCs w:val="18"/>
                <w:color w:val="auto"/>
              </w:rPr>
              <w:t>Securities</w:t>
            </w: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ind w:left="60"/>
              <w:spacing w:after="0"/>
              <w:rPr>
                <w:sz w:val="20"/>
                <w:szCs w:val="20"/>
                <w:color w:val="auto"/>
              </w:rPr>
            </w:pPr>
            <w:r>
              <w:rPr>
                <w:rFonts w:ascii="Arial" w:cs="Arial" w:eastAsia="Arial" w:hAnsi="Arial"/>
                <w:sz w:val="18"/>
                <w:szCs w:val="18"/>
                <w:color w:val="auto"/>
              </w:rPr>
              <w:t>of</w:t>
            </w:r>
          </w:p>
        </w:tc>
        <w:tc>
          <w:tcPr>
            <w:tcW w:w="660" w:type="dxa"/>
            <w:vAlign w:val="bottom"/>
          </w:tcPr>
          <w:p>
            <w:pPr>
              <w:ind w:left="80"/>
              <w:spacing w:after="0"/>
              <w:rPr>
                <w:sz w:val="20"/>
                <w:szCs w:val="20"/>
                <w:color w:val="auto"/>
              </w:rPr>
            </w:pPr>
            <w:r>
              <w:rPr>
                <w:rFonts w:ascii="Arial" w:cs="Arial" w:eastAsia="Arial" w:hAnsi="Arial"/>
                <w:sz w:val="18"/>
                <w:szCs w:val="18"/>
                <w:color w:val="auto"/>
              </w:rPr>
              <w:t>Stock</w:t>
            </w:r>
          </w:p>
        </w:tc>
        <w:tc>
          <w:tcPr>
            <w:tcW w:w="760" w:type="dxa"/>
            <w:vAlign w:val="bottom"/>
          </w:tcPr>
          <w:p>
            <w:pPr>
              <w:ind w:left="40"/>
              <w:spacing w:after="0"/>
              <w:rPr>
                <w:sz w:val="20"/>
                <w:szCs w:val="20"/>
                <w:color w:val="auto"/>
              </w:rPr>
            </w:pPr>
            <w:r>
              <w:rPr>
                <w:rFonts w:ascii="Arial" w:cs="Arial" w:eastAsia="Arial" w:hAnsi="Arial"/>
                <w:sz w:val="18"/>
                <w:szCs w:val="18"/>
                <w:color w:val="auto"/>
              </w:rPr>
              <w:t>Other</w:t>
            </w:r>
          </w:p>
        </w:tc>
        <w:tc>
          <w:tcPr>
            <w:tcW w:w="820" w:type="dxa"/>
            <w:vAlign w:val="bottom"/>
          </w:tcPr>
          <w:p>
            <w:pPr>
              <w:ind w:left="40"/>
              <w:spacing w:after="0"/>
              <w:rPr>
                <w:sz w:val="20"/>
                <w:szCs w:val="20"/>
                <w:color w:val="auto"/>
              </w:rPr>
            </w:pPr>
            <w:r>
              <w:rPr>
                <w:rFonts w:ascii="Arial" w:cs="Arial" w:eastAsia="Arial" w:hAnsi="Arial"/>
                <w:sz w:val="18"/>
                <w:szCs w:val="18"/>
                <w:color w:val="auto"/>
              </w:rPr>
              <w:t>Other</w:t>
            </w:r>
          </w:p>
        </w:tc>
      </w:tr>
      <w:tr>
        <w:trPr>
          <w:trHeight w:val="216"/>
        </w:trPr>
        <w:tc>
          <w:tcPr>
            <w:tcW w:w="1160" w:type="dxa"/>
            <w:vAlign w:val="bottom"/>
          </w:tcPr>
          <w:p>
            <w:pPr>
              <w:spacing w:after="0"/>
              <w:rPr>
                <w:sz w:val="18"/>
                <w:szCs w:val="18"/>
                <w:color w:val="auto"/>
              </w:rPr>
            </w:pPr>
          </w:p>
        </w:tc>
        <w:tc>
          <w:tcPr>
            <w:tcW w:w="1920" w:type="dxa"/>
            <w:vAlign w:val="bottom"/>
            <w:gridSpan w:val="2"/>
          </w:tcPr>
          <w:p>
            <w:pPr>
              <w:ind w:left="40"/>
              <w:spacing w:after="0"/>
              <w:rPr>
                <w:sz w:val="20"/>
                <w:szCs w:val="20"/>
                <w:color w:val="auto"/>
              </w:rPr>
            </w:pPr>
            <w:r>
              <w:rPr>
                <w:rFonts w:ascii="Arial" w:cs="Arial" w:eastAsia="Arial" w:hAnsi="Arial"/>
                <w:sz w:val="18"/>
                <w:szCs w:val="18"/>
                <w:color w:val="auto"/>
              </w:rPr>
              <w:t>Underlying Underlying</w:t>
            </w:r>
          </w:p>
        </w:tc>
        <w:tc>
          <w:tcPr>
            <w:tcW w:w="940" w:type="dxa"/>
            <w:vAlign w:val="bottom"/>
          </w:tcPr>
          <w:p>
            <w:pPr>
              <w:ind w:left="80"/>
              <w:spacing w:after="0"/>
              <w:rPr>
                <w:sz w:val="20"/>
                <w:szCs w:val="20"/>
                <w:color w:val="auto"/>
              </w:rPr>
            </w:pPr>
            <w:r>
              <w:rPr>
                <w:rFonts w:ascii="Arial" w:cs="Arial" w:eastAsia="Arial" w:hAnsi="Arial"/>
                <w:sz w:val="18"/>
                <w:szCs w:val="18"/>
                <w:color w:val="auto"/>
                <w:w w:val="97"/>
              </w:rPr>
              <w:t>Underlying</w:t>
            </w: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ind w:left="60"/>
              <w:spacing w:after="0"/>
              <w:rPr>
                <w:sz w:val="20"/>
                <w:szCs w:val="20"/>
                <w:color w:val="auto"/>
              </w:rPr>
            </w:pPr>
            <w:r>
              <w:rPr>
                <w:rFonts w:ascii="Arial" w:cs="Arial" w:eastAsia="Arial" w:hAnsi="Arial"/>
                <w:sz w:val="18"/>
                <w:szCs w:val="18"/>
                <w:color w:val="auto"/>
              </w:rPr>
              <w:t>Stock</w:t>
            </w:r>
          </w:p>
        </w:tc>
        <w:tc>
          <w:tcPr>
            <w:tcW w:w="660" w:type="dxa"/>
            <w:vAlign w:val="bottom"/>
          </w:tcPr>
          <w:p>
            <w:pPr>
              <w:ind w:left="80"/>
              <w:spacing w:after="0"/>
              <w:rPr>
                <w:sz w:val="20"/>
                <w:szCs w:val="20"/>
                <w:color w:val="auto"/>
              </w:rPr>
            </w:pPr>
            <w:r>
              <w:rPr>
                <w:rFonts w:ascii="Arial" w:cs="Arial" w:eastAsia="Arial" w:hAnsi="Arial"/>
                <w:sz w:val="18"/>
                <w:szCs w:val="18"/>
                <w:color w:val="auto"/>
              </w:rPr>
              <w:t>That</w:t>
            </w:r>
          </w:p>
        </w:tc>
        <w:tc>
          <w:tcPr>
            <w:tcW w:w="760" w:type="dxa"/>
            <w:vAlign w:val="bottom"/>
          </w:tcPr>
          <w:p>
            <w:pPr>
              <w:ind w:left="40"/>
              <w:spacing w:after="0"/>
              <w:rPr>
                <w:sz w:val="20"/>
                <w:szCs w:val="20"/>
                <w:color w:val="auto"/>
              </w:rPr>
            </w:pPr>
            <w:r>
              <w:rPr>
                <w:rFonts w:ascii="Arial" w:cs="Arial" w:eastAsia="Arial" w:hAnsi="Arial"/>
                <w:sz w:val="18"/>
                <w:szCs w:val="18"/>
                <w:color w:val="auto"/>
              </w:rPr>
              <w:t>Rights</w:t>
            </w:r>
          </w:p>
        </w:tc>
        <w:tc>
          <w:tcPr>
            <w:tcW w:w="820" w:type="dxa"/>
            <w:vAlign w:val="bottom"/>
          </w:tcPr>
          <w:p>
            <w:pPr>
              <w:ind w:left="40"/>
              <w:spacing w:after="0"/>
              <w:rPr>
                <w:sz w:val="20"/>
                <w:szCs w:val="20"/>
                <w:color w:val="auto"/>
              </w:rPr>
            </w:pPr>
            <w:r>
              <w:rPr>
                <w:rFonts w:ascii="Arial" w:cs="Arial" w:eastAsia="Arial" w:hAnsi="Arial"/>
                <w:sz w:val="18"/>
                <w:szCs w:val="18"/>
                <w:color w:val="auto"/>
              </w:rPr>
              <w:t>Rights</w:t>
            </w:r>
          </w:p>
        </w:tc>
      </w:tr>
      <w:tr>
        <w:trPr>
          <w:trHeight w:val="216"/>
        </w:trPr>
        <w:tc>
          <w:tcPr>
            <w:tcW w:w="1160" w:type="dxa"/>
            <w:vAlign w:val="bottom"/>
          </w:tcPr>
          <w:p>
            <w:pPr>
              <w:spacing w:after="0"/>
              <w:rPr>
                <w:sz w:val="18"/>
                <w:szCs w:val="18"/>
                <w:color w:val="auto"/>
              </w:rPr>
            </w:pPr>
          </w:p>
        </w:tc>
        <w:tc>
          <w:tcPr>
            <w:tcW w:w="1920" w:type="dxa"/>
            <w:vAlign w:val="bottom"/>
            <w:gridSpan w:val="2"/>
          </w:tcPr>
          <w:p>
            <w:pPr>
              <w:ind w:left="40"/>
              <w:spacing w:after="0"/>
              <w:rPr>
                <w:sz w:val="20"/>
                <w:szCs w:val="20"/>
                <w:color w:val="auto"/>
              </w:rPr>
            </w:pPr>
            <w:r>
              <w:rPr>
                <w:rFonts w:ascii="Arial" w:cs="Arial" w:eastAsia="Arial" w:hAnsi="Arial"/>
                <w:sz w:val="18"/>
                <w:szCs w:val="18"/>
                <w:color w:val="auto"/>
                <w:w w:val="92"/>
              </w:rPr>
              <w:t>UnexercisedUnexercised</w:t>
            </w:r>
          </w:p>
        </w:tc>
        <w:tc>
          <w:tcPr>
            <w:tcW w:w="1620" w:type="dxa"/>
            <w:vAlign w:val="bottom"/>
            <w:gridSpan w:val="2"/>
          </w:tcPr>
          <w:p>
            <w:pPr>
              <w:ind w:left="80"/>
              <w:spacing w:after="0"/>
              <w:rPr>
                <w:sz w:val="20"/>
                <w:szCs w:val="20"/>
                <w:color w:val="auto"/>
              </w:rPr>
            </w:pPr>
            <w:r>
              <w:rPr>
                <w:rFonts w:ascii="Arial" w:cs="Arial" w:eastAsia="Arial" w:hAnsi="Arial"/>
                <w:sz w:val="18"/>
                <w:szCs w:val="18"/>
                <w:color w:val="auto"/>
                <w:w w:val="96"/>
              </w:rPr>
              <w:t>Unexercised Option</w:t>
            </w:r>
          </w:p>
        </w:tc>
        <w:tc>
          <w:tcPr>
            <w:tcW w:w="860" w:type="dxa"/>
            <w:vAlign w:val="bottom"/>
          </w:tcPr>
          <w:p>
            <w:pPr>
              <w:spacing w:after="0"/>
              <w:rPr>
                <w:sz w:val="18"/>
                <w:szCs w:val="18"/>
                <w:color w:val="auto"/>
              </w:rPr>
            </w:pPr>
          </w:p>
        </w:tc>
        <w:tc>
          <w:tcPr>
            <w:tcW w:w="740" w:type="dxa"/>
            <w:vAlign w:val="bottom"/>
          </w:tcPr>
          <w:p>
            <w:pPr>
              <w:ind w:left="60"/>
              <w:spacing w:after="0"/>
              <w:rPr>
                <w:sz w:val="20"/>
                <w:szCs w:val="20"/>
                <w:color w:val="auto"/>
              </w:rPr>
            </w:pPr>
            <w:r>
              <w:rPr>
                <w:rFonts w:ascii="Arial" w:cs="Arial" w:eastAsia="Arial" w:hAnsi="Arial"/>
                <w:sz w:val="18"/>
                <w:szCs w:val="18"/>
                <w:color w:val="auto"/>
              </w:rPr>
              <w:t>That</w:t>
            </w:r>
          </w:p>
        </w:tc>
        <w:tc>
          <w:tcPr>
            <w:tcW w:w="660" w:type="dxa"/>
            <w:vAlign w:val="bottom"/>
          </w:tcPr>
          <w:p>
            <w:pPr>
              <w:ind w:left="80"/>
              <w:spacing w:after="0"/>
              <w:rPr>
                <w:sz w:val="20"/>
                <w:szCs w:val="20"/>
                <w:color w:val="auto"/>
              </w:rPr>
            </w:pPr>
            <w:r>
              <w:rPr>
                <w:rFonts w:ascii="Arial" w:cs="Arial" w:eastAsia="Arial" w:hAnsi="Arial"/>
                <w:sz w:val="18"/>
                <w:szCs w:val="18"/>
                <w:color w:val="auto"/>
              </w:rPr>
              <w:t>Have</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That HaveThat</w:t>
            </w:r>
          </w:p>
        </w:tc>
      </w:tr>
      <w:tr>
        <w:trPr>
          <w:trHeight w:val="216"/>
        </w:trPr>
        <w:tc>
          <w:tcPr>
            <w:tcW w:w="116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rPr>
              <w:t>Options</w:t>
            </w:r>
          </w:p>
        </w:tc>
        <w:tc>
          <w:tcPr>
            <w:tcW w:w="1040" w:type="dxa"/>
            <w:vAlign w:val="bottom"/>
          </w:tcPr>
          <w:p>
            <w:pPr>
              <w:ind w:left="60"/>
              <w:spacing w:after="0"/>
              <w:rPr>
                <w:sz w:val="20"/>
                <w:szCs w:val="20"/>
                <w:color w:val="auto"/>
              </w:rPr>
            </w:pPr>
            <w:r>
              <w:rPr>
                <w:rFonts w:ascii="Arial" w:cs="Arial" w:eastAsia="Arial" w:hAnsi="Arial"/>
                <w:sz w:val="18"/>
                <w:szCs w:val="18"/>
                <w:color w:val="auto"/>
              </w:rPr>
              <w:t>Options</w:t>
            </w:r>
          </w:p>
        </w:tc>
        <w:tc>
          <w:tcPr>
            <w:tcW w:w="940" w:type="dxa"/>
            <w:vAlign w:val="bottom"/>
          </w:tcPr>
          <w:p>
            <w:pPr>
              <w:ind w:left="80"/>
              <w:spacing w:after="0"/>
              <w:rPr>
                <w:sz w:val="20"/>
                <w:szCs w:val="20"/>
                <w:color w:val="auto"/>
              </w:rPr>
            </w:pPr>
            <w:r>
              <w:rPr>
                <w:rFonts w:ascii="Arial" w:cs="Arial" w:eastAsia="Arial" w:hAnsi="Arial"/>
                <w:sz w:val="18"/>
                <w:szCs w:val="18"/>
                <w:color w:val="auto"/>
              </w:rPr>
              <w:t>Unearned</w:t>
            </w:r>
          </w:p>
        </w:tc>
        <w:tc>
          <w:tcPr>
            <w:tcW w:w="1540" w:type="dxa"/>
            <w:vAlign w:val="bottom"/>
            <w:gridSpan w:val="2"/>
          </w:tcPr>
          <w:p>
            <w:pPr>
              <w:ind w:left="60"/>
              <w:spacing w:after="0"/>
              <w:rPr>
                <w:sz w:val="20"/>
                <w:szCs w:val="20"/>
                <w:color w:val="auto"/>
              </w:rPr>
            </w:pPr>
            <w:r>
              <w:rPr>
                <w:rFonts w:ascii="Arial" w:cs="Arial" w:eastAsia="Arial" w:hAnsi="Arial"/>
                <w:sz w:val="18"/>
                <w:szCs w:val="18"/>
                <w:color w:val="auto"/>
              </w:rPr>
              <w:t>Exercise Option</w:t>
            </w:r>
          </w:p>
        </w:tc>
        <w:tc>
          <w:tcPr>
            <w:tcW w:w="740" w:type="dxa"/>
            <w:vAlign w:val="bottom"/>
          </w:tcPr>
          <w:p>
            <w:pPr>
              <w:ind w:left="60"/>
              <w:spacing w:after="0"/>
              <w:rPr>
                <w:sz w:val="20"/>
                <w:szCs w:val="20"/>
                <w:color w:val="auto"/>
              </w:rPr>
            </w:pPr>
            <w:r>
              <w:rPr>
                <w:rFonts w:ascii="Arial" w:cs="Arial" w:eastAsia="Arial" w:hAnsi="Arial"/>
                <w:sz w:val="18"/>
                <w:szCs w:val="18"/>
                <w:color w:val="auto"/>
              </w:rPr>
              <w:t>Have</w:t>
            </w:r>
          </w:p>
        </w:tc>
        <w:tc>
          <w:tcPr>
            <w:tcW w:w="660" w:type="dxa"/>
            <w:vAlign w:val="bottom"/>
          </w:tcPr>
          <w:p>
            <w:pPr>
              <w:ind w:left="80"/>
              <w:spacing w:after="0"/>
              <w:rPr>
                <w:sz w:val="20"/>
                <w:szCs w:val="20"/>
                <w:color w:val="auto"/>
              </w:rPr>
            </w:pPr>
            <w:r>
              <w:rPr>
                <w:rFonts w:ascii="Arial" w:cs="Arial" w:eastAsia="Arial" w:hAnsi="Arial"/>
                <w:sz w:val="18"/>
                <w:szCs w:val="18"/>
                <w:color w:val="auto"/>
              </w:rPr>
              <w:t>Not</w:t>
            </w:r>
          </w:p>
        </w:tc>
        <w:tc>
          <w:tcPr>
            <w:tcW w:w="760" w:type="dxa"/>
            <w:vAlign w:val="bottom"/>
          </w:tcPr>
          <w:p>
            <w:pPr>
              <w:ind w:left="80"/>
              <w:spacing w:after="0"/>
              <w:rPr>
                <w:sz w:val="20"/>
                <w:szCs w:val="20"/>
                <w:color w:val="auto"/>
              </w:rPr>
            </w:pPr>
            <w:r>
              <w:rPr>
                <w:rFonts w:ascii="Arial" w:cs="Arial" w:eastAsia="Arial" w:hAnsi="Arial"/>
                <w:sz w:val="18"/>
                <w:szCs w:val="18"/>
                <w:color w:val="auto"/>
              </w:rPr>
              <w:t>Not</w:t>
            </w:r>
          </w:p>
        </w:tc>
        <w:tc>
          <w:tcPr>
            <w:tcW w:w="820" w:type="dxa"/>
            <w:vAlign w:val="bottom"/>
          </w:tcPr>
          <w:p>
            <w:pPr>
              <w:ind w:left="40"/>
              <w:spacing w:after="0"/>
              <w:rPr>
                <w:sz w:val="20"/>
                <w:szCs w:val="20"/>
                <w:color w:val="auto"/>
              </w:rPr>
            </w:pPr>
            <w:r>
              <w:rPr>
                <w:rFonts w:ascii="Arial" w:cs="Arial" w:eastAsia="Arial" w:hAnsi="Arial"/>
                <w:sz w:val="18"/>
                <w:szCs w:val="18"/>
                <w:color w:val="auto"/>
              </w:rPr>
              <w:t>Have Not</w:t>
            </w:r>
          </w:p>
        </w:tc>
      </w:tr>
      <w:tr>
        <w:trPr>
          <w:trHeight w:val="216"/>
        </w:trPr>
        <w:tc>
          <w:tcPr>
            <w:tcW w:w="116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rPr>
              <w:t>(#)</w:t>
            </w:r>
          </w:p>
        </w:tc>
        <w:tc>
          <w:tcPr>
            <w:tcW w:w="1040" w:type="dxa"/>
            <w:vAlign w:val="bottom"/>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ind w:left="80"/>
              <w:spacing w:after="0"/>
              <w:rPr>
                <w:sz w:val="20"/>
                <w:szCs w:val="20"/>
                <w:color w:val="auto"/>
              </w:rPr>
            </w:pPr>
            <w:r>
              <w:rPr>
                <w:rFonts w:ascii="Arial" w:cs="Arial" w:eastAsia="Arial" w:hAnsi="Arial"/>
                <w:sz w:val="18"/>
                <w:szCs w:val="18"/>
                <w:color w:val="auto"/>
              </w:rPr>
              <w:t>Options</w:t>
            </w:r>
          </w:p>
        </w:tc>
        <w:tc>
          <w:tcPr>
            <w:tcW w:w="680" w:type="dxa"/>
            <w:vAlign w:val="bottom"/>
          </w:tcPr>
          <w:p>
            <w:pPr>
              <w:ind w:left="100"/>
              <w:spacing w:after="0"/>
              <w:rPr>
                <w:sz w:val="20"/>
                <w:szCs w:val="20"/>
                <w:color w:val="auto"/>
              </w:rPr>
            </w:pPr>
            <w:r>
              <w:rPr>
                <w:rFonts w:ascii="Arial" w:cs="Arial" w:eastAsia="Arial" w:hAnsi="Arial"/>
                <w:sz w:val="18"/>
                <w:szCs w:val="18"/>
                <w:color w:val="auto"/>
              </w:rPr>
              <w:t>Price</w:t>
            </w:r>
          </w:p>
        </w:tc>
        <w:tc>
          <w:tcPr>
            <w:tcW w:w="860" w:type="dxa"/>
            <w:vAlign w:val="bottom"/>
          </w:tcPr>
          <w:p>
            <w:pPr>
              <w:ind w:left="60"/>
              <w:spacing w:after="0"/>
              <w:rPr>
                <w:sz w:val="20"/>
                <w:szCs w:val="20"/>
                <w:color w:val="auto"/>
              </w:rPr>
            </w:pPr>
            <w:r>
              <w:rPr>
                <w:rFonts w:ascii="Arial" w:cs="Arial" w:eastAsia="Arial" w:hAnsi="Arial"/>
                <w:sz w:val="18"/>
                <w:szCs w:val="18"/>
                <w:color w:val="auto"/>
                <w:w w:val="97"/>
              </w:rPr>
              <w:t>Expiration</w:t>
            </w:r>
          </w:p>
        </w:tc>
        <w:tc>
          <w:tcPr>
            <w:tcW w:w="740" w:type="dxa"/>
            <w:vAlign w:val="bottom"/>
          </w:tcPr>
          <w:p>
            <w:pPr>
              <w:ind w:left="60"/>
              <w:spacing w:after="0"/>
              <w:rPr>
                <w:sz w:val="20"/>
                <w:szCs w:val="20"/>
                <w:color w:val="auto"/>
              </w:rPr>
            </w:pPr>
            <w:r>
              <w:rPr>
                <w:rFonts w:ascii="Arial" w:cs="Arial" w:eastAsia="Arial" w:hAnsi="Arial"/>
                <w:sz w:val="18"/>
                <w:szCs w:val="18"/>
                <w:color w:val="auto"/>
              </w:rPr>
              <w:t>Not</w:t>
            </w:r>
          </w:p>
        </w:tc>
        <w:tc>
          <w:tcPr>
            <w:tcW w:w="660" w:type="dxa"/>
            <w:vAlign w:val="bottom"/>
          </w:tcPr>
          <w:p>
            <w:pPr>
              <w:ind w:left="80"/>
              <w:spacing w:after="0"/>
              <w:rPr>
                <w:sz w:val="20"/>
                <w:szCs w:val="20"/>
                <w:color w:val="auto"/>
              </w:rPr>
            </w:pPr>
            <w:r>
              <w:rPr>
                <w:rFonts w:ascii="Arial" w:cs="Arial" w:eastAsia="Arial" w:hAnsi="Arial"/>
                <w:sz w:val="18"/>
                <w:szCs w:val="18"/>
                <w:color w:val="auto"/>
                <w:w w:val="99"/>
              </w:rPr>
              <w:t>Vested</w:t>
            </w:r>
          </w:p>
        </w:tc>
        <w:tc>
          <w:tcPr>
            <w:tcW w:w="760" w:type="dxa"/>
            <w:vAlign w:val="bottom"/>
          </w:tcPr>
          <w:p>
            <w:pPr>
              <w:ind w:left="40"/>
              <w:spacing w:after="0"/>
              <w:rPr>
                <w:sz w:val="20"/>
                <w:szCs w:val="20"/>
                <w:color w:val="auto"/>
              </w:rPr>
            </w:pPr>
            <w:r>
              <w:rPr>
                <w:rFonts w:ascii="Arial" w:cs="Arial" w:eastAsia="Arial" w:hAnsi="Arial"/>
                <w:sz w:val="18"/>
                <w:szCs w:val="18"/>
                <w:color w:val="auto"/>
              </w:rPr>
              <w:t>Vested</w:t>
            </w:r>
          </w:p>
        </w:tc>
        <w:tc>
          <w:tcPr>
            <w:tcW w:w="820" w:type="dxa"/>
            <w:vAlign w:val="bottom"/>
          </w:tcPr>
          <w:p>
            <w:pPr>
              <w:ind w:left="80"/>
              <w:spacing w:after="0"/>
              <w:rPr>
                <w:sz w:val="20"/>
                <w:szCs w:val="20"/>
                <w:color w:val="auto"/>
              </w:rPr>
            </w:pPr>
            <w:r>
              <w:rPr>
                <w:rFonts w:ascii="Arial" w:cs="Arial" w:eastAsia="Arial" w:hAnsi="Arial"/>
                <w:sz w:val="18"/>
                <w:szCs w:val="18"/>
                <w:color w:val="auto"/>
              </w:rPr>
              <w:t>Vested</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Name</w:t>
            </w:r>
          </w:p>
        </w:tc>
        <w:tc>
          <w:tcPr>
            <w:tcW w:w="2860" w:type="dxa"/>
            <w:vAlign w:val="bottom"/>
            <w:gridSpan w:val="3"/>
          </w:tcPr>
          <w:p>
            <w:pPr>
              <w:ind w:left="40"/>
              <w:spacing w:after="0"/>
              <w:rPr>
                <w:sz w:val="20"/>
                <w:szCs w:val="20"/>
                <w:color w:val="auto"/>
              </w:rPr>
            </w:pPr>
            <w:r>
              <w:rPr>
                <w:rFonts w:ascii="Arial" w:cs="Arial" w:eastAsia="Arial" w:hAnsi="Arial"/>
                <w:sz w:val="18"/>
                <w:szCs w:val="18"/>
                <w:color w:val="auto"/>
              </w:rPr>
              <w:t>Exercisable Unexercisable (#)</w:t>
            </w:r>
          </w:p>
        </w:tc>
        <w:tc>
          <w:tcPr>
            <w:tcW w:w="680" w:type="dxa"/>
            <w:vAlign w:val="bottom"/>
          </w:tcPr>
          <w:p>
            <w:pPr>
              <w:ind w:left="100"/>
              <w:spacing w:after="0"/>
              <w:rPr>
                <w:sz w:val="20"/>
                <w:szCs w:val="20"/>
                <w:color w:val="auto"/>
              </w:rPr>
            </w:pPr>
            <w:r>
              <w:rPr>
                <w:rFonts w:ascii="Arial" w:cs="Arial" w:eastAsia="Arial" w:hAnsi="Arial"/>
                <w:sz w:val="18"/>
                <w:szCs w:val="18"/>
                <w:color w:val="auto"/>
              </w:rPr>
              <w:t>($)</w:t>
            </w:r>
          </w:p>
        </w:tc>
        <w:tc>
          <w:tcPr>
            <w:tcW w:w="860" w:type="dxa"/>
            <w:vAlign w:val="bottom"/>
          </w:tcPr>
          <w:p>
            <w:pPr>
              <w:ind w:left="60"/>
              <w:spacing w:after="0"/>
              <w:rPr>
                <w:sz w:val="20"/>
                <w:szCs w:val="20"/>
                <w:color w:val="auto"/>
              </w:rPr>
            </w:pPr>
            <w:r>
              <w:rPr>
                <w:rFonts w:ascii="Arial" w:cs="Arial" w:eastAsia="Arial" w:hAnsi="Arial"/>
                <w:sz w:val="18"/>
                <w:szCs w:val="18"/>
                <w:color w:val="auto"/>
              </w:rPr>
              <w:t>Date</w:t>
            </w:r>
          </w:p>
        </w:tc>
        <w:tc>
          <w:tcPr>
            <w:tcW w:w="740" w:type="dxa"/>
            <w:vAlign w:val="bottom"/>
          </w:tcPr>
          <w:p>
            <w:pPr>
              <w:ind w:left="60"/>
              <w:spacing w:after="0"/>
              <w:rPr>
                <w:sz w:val="20"/>
                <w:szCs w:val="20"/>
                <w:color w:val="auto"/>
              </w:rPr>
            </w:pPr>
            <w:r>
              <w:rPr>
                <w:rFonts w:ascii="Arial" w:cs="Arial" w:eastAsia="Arial" w:hAnsi="Arial"/>
                <w:sz w:val="18"/>
                <w:szCs w:val="18"/>
                <w:color w:val="auto"/>
              </w:rPr>
              <w:t>Vested</w:t>
            </w:r>
          </w:p>
        </w:tc>
        <w:tc>
          <w:tcPr>
            <w:tcW w:w="66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ind w:left="40"/>
              <w:spacing w:after="0"/>
              <w:rPr>
                <w:sz w:val="20"/>
                <w:szCs w:val="20"/>
                <w:color w:val="auto"/>
              </w:rPr>
            </w:pPr>
            <w:r>
              <w:rPr>
                <w:rFonts w:ascii="Arial" w:cs="Arial" w:eastAsia="Arial" w:hAnsi="Arial"/>
                <w:sz w:val="18"/>
                <w:szCs w:val="18"/>
                <w:color w:val="auto"/>
              </w:rPr>
              <w:t>(#)</w:t>
            </w:r>
          </w:p>
        </w:tc>
        <w:tc>
          <w:tcPr>
            <w:tcW w:w="82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37"/>
        </w:trPr>
        <w:tc>
          <w:tcPr>
            <w:tcW w:w="1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r>
      <w:tr>
        <w:trPr>
          <w:trHeight w:val="202"/>
        </w:trPr>
        <w:tc>
          <w:tcPr>
            <w:tcW w:w="116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rPr>
              <w:t>David Lester,</w:t>
            </w:r>
          </w:p>
        </w:tc>
        <w:tc>
          <w:tcPr>
            <w:tcW w:w="880" w:type="dxa"/>
            <w:vAlign w:val="bottom"/>
            <w:shd w:val="clear" w:color="auto" w:fill="CBDBD1"/>
          </w:tcPr>
          <w:p>
            <w:pPr>
              <w:ind w:left="40"/>
              <w:spacing w:after="0" w:line="201" w:lineRule="exact"/>
              <w:rPr>
                <w:sz w:val="20"/>
                <w:szCs w:val="20"/>
                <w:color w:val="auto"/>
              </w:rPr>
            </w:pPr>
            <w:r>
              <w:rPr>
                <w:rFonts w:ascii="Arial" w:cs="Arial" w:eastAsia="Arial" w:hAnsi="Arial"/>
                <w:sz w:val="18"/>
                <w:szCs w:val="18"/>
                <w:color w:val="auto"/>
              </w:rPr>
              <w:t>375,000</w:t>
            </w:r>
          </w:p>
        </w:tc>
        <w:tc>
          <w:tcPr>
            <w:tcW w:w="1040" w:type="dxa"/>
            <w:vAlign w:val="bottom"/>
            <w:shd w:val="clear" w:color="auto" w:fill="CBDBD1"/>
          </w:tcPr>
          <w:p>
            <w:pPr>
              <w:spacing w:after="0"/>
              <w:rPr>
                <w:sz w:val="17"/>
                <w:szCs w:val="17"/>
                <w:color w:val="auto"/>
              </w:rPr>
            </w:pPr>
          </w:p>
        </w:tc>
        <w:tc>
          <w:tcPr>
            <w:tcW w:w="940" w:type="dxa"/>
            <w:vAlign w:val="bottom"/>
            <w:shd w:val="clear" w:color="auto" w:fill="CBDBD1"/>
          </w:tcPr>
          <w:p>
            <w:pPr>
              <w:spacing w:after="0"/>
              <w:rPr>
                <w:sz w:val="17"/>
                <w:szCs w:val="17"/>
                <w:color w:val="auto"/>
              </w:rPr>
            </w:pPr>
          </w:p>
        </w:tc>
        <w:tc>
          <w:tcPr>
            <w:tcW w:w="680" w:type="dxa"/>
            <w:vAlign w:val="bottom"/>
            <w:shd w:val="clear" w:color="auto" w:fill="CBDBD1"/>
          </w:tcPr>
          <w:p>
            <w:pPr>
              <w:ind w:left="60"/>
              <w:spacing w:after="0" w:line="202" w:lineRule="exact"/>
              <w:rPr>
                <w:sz w:val="20"/>
                <w:szCs w:val="20"/>
                <w:color w:val="auto"/>
              </w:rPr>
            </w:pPr>
            <w:r>
              <w:rPr>
                <w:rFonts w:ascii="Arial" w:cs="Arial" w:eastAsia="Arial" w:hAnsi="Arial"/>
                <w:sz w:val="17"/>
                <w:szCs w:val="17"/>
                <w:color w:val="auto"/>
                <w:w w:val="97"/>
              </w:rPr>
              <w:t>$0.35</w:t>
            </w:r>
            <w:r>
              <w:rPr>
                <w:rFonts w:ascii="Arial" w:cs="Arial" w:eastAsia="Arial" w:hAnsi="Arial"/>
                <w:sz w:val="23"/>
                <w:szCs w:val="23"/>
                <w:color w:val="auto"/>
                <w:w w:val="97"/>
                <w:vertAlign w:val="superscript"/>
              </w:rPr>
              <w:t>(1)</w:t>
            </w:r>
          </w:p>
        </w:tc>
        <w:tc>
          <w:tcPr>
            <w:tcW w:w="860" w:type="dxa"/>
            <w:vAlign w:val="bottom"/>
            <w:shd w:val="clear" w:color="auto" w:fill="CBDBD1"/>
          </w:tcPr>
          <w:p>
            <w:pPr>
              <w:ind w:left="60"/>
              <w:spacing w:after="0" w:line="201" w:lineRule="exact"/>
              <w:rPr>
                <w:sz w:val="20"/>
                <w:szCs w:val="20"/>
                <w:color w:val="auto"/>
              </w:rPr>
            </w:pPr>
            <w:r>
              <w:rPr>
                <w:rFonts w:ascii="Arial" w:cs="Arial" w:eastAsia="Arial" w:hAnsi="Arial"/>
                <w:sz w:val="18"/>
                <w:szCs w:val="18"/>
                <w:color w:val="auto"/>
              </w:rPr>
              <w:t>10/1/14</w:t>
            </w:r>
          </w:p>
        </w:tc>
        <w:tc>
          <w:tcPr>
            <w:tcW w:w="740" w:type="dxa"/>
            <w:vAlign w:val="bottom"/>
            <w:shd w:val="clear" w:color="auto" w:fill="CBDBD1"/>
          </w:tcPr>
          <w:p>
            <w:pPr>
              <w:spacing w:after="0"/>
              <w:rPr>
                <w:sz w:val="17"/>
                <w:szCs w:val="17"/>
                <w:color w:val="auto"/>
              </w:rPr>
            </w:pPr>
          </w:p>
        </w:tc>
        <w:tc>
          <w:tcPr>
            <w:tcW w:w="660" w:type="dxa"/>
            <w:vAlign w:val="bottom"/>
            <w:shd w:val="clear" w:color="auto" w:fill="CBDBD1"/>
          </w:tcPr>
          <w:p>
            <w:pPr>
              <w:spacing w:after="0"/>
              <w:rPr>
                <w:sz w:val="17"/>
                <w:szCs w:val="17"/>
                <w:color w:val="auto"/>
              </w:rPr>
            </w:pPr>
          </w:p>
        </w:tc>
        <w:tc>
          <w:tcPr>
            <w:tcW w:w="760" w:type="dxa"/>
            <w:vAlign w:val="bottom"/>
            <w:shd w:val="clear" w:color="auto" w:fill="CBDBD1"/>
          </w:tcPr>
          <w:p>
            <w:pPr>
              <w:spacing w:after="0"/>
              <w:rPr>
                <w:sz w:val="17"/>
                <w:szCs w:val="17"/>
                <w:color w:val="auto"/>
              </w:rPr>
            </w:pPr>
          </w:p>
        </w:tc>
        <w:tc>
          <w:tcPr>
            <w:tcW w:w="820" w:type="dxa"/>
            <w:vAlign w:val="bottom"/>
            <w:shd w:val="clear" w:color="auto" w:fill="CBDBD1"/>
          </w:tcPr>
          <w:p>
            <w:pPr>
              <w:spacing w:after="0"/>
              <w:rPr>
                <w:sz w:val="17"/>
                <w:szCs w:val="17"/>
                <w:color w:val="auto"/>
              </w:rPr>
            </w:pPr>
          </w:p>
        </w:tc>
      </w:tr>
      <w:tr>
        <w:trPr>
          <w:trHeight w:val="216"/>
        </w:trPr>
        <w:tc>
          <w:tcPr>
            <w:tcW w:w="1160" w:type="dxa"/>
            <w:vAlign w:val="bottom"/>
            <w:shd w:val="clear" w:color="auto" w:fill="CBDBD1"/>
          </w:tcPr>
          <w:p>
            <w:pPr>
              <w:spacing w:after="0"/>
              <w:rPr>
                <w:sz w:val="20"/>
                <w:szCs w:val="20"/>
                <w:color w:val="auto"/>
              </w:rPr>
            </w:pPr>
            <w:r>
              <w:rPr>
                <w:rFonts w:ascii="Arial" w:cs="Arial" w:eastAsia="Arial" w:hAnsi="Arial"/>
                <w:sz w:val="18"/>
                <w:szCs w:val="18"/>
                <w:color w:val="auto"/>
                <w:w w:val="93"/>
              </w:rPr>
              <w:t>CEO, CFO and</w:t>
            </w:r>
          </w:p>
        </w:tc>
        <w:tc>
          <w:tcPr>
            <w:tcW w:w="880" w:type="dxa"/>
            <w:vAlign w:val="bottom"/>
            <w:shd w:val="clear" w:color="auto" w:fill="CBDBD1"/>
          </w:tcPr>
          <w:p>
            <w:pPr>
              <w:ind w:left="40"/>
              <w:spacing w:after="0"/>
              <w:rPr>
                <w:sz w:val="20"/>
                <w:szCs w:val="20"/>
                <w:color w:val="auto"/>
              </w:rPr>
            </w:pPr>
            <w:r>
              <w:rPr>
                <w:rFonts w:ascii="Arial" w:cs="Arial" w:eastAsia="Arial" w:hAnsi="Arial"/>
                <w:sz w:val="18"/>
                <w:szCs w:val="18"/>
                <w:color w:val="auto"/>
              </w:rPr>
              <w:t>125,000</w:t>
            </w:r>
          </w:p>
        </w:tc>
        <w:tc>
          <w:tcPr>
            <w:tcW w:w="1040" w:type="dxa"/>
            <w:vAlign w:val="bottom"/>
            <w:shd w:val="clear" w:color="auto" w:fill="CBDBD1"/>
          </w:tcPr>
          <w:p>
            <w:pPr>
              <w:spacing w:after="0"/>
              <w:rPr>
                <w:sz w:val="18"/>
                <w:szCs w:val="18"/>
                <w:color w:val="auto"/>
              </w:rPr>
            </w:pPr>
          </w:p>
        </w:tc>
        <w:tc>
          <w:tcPr>
            <w:tcW w:w="940" w:type="dxa"/>
            <w:vAlign w:val="bottom"/>
            <w:shd w:val="clear" w:color="auto" w:fill="CBDBD1"/>
          </w:tcPr>
          <w:p>
            <w:pPr>
              <w:spacing w:after="0"/>
              <w:rPr>
                <w:sz w:val="18"/>
                <w:szCs w:val="18"/>
                <w:color w:val="auto"/>
              </w:rPr>
            </w:pPr>
          </w:p>
        </w:tc>
        <w:tc>
          <w:tcPr>
            <w:tcW w:w="680" w:type="dxa"/>
            <w:vAlign w:val="bottom"/>
            <w:shd w:val="clear" w:color="auto" w:fill="CBDBD1"/>
          </w:tcPr>
          <w:p>
            <w:pPr>
              <w:ind w:left="60"/>
              <w:spacing w:after="0" w:line="216" w:lineRule="exact"/>
              <w:rPr>
                <w:sz w:val="20"/>
                <w:szCs w:val="20"/>
                <w:color w:val="auto"/>
              </w:rPr>
            </w:pPr>
            <w:r>
              <w:rPr>
                <w:rFonts w:ascii="Arial" w:cs="Arial" w:eastAsia="Arial" w:hAnsi="Arial"/>
                <w:sz w:val="18"/>
                <w:szCs w:val="18"/>
                <w:color w:val="auto"/>
                <w:w w:val="91"/>
              </w:rPr>
              <w:t>$0.35</w:t>
            </w:r>
            <w:r>
              <w:rPr>
                <w:rFonts w:ascii="Arial" w:cs="Arial" w:eastAsia="Arial" w:hAnsi="Arial"/>
                <w:sz w:val="25"/>
                <w:szCs w:val="25"/>
                <w:color w:val="auto"/>
                <w:w w:val="91"/>
                <w:vertAlign w:val="superscript"/>
              </w:rPr>
              <w:t>(1)</w:t>
            </w:r>
          </w:p>
        </w:tc>
        <w:tc>
          <w:tcPr>
            <w:tcW w:w="860" w:type="dxa"/>
            <w:vAlign w:val="bottom"/>
            <w:shd w:val="clear" w:color="auto" w:fill="CBDBD1"/>
          </w:tcPr>
          <w:p>
            <w:pPr>
              <w:ind w:left="60"/>
              <w:spacing w:after="0"/>
              <w:rPr>
                <w:sz w:val="20"/>
                <w:szCs w:val="20"/>
                <w:color w:val="auto"/>
              </w:rPr>
            </w:pPr>
            <w:r>
              <w:rPr>
                <w:rFonts w:ascii="Arial" w:cs="Arial" w:eastAsia="Arial" w:hAnsi="Arial"/>
                <w:sz w:val="18"/>
                <w:szCs w:val="18"/>
                <w:color w:val="auto"/>
              </w:rPr>
              <w:t>12/22/14</w:t>
            </w:r>
          </w:p>
        </w:tc>
        <w:tc>
          <w:tcPr>
            <w:tcW w:w="740" w:type="dxa"/>
            <w:vAlign w:val="bottom"/>
            <w:shd w:val="clear" w:color="auto" w:fill="CBDBD1"/>
          </w:tcPr>
          <w:p>
            <w:pPr>
              <w:spacing w:after="0"/>
              <w:rPr>
                <w:sz w:val="18"/>
                <w:szCs w:val="18"/>
                <w:color w:val="auto"/>
              </w:rPr>
            </w:pPr>
          </w:p>
        </w:tc>
        <w:tc>
          <w:tcPr>
            <w:tcW w:w="660" w:type="dxa"/>
            <w:vAlign w:val="bottom"/>
            <w:shd w:val="clear" w:color="auto" w:fill="CBDBD1"/>
          </w:tcPr>
          <w:p>
            <w:pPr>
              <w:spacing w:after="0"/>
              <w:rPr>
                <w:sz w:val="18"/>
                <w:szCs w:val="18"/>
                <w:color w:val="auto"/>
              </w:rPr>
            </w:pPr>
          </w:p>
        </w:tc>
        <w:tc>
          <w:tcPr>
            <w:tcW w:w="760" w:type="dxa"/>
            <w:vAlign w:val="bottom"/>
            <w:shd w:val="clear" w:color="auto" w:fill="CBDBD1"/>
          </w:tcPr>
          <w:p>
            <w:pPr>
              <w:spacing w:after="0"/>
              <w:rPr>
                <w:sz w:val="18"/>
                <w:szCs w:val="18"/>
                <w:color w:val="auto"/>
              </w:rPr>
            </w:pPr>
          </w:p>
        </w:tc>
        <w:tc>
          <w:tcPr>
            <w:tcW w:w="820" w:type="dxa"/>
            <w:vAlign w:val="bottom"/>
            <w:shd w:val="clear" w:color="auto" w:fill="CBDBD1"/>
          </w:tcPr>
          <w:p>
            <w:pPr>
              <w:spacing w:after="0"/>
              <w:rPr>
                <w:sz w:val="18"/>
                <w:szCs w:val="18"/>
                <w:color w:val="auto"/>
              </w:rPr>
            </w:pPr>
          </w:p>
        </w:tc>
      </w:tr>
      <w:tr>
        <w:trPr>
          <w:trHeight w:val="230"/>
        </w:trPr>
        <w:tc>
          <w:tcPr>
            <w:tcW w:w="1160" w:type="dxa"/>
            <w:vAlign w:val="bottom"/>
            <w:shd w:val="clear" w:color="auto" w:fill="CBDBD1"/>
          </w:tcPr>
          <w:p>
            <w:pPr>
              <w:spacing w:after="0"/>
              <w:rPr>
                <w:sz w:val="20"/>
                <w:szCs w:val="20"/>
                <w:color w:val="auto"/>
              </w:rPr>
            </w:pPr>
            <w:r>
              <w:rPr>
                <w:rFonts w:ascii="Arial" w:cs="Arial" w:eastAsia="Arial" w:hAnsi="Arial"/>
                <w:sz w:val="18"/>
                <w:szCs w:val="18"/>
                <w:color w:val="auto"/>
              </w:rPr>
              <w:t>Director</w:t>
            </w:r>
          </w:p>
        </w:tc>
        <w:tc>
          <w:tcPr>
            <w:tcW w:w="880" w:type="dxa"/>
            <w:vAlign w:val="bottom"/>
            <w:shd w:val="clear" w:color="auto" w:fill="CBDBD1"/>
          </w:tcPr>
          <w:p>
            <w:pPr>
              <w:spacing w:after="0"/>
              <w:rPr>
                <w:sz w:val="20"/>
                <w:szCs w:val="20"/>
                <w:color w:val="auto"/>
              </w:rPr>
            </w:pPr>
          </w:p>
        </w:tc>
        <w:tc>
          <w:tcPr>
            <w:tcW w:w="1040" w:type="dxa"/>
            <w:vAlign w:val="bottom"/>
            <w:shd w:val="clear" w:color="auto" w:fill="CBDBD1"/>
          </w:tcPr>
          <w:p>
            <w:pPr>
              <w:spacing w:after="0"/>
              <w:rPr>
                <w:sz w:val="20"/>
                <w:szCs w:val="20"/>
                <w:color w:val="auto"/>
              </w:rPr>
            </w:pPr>
          </w:p>
        </w:tc>
        <w:tc>
          <w:tcPr>
            <w:tcW w:w="940" w:type="dxa"/>
            <w:vAlign w:val="bottom"/>
            <w:shd w:val="clear" w:color="auto" w:fill="CBDBD1"/>
          </w:tcPr>
          <w:p>
            <w:pPr>
              <w:spacing w:after="0"/>
              <w:rPr>
                <w:sz w:val="20"/>
                <w:szCs w:val="20"/>
                <w:color w:val="auto"/>
              </w:rPr>
            </w:pPr>
          </w:p>
        </w:tc>
        <w:tc>
          <w:tcPr>
            <w:tcW w:w="680" w:type="dxa"/>
            <w:vAlign w:val="bottom"/>
            <w:shd w:val="clear" w:color="auto" w:fill="CBDBD1"/>
          </w:tcPr>
          <w:p>
            <w:pPr>
              <w:spacing w:after="0"/>
              <w:rPr>
                <w:sz w:val="20"/>
                <w:szCs w:val="20"/>
                <w:color w:val="auto"/>
              </w:rPr>
            </w:pPr>
          </w:p>
        </w:tc>
        <w:tc>
          <w:tcPr>
            <w:tcW w:w="860" w:type="dxa"/>
            <w:vAlign w:val="bottom"/>
            <w:shd w:val="clear" w:color="auto" w:fill="CBDBD1"/>
          </w:tcPr>
          <w:p>
            <w:pPr>
              <w:spacing w:after="0"/>
              <w:rPr>
                <w:sz w:val="20"/>
                <w:szCs w:val="20"/>
                <w:color w:val="auto"/>
              </w:rPr>
            </w:pPr>
          </w:p>
        </w:tc>
        <w:tc>
          <w:tcPr>
            <w:tcW w:w="740" w:type="dxa"/>
            <w:vAlign w:val="bottom"/>
            <w:shd w:val="clear" w:color="auto" w:fill="CBDBD1"/>
          </w:tcPr>
          <w:p>
            <w:pPr>
              <w:spacing w:after="0"/>
              <w:rPr>
                <w:sz w:val="20"/>
                <w:szCs w:val="20"/>
                <w:color w:val="auto"/>
              </w:rPr>
            </w:pPr>
          </w:p>
        </w:tc>
        <w:tc>
          <w:tcPr>
            <w:tcW w:w="660" w:type="dxa"/>
            <w:vAlign w:val="bottom"/>
            <w:shd w:val="clear" w:color="auto" w:fill="CBDBD1"/>
          </w:tcPr>
          <w:p>
            <w:pPr>
              <w:spacing w:after="0"/>
              <w:rPr>
                <w:sz w:val="20"/>
                <w:szCs w:val="20"/>
                <w:color w:val="auto"/>
              </w:rPr>
            </w:pPr>
          </w:p>
        </w:tc>
        <w:tc>
          <w:tcPr>
            <w:tcW w:w="760" w:type="dxa"/>
            <w:vAlign w:val="bottom"/>
            <w:shd w:val="clear" w:color="auto" w:fill="CBDBD1"/>
          </w:tcPr>
          <w:p>
            <w:pPr>
              <w:spacing w:after="0"/>
              <w:rPr>
                <w:sz w:val="20"/>
                <w:szCs w:val="20"/>
                <w:color w:val="auto"/>
              </w:rPr>
            </w:pPr>
          </w:p>
        </w:tc>
        <w:tc>
          <w:tcPr>
            <w:tcW w:w="820" w:type="dxa"/>
            <w:vAlign w:val="bottom"/>
            <w:shd w:val="clear" w:color="auto" w:fill="CBDBD1"/>
          </w:tcPr>
          <w:p>
            <w:pPr>
              <w:spacing w:after="0"/>
              <w:rPr>
                <w:sz w:val="20"/>
                <w:szCs w:val="20"/>
                <w:color w:val="auto"/>
              </w:rPr>
            </w:pPr>
          </w:p>
        </w:tc>
      </w:tr>
      <w:tr>
        <w:trPr>
          <w:trHeight w:val="202"/>
        </w:trPr>
        <w:tc>
          <w:tcPr>
            <w:tcW w:w="1160" w:type="dxa"/>
            <w:vAlign w:val="bottom"/>
          </w:tcPr>
          <w:p>
            <w:pPr>
              <w:spacing w:after="0" w:line="201" w:lineRule="exact"/>
              <w:rPr>
                <w:sz w:val="20"/>
                <w:szCs w:val="20"/>
                <w:color w:val="auto"/>
              </w:rPr>
            </w:pPr>
            <w:r>
              <w:rPr>
                <w:rFonts w:ascii="Arial" w:cs="Arial" w:eastAsia="Arial" w:hAnsi="Arial"/>
                <w:sz w:val="18"/>
                <w:szCs w:val="18"/>
                <w:color w:val="auto"/>
              </w:rPr>
              <w:t>Thomas E.</w:t>
            </w:r>
          </w:p>
        </w:tc>
        <w:tc>
          <w:tcPr>
            <w:tcW w:w="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Majerowicz</w:t>
            </w: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Secretary</w:t>
            </w:r>
          </w:p>
        </w:tc>
        <w:tc>
          <w:tcPr>
            <w:tcW w:w="8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02"/>
        </w:trPr>
        <w:tc>
          <w:tcPr>
            <w:tcW w:w="116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rPr>
              <w:t>David Harrell,</w:t>
            </w:r>
          </w:p>
        </w:tc>
        <w:tc>
          <w:tcPr>
            <w:tcW w:w="880" w:type="dxa"/>
            <w:vAlign w:val="bottom"/>
            <w:shd w:val="clear" w:color="auto" w:fill="CBDBD1"/>
          </w:tcPr>
          <w:p>
            <w:pPr>
              <w:ind w:left="40"/>
              <w:spacing w:after="0" w:line="201" w:lineRule="exact"/>
              <w:rPr>
                <w:sz w:val="20"/>
                <w:szCs w:val="20"/>
                <w:color w:val="auto"/>
              </w:rPr>
            </w:pPr>
            <w:r>
              <w:rPr>
                <w:rFonts w:ascii="Arial" w:cs="Arial" w:eastAsia="Arial" w:hAnsi="Arial"/>
                <w:sz w:val="18"/>
                <w:szCs w:val="18"/>
                <w:color w:val="auto"/>
              </w:rPr>
              <w:t>100,000</w:t>
            </w:r>
          </w:p>
        </w:tc>
        <w:tc>
          <w:tcPr>
            <w:tcW w:w="1040" w:type="dxa"/>
            <w:vAlign w:val="bottom"/>
            <w:shd w:val="clear" w:color="auto" w:fill="CBDBD1"/>
          </w:tcPr>
          <w:p>
            <w:pPr>
              <w:spacing w:after="0"/>
              <w:rPr>
                <w:sz w:val="17"/>
                <w:szCs w:val="17"/>
                <w:color w:val="auto"/>
              </w:rPr>
            </w:pPr>
          </w:p>
        </w:tc>
        <w:tc>
          <w:tcPr>
            <w:tcW w:w="940" w:type="dxa"/>
            <w:vAlign w:val="bottom"/>
            <w:shd w:val="clear" w:color="auto" w:fill="CBDBD1"/>
          </w:tcPr>
          <w:p>
            <w:pPr>
              <w:spacing w:after="0"/>
              <w:rPr>
                <w:sz w:val="17"/>
                <w:szCs w:val="17"/>
                <w:color w:val="auto"/>
              </w:rPr>
            </w:pPr>
          </w:p>
        </w:tc>
        <w:tc>
          <w:tcPr>
            <w:tcW w:w="680" w:type="dxa"/>
            <w:vAlign w:val="bottom"/>
            <w:shd w:val="clear" w:color="auto" w:fill="CBDBD1"/>
          </w:tcPr>
          <w:p>
            <w:pPr>
              <w:ind w:left="60"/>
              <w:spacing w:after="0" w:line="201" w:lineRule="exact"/>
              <w:rPr>
                <w:sz w:val="20"/>
                <w:szCs w:val="20"/>
                <w:color w:val="auto"/>
              </w:rPr>
            </w:pPr>
            <w:r>
              <w:rPr>
                <w:rFonts w:ascii="Arial" w:cs="Arial" w:eastAsia="Arial" w:hAnsi="Arial"/>
                <w:sz w:val="18"/>
                <w:szCs w:val="18"/>
                <w:color w:val="auto"/>
              </w:rPr>
              <w:t>$0.35</w:t>
            </w:r>
          </w:p>
        </w:tc>
        <w:tc>
          <w:tcPr>
            <w:tcW w:w="860" w:type="dxa"/>
            <w:vAlign w:val="bottom"/>
            <w:shd w:val="clear" w:color="auto" w:fill="CBDBD1"/>
          </w:tcPr>
          <w:p>
            <w:pPr>
              <w:ind w:left="60"/>
              <w:spacing w:after="0" w:line="201" w:lineRule="exact"/>
              <w:rPr>
                <w:sz w:val="20"/>
                <w:szCs w:val="20"/>
                <w:color w:val="auto"/>
              </w:rPr>
            </w:pPr>
            <w:r>
              <w:rPr>
                <w:rFonts w:ascii="Arial" w:cs="Arial" w:eastAsia="Arial" w:hAnsi="Arial"/>
                <w:sz w:val="18"/>
                <w:szCs w:val="18"/>
                <w:color w:val="auto"/>
              </w:rPr>
              <w:t>3/5/14</w:t>
            </w:r>
          </w:p>
        </w:tc>
        <w:tc>
          <w:tcPr>
            <w:tcW w:w="740" w:type="dxa"/>
            <w:vAlign w:val="bottom"/>
            <w:shd w:val="clear" w:color="auto" w:fill="CBDBD1"/>
          </w:tcPr>
          <w:p>
            <w:pPr>
              <w:spacing w:after="0"/>
              <w:rPr>
                <w:sz w:val="17"/>
                <w:szCs w:val="17"/>
                <w:color w:val="auto"/>
              </w:rPr>
            </w:pPr>
          </w:p>
        </w:tc>
        <w:tc>
          <w:tcPr>
            <w:tcW w:w="660" w:type="dxa"/>
            <w:vAlign w:val="bottom"/>
            <w:shd w:val="clear" w:color="auto" w:fill="CBDBD1"/>
          </w:tcPr>
          <w:p>
            <w:pPr>
              <w:spacing w:after="0"/>
              <w:rPr>
                <w:sz w:val="17"/>
                <w:szCs w:val="17"/>
                <w:color w:val="auto"/>
              </w:rPr>
            </w:pPr>
          </w:p>
        </w:tc>
        <w:tc>
          <w:tcPr>
            <w:tcW w:w="760" w:type="dxa"/>
            <w:vAlign w:val="bottom"/>
            <w:shd w:val="clear" w:color="auto" w:fill="CBDBD1"/>
          </w:tcPr>
          <w:p>
            <w:pPr>
              <w:spacing w:after="0"/>
              <w:rPr>
                <w:sz w:val="17"/>
                <w:szCs w:val="17"/>
                <w:color w:val="auto"/>
              </w:rPr>
            </w:pPr>
          </w:p>
        </w:tc>
        <w:tc>
          <w:tcPr>
            <w:tcW w:w="820" w:type="dxa"/>
            <w:vAlign w:val="bottom"/>
            <w:shd w:val="clear" w:color="auto" w:fill="CBDBD1"/>
          </w:tcPr>
          <w:p>
            <w:pPr>
              <w:spacing w:after="0"/>
              <w:rPr>
                <w:sz w:val="17"/>
                <w:szCs w:val="17"/>
                <w:color w:val="auto"/>
              </w:rPr>
            </w:pPr>
          </w:p>
        </w:tc>
      </w:tr>
      <w:tr>
        <w:trPr>
          <w:trHeight w:val="216"/>
        </w:trPr>
        <w:tc>
          <w:tcPr>
            <w:tcW w:w="1160" w:type="dxa"/>
            <w:vAlign w:val="bottom"/>
            <w:shd w:val="clear" w:color="auto" w:fill="CBDBD1"/>
          </w:tcPr>
          <w:p>
            <w:pPr>
              <w:spacing w:after="0"/>
              <w:rPr>
                <w:sz w:val="20"/>
                <w:szCs w:val="20"/>
                <w:color w:val="auto"/>
              </w:rPr>
            </w:pPr>
            <w:r>
              <w:rPr>
                <w:rFonts w:ascii="Arial" w:cs="Arial" w:eastAsia="Arial" w:hAnsi="Arial"/>
                <w:sz w:val="18"/>
                <w:szCs w:val="18"/>
                <w:color w:val="auto"/>
              </w:rPr>
              <w:t>Former</w:t>
            </w:r>
          </w:p>
        </w:tc>
        <w:tc>
          <w:tcPr>
            <w:tcW w:w="880" w:type="dxa"/>
            <w:vAlign w:val="bottom"/>
            <w:shd w:val="clear" w:color="auto" w:fill="CBDBD1"/>
          </w:tcPr>
          <w:p>
            <w:pPr>
              <w:spacing w:after="0"/>
              <w:rPr>
                <w:sz w:val="18"/>
                <w:szCs w:val="18"/>
                <w:color w:val="auto"/>
              </w:rPr>
            </w:pPr>
          </w:p>
        </w:tc>
        <w:tc>
          <w:tcPr>
            <w:tcW w:w="1040" w:type="dxa"/>
            <w:vAlign w:val="bottom"/>
            <w:shd w:val="clear" w:color="auto" w:fill="CBDBD1"/>
          </w:tcPr>
          <w:p>
            <w:pPr>
              <w:spacing w:after="0"/>
              <w:rPr>
                <w:sz w:val="18"/>
                <w:szCs w:val="18"/>
                <w:color w:val="auto"/>
              </w:rPr>
            </w:pPr>
          </w:p>
        </w:tc>
        <w:tc>
          <w:tcPr>
            <w:tcW w:w="940" w:type="dxa"/>
            <w:vAlign w:val="bottom"/>
            <w:shd w:val="clear" w:color="auto" w:fill="CBDBD1"/>
          </w:tcPr>
          <w:p>
            <w:pPr>
              <w:spacing w:after="0"/>
              <w:rPr>
                <w:sz w:val="18"/>
                <w:szCs w:val="18"/>
                <w:color w:val="auto"/>
              </w:rPr>
            </w:pPr>
          </w:p>
        </w:tc>
        <w:tc>
          <w:tcPr>
            <w:tcW w:w="680" w:type="dxa"/>
            <w:vAlign w:val="bottom"/>
            <w:shd w:val="clear" w:color="auto" w:fill="CBDBD1"/>
          </w:tcPr>
          <w:p>
            <w:pPr>
              <w:spacing w:after="0"/>
              <w:rPr>
                <w:sz w:val="18"/>
                <w:szCs w:val="18"/>
                <w:color w:val="auto"/>
              </w:rPr>
            </w:pPr>
          </w:p>
        </w:tc>
        <w:tc>
          <w:tcPr>
            <w:tcW w:w="860" w:type="dxa"/>
            <w:vAlign w:val="bottom"/>
            <w:shd w:val="clear" w:color="auto" w:fill="CBDBD1"/>
          </w:tcPr>
          <w:p>
            <w:pPr>
              <w:spacing w:after="0"/>
              <w:rPr>
                <w:sz w:val="18"/>
                <w:szCs w:val="18"/>
                <w:color w:val="auto"/>
              </w:rPr>
            </w:pPr>
          </w:p>
        </w:tc>
        <w:tc>
          <w:tcPr>
            <w:tcW w:w="740" w:type="dxa"/>
            <w:vAlign w:val="bottom"/>
            <w:shd w:val="clear" w:color="auto" w:fill="CBDBD1"/>
          </w:tcPr>
          <w:p>
            <w:pPr>
              <w:spacing w:after="0"/>
              <w:rPr>
                <w:sz w:val="18"/>
                <w:szCs w:val="18"/>
                <w:color w:val="auto"/>
              </w:rPr>
            </w:pPr>
          </w:p>
        </w:tc>
        <w:tc>
          <w:tcPr>
            <w:tcW w:w="660" w:type="dxa"/>
            <w:vAlign w:val="bottom"/>
            <w:shd w:val="clear" w:color="auto" w:fill="CBDBD1"/>
          </w:tcPr>
          <w:p>
            <w:pPr>
              <w:spacing w:after="0"/>
              <w:rPr>
                <w:sz w:val="18"/>
                <w:szCs w:val="18"/>
                <w:color w:val="auto"/>
              </w:rPr>
            </w:pPr>
          </w:p>
        </w:tc>
        <w:tc>
          <w:tcPr>
            <w:tcW w:w="760" w:type="dxa"/>
            <w:vAlign w:val="bottom"/>
            <w:shd w:val="clear" w:color="auto" w:fill="CBDBD1"/>
          </w:tcPr>
          <w:p>
            <w:pPr>
              <w:spacing w:after="0"/>
              <w:rPr>
                <w:sz w:val="18"/>
                <w:szCs w:val="18"/>
                <w:color w:val="auto"/>
              </w:rPr>
            </w:pPr>
          </w:p>
        </w:tc>
        <w:tc>
          <w:tcPr>
            <w:tcW w:w="820" w:type="dxa"/>
            <w:vAlign w:val="bottom"/>
            <w:shd w:val="clear" w:color="auto" w:fill="CBDBD1"/>
          </w:tcPr>
          <w:p>
            <w:pPr>
              <w:spacing w:after="0"/>
              <w:rPr>
                <w:sz w:val="18"/>
                <w:szCs w:val="18"/>
                <w:color w:val="auto"/>
              </w:rPr>
            </w:pPr>
          </w:p>
        </w:tc>
      </w:tr>
      <w:tr>
        <w:trPr>
          <w:trHeight w:val="216"/>
        </w:trPr>
        <w:tc>
          <w:tcPr>
            <w:tcW w:w="1160" w:type="dxa"/>
            <w:vAlign w:val="bottom"/>
            <w:shd w:val="clear" w:color="auto" w:fill="CBDBD1"/>
          </w:tcPr>
          <w:p>
            <w:pPr>
              <w:spacing w:after="0"/>
              <w:rPr>
                <w:sz w:val="20"/>
                <w:szCs w:val="20"/>
                <w:color w:val="auto"/>
              </w:rPr>
            </w:pPr>
            <w:r>
              <w:rPr>
                <w:rFonts w:ascii="Arial" w:cs="Arial" w:eastAsia="Arial" w:hAnsi="Arial"/>
                <w:sz w:val="18"/>
                <w:szCs w:val="18"/>
                <w:color w:val="auto"/>
              </w:rPr>
              <w:t>President and</w:t>
            </w:r>
          </w:p>
        </w:tc>
        <w:tc>
          <w:tcPr>
            <w:tcW w:w="880" w:type="dxa"/>
            <w:vAlign w:val="bottom"/>
            <w:shd w:val="clear" w:color="auto" w:fill="CBDBD1"/>
          </w:tcPr>
          <w:p>
            <w:pPr>
              <w:spacing w:after="0"/>
              <w:rPr>
                <w:sz w:val="18"/>
                <w:szCs w:val="18"/>
                <w:color w:val="auto"/>
              </w:rPr>
            </w:pPr>
          </w:p>
        </w:tc>
        <w:tc>
          <w:tcPr>
            <w:tcW w:w="1040" w:type="dxa"/>
            <w:vAlign w:val="bottom"/>
            <w:shd w:val="clear" w:color="auto" w:fill="CBDBD1"/>
          </w:tcPr>
          <w:p>
            <w:pPr>
              <w:spacing w:after="0"/>
              <w:rPr>
                <w:sz w:val="18"/>
                <w:szCs w:val="18"/>
                <w:color w:val="auto"/>
              </w:rPr>
            </w:pPr>
          </w:p>
        </w:tc>
        <w:tc>
          <w:tcPr>
            <w:tcW w:w="940" w:type="dxa"/>
            <w:vAlign w:val="bottom"/>
            <w:shd w:val="clear" w:color="auto" w:fill="CBDBD1"/>
          </w:tcPr>
          <w:p>
            <w:pPr>
              <w:spacing w:after="0"/>
              <w:rPr>
                <w:sz w:val="18"/>
                <w:szCs w:val="18"/>
                <w:color w:val="auto"/>
              </w:rPr>
            </w:pPr>
          </w:p>
        </w:tc>
        <w:tc>
          <w:tcPr>
            <w:tcW w:w="680" w:type="dxa"/>
            <w:vAlign w:val="bottom"/>
            <w:shd w:val="clear" w:color="auto" w:fill="CBDBD1"/>
          </w:tcPr>
          <w:p>
            <w:pPr>
              <w:spacing w:after="0"/>
              <w:rPr>
                <w:sz w:val="18"/>
                <w:szCs w:val="18"/>
                <w:color w:val="auto"/>
              </w:rPr>
            </w:pPr>
          </w:p>
        </w:tc>
        <w:tc>
          <w:tcPr>
            <w:tcW w:w="860" w:type="dxa"/>
            <w:vAlign w:val="bottom"/>
            <w:shd w:val="clear" w:color="auto" w:fill="CBDBD1"/>
          </w:tcPr>
          <w:p>
            <w:pPr>
              <w:spacing w:after="0"/>
              <w:rPr>
                <w:sz w:val="18"/>
                <w:szCs w:val="18"/>
                <w:color w:val="auto"/>
              </w:rPr>
            </w:pPr>
          </w:p>
        </w:tc>
        <w:tc>
          <w:tcPr>
            <w:tcW w:w="740" w:type="dxa"/>
            <w:vAlign w:val="bottom"/>
            <w:shd w:val="clear" w:color="auto" w:fill="CBDBD1"/>
          </w:tcPr>
          <w:p>
            <w:pPr>
              <w:spacing w:after="0"/>
              <w:rPr>
                <w:sz w:val="18"/>
                <w:szCs w:val="18"/>
                <w:color w:val="auto"/>
              </w:rPr>
            </w:pPr>
          </w:p>
        </w:tc>
        <w:tc>
          <w:tcPr>
            <w:tcW w:w="660" w:type="dxa"/>
            <w:vAlign w:val="bottom"/>
            <w:shd w:val="clear" w:color="auto" w:fill="CBDBD1"/>
          </w:tcPr>
          <w:p>
            <w:pPr>
              <w:spacing w:after="0"/>
              <w:rPr>
                <w:sz w:val="18"/>
                <w:szCs w:val="18"/>
                <w:color w:val="auto"/>
              </w:rPr>
            </w:pPr>
          </w:p>
        </w:tc>
        <w:tc>
          <w:tcPr>
            <w:tcW w:w="760" w:type="dxa"/>
            <w:vAlign w:val="bottom"/>
            <w:shd w:val="clear" w:color="auto" w:fill="CBDBD1"/>
          </w:tcPr>
          <w:p>
            <w:pPr>
              <w:spacing w:after="0"/>
              <w:rPr>
                <w:sz w:val="18"/>
                <w:szCs w:val="18"/>
                <w:color w:val="auto"/>
              </w:rPr>
            </w:pPr>
          </w:p>
        </w:tc>
        <w:tc>
          <w:tcPr>
            <w:tcW w:w="820" w:type="dxa"/>
            <w:vAlign w:val="bottom"/>
            <w:shd w:val="clear" w:color="auto" w:fill="CBDBD1"/>
          </w:tcPr>
          <w:p>
            <w:pPr>
              <w:spacing w:after="0"/>
              <w:rPr>
                <w:sz w:val="18"/>
                <w:szCs w:val="18"/>
                <w:color w:val="auto"/>
              </w:rPr>
            </w:pPr>
          </w:p>
        </w:tc>
      </w:tr>
      <w:tr>
        <w:trPr>
          <w:trHeight w:val="230"/>
        </w:trPr>
        <w:tc>
          <w:tcPr>
            <w:tcW w:w="1160" w:type="dxa"/>
            <w:vAlign w:val="bottom"/>
            <w:shd w:val="clear" w:color="auto" w:fill="CBDBD1"/>
          </w:tcPr>
          <w:p>
            <w:pPr>
              <w:spacing w:after="0"/>
              <w:rPr>
                <w:sz w:val="20"/>
                <w:szCs w:val="20"/>
                <w:color w:val="auto"/>
              </w:rPr>
            </w:pPr>
            <w:r>
              <w:rPr>
                <w:rFonts w:ascii="Arial" w:cs="Arial" w:eastAsia="Arial" w:hAnsi="Arial"/>
                <w:sz w:val="18"/>
                <w:szCs w:val="18"/>
                <w:color w:val="auto"/>
              </w:rPr>
              <w:t>CEO</w:t>
            </w:r>
          </w:p>
        </w:tc>
        <w:tc>
          <w:tcPr>
            <w:tcW w:w="880" w:type="dxa"/>
            <w:vAlign w:val="bottom"/>
            <w:shd w:val="clear" w:color="auto" w:fill="CBDBD1"/>
          </w:tcPr>
          <w:p>
            <w:pPr>
              <w:spacing w:after="0"/>
              <w:rPr>
                <w:sz w:val="20"/>
                <w:szCs w:val="20"/>
                <w:color w:val="auto"/>
              </w:rPr>
            </w:pPr>
          </w:p>
        </w:tc>
        <w:tc>
          <w:tcPr>
            <w:tcW w:w="1040" w:type="dxa"/>
            <w:vAlign w:val="bottom"/>
            <w:shd w:val="clear" w:color="auto" w:fill="CBDBD1"/>
          </w:tcPr>
          <w:p>
            <w:pPr>
              <w:spacing w:after="0"/>
              <w:rPr>
                <w:sz w:val="20"/>
                <w:szCs w:val="20"/>
                <w:color w:val="auto"/>
              </w:rPr>
            </w:pPr>
          </w:p>
        </w:tc>
        <w:tc>
          <w:tcPr>
            <w:tcW w:w="940" w:type="dxa"/>
            <w:vAlign w:val="bottom"/>
            <w:shd w:val="clear" w:color="auto" w:fill="CBDBD1"/>
          </w:tcPr>
          <w:p>
            <w:pPr>
              <w:spacing w:after="0"/>
              <w:rPr>
                <w:sz w:val="20"/>
                <w:szCs w:val="20"/>
                <w:color w:val="auto"/>
              </w:rPr>
            </w:pPr>
          </w:p>
        </w:tc>
        <w:tc>
          <w:tcPr>
            <w:tcW w:w="680" w:type="dxa"/>
            <w:vAlign w:val="bottom"/>
            <w:shd w:val="clear" w:color="auto" w:fill="CBDBD1"/>
          </w:tcPr>
          <w:p>
            <w:pPr>
              <w:spacing w:after="0"/>
              <w:rPr>
                <w:sz w:val="20"/>
                <w:szCs w:val="20"/>
                <w:color w:val="auto"/>
              </w:rPr>
            </w:pPr>
          </w:p>
        </w:tc>
        <w:tc>
          <w:tcPr>
            <w:tcW w:w="860" w:type="dxa"/>
            <w:vAlign w:val="bottom"/>
            <w:shd w:val="clear" w:color="auto" w:fill="CBDBD1"/>
          </w:tcPr>
          <w:p>
            <w:pPr>
              <w:spacing w:after="0"/>
              <w:rPr>
                <w:sz w:val="20"/>
                <w:szCs w:val="20"/>
                <w:color w:val="auto"/>
              </w:rPr>
            </w:pPr>
          </w:p>
        </w:tc>
        <w:tc>
          <w:tcPr>
            <w:tcW w:w="740" w:type="dxa"/>
            <w:vAlign w:val="bottom"/>
            <w:shd w:val="clear" w:color="auto" w:fill="CBDBD1"/>
          </w:tcPr>
          <w:p>
            <w:pPr>
              <w:spacing w:after="0"/>
              <w:rPr>
                <w:sz w:val="20"/>
                <w:szCs w:val="20"/>
                <w:color w:val="auto"/>
              </w:rPr>
            </w:pPr>
          </w:p>
        </w:tc>
        <w:tc>
          <w:tcPr>
            <w:tcW w:w="660" w:type="dxa"/>
            <w:vAlign w:val="bottom"/>
            <w:shd w:val="clear" w:color="auto" w:fill="CBDBD1"/>
          </w:tcPr>
          <w:p>
            <w:pPr>
              <w:spacing w:after="0"/>
              <w:rPr>
                <w:sz w:val="20"/>
                <w:szCs w:val="20"/>
                <w:color w:val="auto"/>
              </w:rPr>
            </w:pPr>
          </w:p>
        </w:tc>
        <w:tc>
          <w:tcPr>
            <w:tcW w:w="760" w:type="dxa"/>
            <w:vAlign w:val="bottom"/>
            <w:shd w:val="clear" w:color="auto" w:fill="CBDBD1"/>
          </w:tcPr>
          <w:p>
            <w:pPr>
              <w:spacing w:after="0"/>
              <w:rPr>
                <w:sz w:val="20"/>
                <w:szCs w:val="20"/>
                <w:color w:val="auto"/>
              </w:rPr>
            </w:pPr>
          </w:p>
        </w:tc>
        <w:tc>
          <w:tcPr>
            <w:tcW w:w="820" w:type="dxa"/>
            <w:vAlign w:val="bottom"/>
            <w:shd w:val="clear" w:color="auto" w:fill="CBDBD1"/>
          </w:tcPr>
          <w:p>
            <w:pPr>
              <w:spacing w:after="0"/>
              <w:rPr>
                <w:sz w:val="20"/>
                <w:szCs w:val="20"/>
                <w:color w:val="auto"/>
              </w:rPr>
            </w:pPr>
          </w:p>
        </w:tc>
      </w:tr>
      <w:tr>
        <w:trPr>
          <w:trHeight w:val="202"/>
        </w:trPr>
        <w:tc>
          <w:tcPr>
            <w:tcW w:w="1160" w:type="dxa"/>
            <w:vAlign w:val="bottom"/>
          </w:tcPr>
          <w:p>
            <w:pPr>
              <w:spacing w:after="0" w:line="201" w:lineRule="exact"/>
              <w:rPr>
                <w:sz w:val="20"/>
                <w:szCs w:val="20"/>
                <w:color w:val="auto"/>
              </w:rPr>
            </w:pPr>
            <w:r>
              <w:rPr>
                <w:rFonts w:ascii="Arial" w:cs="Arial" w:eastAsia="Arial" w:hAnsi="Arial"/>
                <w:sz w:val="18"/>
                <w:szCs w:val="18"/>
                <w:color w:val="auto"/>
              </w:rPr>
              <w:t>Terence J.</w:t>
            </w:r>
          </w:p>
        </w:tc>
        <w:tc>
          <w:tcPr>
            <w:tcW w:w="880" w:type="dxa"/>
            <w:vAlign w:val="bottom"/>
          </w:tcPr>
          <w:p>
            <w:pPr>
              <w:ind w:left="40"/>
              <w:spacing w:after="0" w:line="201" w:lineRule="exact"/>
              <w:rPr>
                <w:sz w:val="20"/>
                <w:szCs w:val="20"/>
                <w:color w:val="auto"/>
              </w:rPr>
            </w:pPr>
            <w:r>
              <w:rPr>
                <w:rFonts w:ascii="Arial" w:cs="Arial" w:eastAsia="Arial" w:hAnsi="Arial"/>
                <w:sz w:val="18"/>
                <w:szCs w:val="18"/>
                <w:color w:val="auto"/>
              </w:rPr>
              <w:t>150,000</w:t>
            </w: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ind w:left="60"/>
              <w:spacing w:after="0" w:line="202" w:lineRule="exact"/>
              <w:rPr>
                <w:sz w:val="20"/>
                <w:szCs w:val="20"/>
                <w:color w:val="auto"/>
              </w:rPr>
            </w:pPr>
            <w:r>
              <w:rPr>
                <w:rFonts w:ascii="Arial" w:cs="Arial" w:eastAsia="Arial" w:hAnsi="Arial"/>
                <w:sz w:val="17"/>
                <w:szCs w:val="17"/>
                <w:color w:val="auto"/>
                <w:w w:val="97"/>
              </w:rPr>
              <w:t>$0.35</w:t>
            </w:r>
            <w:r>
              <w:rPr>
                <w:rFonts w:ascii="Arial" w:cs="Arial" w:eastAsia="Arial" w:hAnsi="Arial"/>
                <w:sz w:val="23"/>
                <w:szCs w:val="23"/>
                <w:color w:val="auto"/>
                <w:w w:val="97"/>
                <w:vertAlign w:val="superscript"/>
              </w:rPr>
              <w:t>(1)</w:t>
            </w:r>
          </w:p>
        </w:tc>
        <w:tc>
          <w:tcPr>
            <w:tcW w:w="860" w:type="dxa"/>
            <w:vAlign w:val="bottom"/>
          </w:tcPr>
          <w:p>
            <w:pPr>
              <w:ind w:left="60"/>
              <w:spacing w:after="0" w:line="201" w:lineRule="exact"/>
              <w:rPr>
                <w:sz w:val="20"/>
                <w:szCs w:val="20"/>
                <w:color w:val="auto"/>
              </w:rPr>
            </w:pPr>
            <w:r>
              <w:rPr>
                <w:rFonts w:ascii="Arial" w:cs="Arial" w:eastAsia="Arial" w:hAnsi="Arial"/>
                <w:sz w:val="18"/>
                <w:szCs w:val="18"/>
                <w:color w:val="auto"/>
              </w:rPr>
              <w:t>3/5/14</w:t>
            </w: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Hamilton</w:t>
            </w: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VP of Sales</w:t>
            </w:r>
          </w:p>
        </w:tc>
        <w:tc>
          <w:tcPr>
            <w:tcW w:w="8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r>
    </w:tbl>
    <w:p>
      <w:pPr>
        <w:ind w:left="360"/>
        <w:spacing w:after="0"/>
        <w:rPr>
          <w:sz w:val="20"/>
          <w:szCs w:val="20"/>
          <w:color w:val="auto"/>
        </w:rPr>
      </w:pPr>
      <w:r>
        <w:rPr>
          <w:rFonts w:ascii="Arial" w:cs="Arial" w:eastAsia="Arial" w:hAnsi="Arial"/>
          <w:sz w:val="18"/>
          <w:szCs w:val="18"/>
          <w:color w:val="auto"/>
        </w:rPr>
        <w:t>(1) Options were revalued on October 1, 2009 to $0.35 per share.</w:t>
      </w:r>
    </w:p>
    <w:p>
      <w:pPr>
        <w:spacing w:after="0" w:line="200" w:lineRule="exact"/>
        <w:rPr>
          <w:sz w:val="20"/>
          <w:szCs w:val="20"/>
          <w:color w:val="auto"/>
        </w:rPr>
      </w:pPr>
    </w:p>
    <w:p>
      <w:pPr>
        <w:spacing w:after="0" w:line="28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122" w:right="69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known to us with respect to the beneficial ownership of our Common Stock as of December 31, 2009, by</w:t>
      </w:r>
    </w:p>
    <w:p>
      <w:pPr>
        <w:spacing w:after="0" w:line="46" w:lineRule="exact"/>
        <w:rPr>
          <w:sz w:val="20"/>
          <w:szCs w:val="20"/>
          <w:color w:val="auto"/>
        </w:rPr>
      </w:pPr>
    </w:p>
    <w:p>
      <w:pPr>
        <w:ind w:right="40" w:firstLine="8"/>
        <w:spacing w:after="0" w:line="267" w:lineRule="auto"/>
        <w:tabs>
          <w:tab w:leader="none" w:pos="2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all persons who are beneficial owners of 5% or more of our voting securities, (2) each director, (3) each executive officer, and (4) all directors and executive officers as a group. The information regarding beneficial ownership of our common stock has been presented in accordance with the rules of the Securities and Exchange Commission. Under these rules, a person may be deemed to beneficially own any shares of capital stock as to which such person, directly or indirectly, has or shares voting power or investment power, and to beneficially own any shares of our capital stock as to which such person has the right to acquire voting or investment power within 60 days through the exercise of any stock option or other right. The percentage of beneficial ownership as to any person as of a particular date is calculated by dividing (a) (i) the number of shares beneficially owned by such person plus (ii) the number of shares as to which such person has the right to acquire voting or investment power within 60 days by (b) the total number of shares outstanding as of such date, plus any shares that such person has the right to acquire from us within 60 days. Including those shares in the tables does not, however, constitute an admission that the named stockholder is a direct or indirect beneficial owner of those shares. Unless otherwise indicated, each person or entity named in the table has sole voting power and investment power (or shares that power with that person’s spouse) with respect to all shares of capital stock listed as owned by that person or entity.</w:t>
      </w:r>
    </w:p>
    <w:p>
      <w:pPr>
        <w:spacing w:after="0" w:line="21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Except as otherwise indicated, all shares are owned directly and the percentage shown is based on 12,826,117 shares of common stock issued and outstanding on December 31, 2009. Except as otherwise indicated, the address of each person named in this table is c/o OptimizeRx Corporation, 407 Sixth Street, Rochester, MI 48307.</w:t>
      </w:r>
    </w:p>
    <w:p>
      <w:pPr>
        <w:spacing w:after="0" w:line="204"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1"/>
              </w:rPr>
              <w:t>Amount of</w:t>
            </w:r>
          </w:p>
        </w:tc>
        <w:tc>
          <w:tcPr>
            <w:tcW w:w="800" w:type="dxa"/>
            <w:vAlign w:val="bottom"/>
          </w:tcPr>
          <w:p>
            <w:pPr>
              <w:ind w:left="100"/>
              <w:spacing w:after="0"/>
              <w:rPr>
                <w:sz w:val="20"/>
                <w:szCs w:val="20"/>
                <w:color w:val="auto"/>
              </w:rPr>
            </w:pPr>
            <w:r>
              <w:rPr>
                <w:rFonts w:ascii="Arial" w:cs="Arial" w:eastAsia="Arial" w:hAnsi="Arial"/>
                <w:sz w:val="18"/>
                <w:szCs w:val="18"/>
                <w:b w:val="1"/>
                <w:bCs w:val="1"/>
                <w:color w:val="auto"/>
              </w:rPr>
              <w:t>Percent</w:t>
            </w: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b w:val="1"/>
                <w:bCs w:val="1"/>
                <w:color w:val="auto"/>
                <w:w w:val="92"/>
              </w:rPr>
              <w:t>Title of className and address of beneficial</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beneficial</w:t>
            </w:r>
          </w:p>
        </w:tc>
        <w:tc>
          <w:tcPr>
            <w:tcW w:w="800" w:type="dxa"/>
            <w:vAlign w:val="bottom"/>
          </w:tcPr>
          <w:p>
            <w:pPr>
              <w:ind w:left="120"/>
              <w:spacing w:after="0"/>
              <w:rPr>
                <w:sz w:val="20"/>
                <w:szCs w:val="20"/>
                <w:color w:val="auto"/>
              </w:rPr>
            </w:pPr>
            <w:r>
              <w:rPr>
                <w:rFonts w:ascii="Arial" w:cs="Arial" w:eastAsia="Arial" w:hAnsi="Arial"/>
                <w:sz w:val="18"/>
                <w:szCs w:val="18"/>
                <w:b w:val="1"/>
                <w:bCs w:val="1"/>
                <w:color w:val="auto"/>
                <w:w w:val="98"/>
              </w:rPr>
              <w:t>of class</w:t>
            </w:r>
          </w:p>
        </w:tc>
      </w:tr>
      <w:tr>
        <w:trPr>
          <w:trHeight w:val="241"/>
        </w:trPr>
        <w:tc>
          <w:tcPr>
            <w:tcW w:w="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owner</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ownership</w:t>
            </w:r>
          </w:p>
        </w:tc>
        <w:tc>
          <w:tcPr>
            <w:tcW w:w="800" w:type="dxa"/>
            <w:vAlign w:val="bottom"/>
            <w:tcBorders>
              <w:bottom w:val="single" w:sz="8" w:color="auto"/>
            </w:tcBorders>
          </w:tcPr>
          <w:p>
            <w:pPr>
              <w:spacing w:after="0"/>
              <w:rPr>
                <w:sz w:val="20"/>
                <w:szCs w:val="20"/>
                <w:color w:val="auto"/>
              </w:rPr>
            </w:pPr>
          </w:p>
        </w:tc>
      </w:tr>
      <w:tr>
        <w:trPr>
          <w:trHeight w:val="432"/>
        </w:trPr>
        <w:tc>
          <w:tcPr>
            <w:tcW w:w="354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Officers &amp; Directors:</w:t>
            </w: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BDBD1"/>
          </w:tcPr>
          <w:p>
            <w:pPr>
              <w:spacing w:after="0"/>
              <w:rPr>
                <w:sz w:val="20"/>
                <w:szCs w:val="20"/>
                <w:color w:val="auto"/>
              </w:rPr>
            </w:pPr>
            <w:r>
              <w:rPr>
                <w:rFonts w:ascii="Arial" w:cs="Arial" w:eastAsia="Arial" w:hAnsi="Arial"/>
                <w:sz w:val="18"/>
                <w:szCs w:val="18"/>
                <w:color w:val="auto"/>
              </w:rPr>
              <w:t>Common</w:t>
            </w:r>
          </w:p>
        </w:tc>
        <w:tc>
          <w:tcPr>
            <w:tcW w:w="2720" w:type="dxa"/>
            <w:vAlign w:val="bottom"/>
            <w:shd w:val="clear" w:color="auto" w:fill="CBDBD1"/>
          </w:tcPr>
          <w:p>
            <w:pPr>
              <w:ind w:left="140"/>
              <w:spacing w:after="0" w:line="216" w:lineRule="exact"/>
              <w:rPr>
                <w:sz w:val="20"/>
                <w:szCs w:val="20"/>
                <w:color w:val="auto"/>
              </w:rPr>
            </w:pPr>
            <w:r>
              <w:rPr>
                <w:rFonts w:ascii="Arial" w:cs="Arial" w:eastAsia="Arial" w:hAnsi="Arial"/>
                <w:sz w:val="18"/>
                <w:szCs w:val="18"/>
                <w:color w:val="auto"/>
              </w:rPr>
              <w:t>David Lester</w:t>
            </w:r>
            <w:r>
              <w:rPr>
                <w:rFonts w:ascii="Arial" w:cs="Arial" w:eastAsia="Arial" w:hAnsi="Arial"/>
                <w:sz w:val="25"/>
                <w:szCs w:val="25"/>
                <w:color w:val="auto"/>
                <w:vertAlign w:val="superscript"/>
              </w:rPr>
              <w:t>(1)</w:t>
            </w:r>
          </w:p>
        </w:tc>
        <w:tc>
          <w:tcPr>
            <w:tcW w:w="138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87"/>
              </w:rPr>
              <w:t>500,000 shares</w:t>
            </w:r>
          </w:p>
        </w:tc>
        <w:tc>
          <w:tcPr>
            <w:tcW w:w="80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90"/>
              </w:rPr>
              <w:t>3.75%</w:t>
            </w: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Common</w:t>
            </w:r>
          </w:p>
        </w:tc>
        <w:tc>
          <w:tcPr>
            <w:tcW w:w="2720" w:type="dxa"/>
            <w:vAlign w:val="bottom"/>
          </w:tcPr>
          <w:p>
            <w:pPr>
              <w:ind w:left="140"/>
              <w:spacing w:after="0" w:line="216" w:lineRule="exact"/>
              <w:rPr>
                <w:sz w:val="20"/>
                <w:szCs w:val="20"/>
                <w:color w:val="auto"/>
              </w:rPr>
            </w:pPr>
            <w:r>
              <w:rPr>
                <w:rFonts w:ascii="Arial" w:cs="Arial" w:eastAsia="Arial" w:hAnsi="Arial"/>
                <w:sz w:val="18"/>
                <w:szCs w:val="18"/>
                <w:color w:val="auto"/>
              </w:rPr>
              <w:t>David A. Harrell</w:t>
            </w:r>
            <w:r>
              <w:rPr>
                <w:rFonts w:ascii="Arial" w:cs="Arial" w:eastAsia="Arial" w:hAnsi="Arial"/>
                <w:sz w:val="25"/>
                <w:szCs w:val="25"/>
                <w:color w:val="auto"/>
                <w:vertAlign w:val="superscript"/>
              </w:rPr>
              <w:t>(2)</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3,612,250 shares</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27.94%</w:t>
            </w:r>
          </w:p>
        </w:tc>
      </w:tr>
      <w:tr>
        <w:trPr>
          <w:trHeight w:val="216"/>
        </w:trPr>
        <w:tc>
          <w:tcPr>
            <w:tcW w:w="20" w:type="dxa"/>
            <w:vAlign w:val="bottom"/>
          </w:tcPr>
          <w:p>
            <w:pPr>
              <w:spacing w:after="0"/>
              <w:rPr>
                <w:sz w:val="18"/>
                <w:szCs w:val="18"/>
                <w:color w:val="auto"/>
              </w:rPr>
            </w:pPr>
          </w:p>
        </w:tc>
        <w:tc>
          <w:tcPr>
            <w:tcW w:w="800" w:type="dxa"/>
            <w:vAlign w:val="bottom"/>
            <w:shd w:val="clear" w:color="auto" w:fill="CBDBD1"/>
          </w:tcPr>
          <w:p>
            <w:pPr>
              <w:spacing w:after="0"/>
              <w:rPr>
                <w:sz w:val="20"/>
                <w:szCs w:val="20"/>
                <w:color w:val="auto"/>
              </w:rPr>
            </w:pPr>
            <w:r>
              <w:rPr>
                <w:rFonts w:ascii="Arial" w:cs="Arial" w:eastAsia="Arial" w:hAnsi="Arial"/>
                <w:sz w:val="18"/>
                <w:szCs w:val="18"/>
                <w:color w:val="auto"/>
              </w:rPr>
              <w:t>Common</w:t>
            </w:r>
          </w:p>
        </w:tc>
        <w:tc>
          <w:tcPr>
            <w:tcW w:w="2720" w:type="dxa"/>
            <w:vAlign w:val="bottom"/>
            <w:shd w:val="clear" w:color="auto" w:fill="CBDBD1"/>
          </w:tcPr>
          <w:p>
            <w:pPr>
              <w:ind w:left="140"/>
              <w:spacing w:after="0"/>
              <w:rPr>
                <w:sz w:val="20"/>
                <w:szCs w:val="20"/>
                <w:color w:val="auto"/>
              </w:rPr>
            </w:pPr>
            <w:r>
              <w:rPr>
                <w:rFonts w:ascii="Arial" w:cs="Arial" w:eastAsia="Arial" w:hAnsi="Arial"/>
                <w:sz w:val="18"/>
                <w:szCs w:val="18"/>
                <w:color w:val="auto"/>
              </w:rPr>
              <w:t>Thomas E. Majerowicz</w:t>
            </w:r>
          </w:p>
        </w:tc>
        <w:tc>
          <w:tcPr>
            <w:tcW w:w="138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87"/>
              </w:rPr>
              <w:t>246,750 shares</w:t>
            </w:r>
          </w:p>
        </w:tc>
        <w:tc>
          <w:tcPr>
            <w:tcW w:w="80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90"/>
              </w:rPr>
              <w:t>1.92%</w:t>
            </w: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Common</w:t>
            </w:r>
          </w:p>
        </w:tc>
        <w:tc>
          <w:tcPr>
            <w:tcW w:w="2720" w:type="dxa"/>
            <w:vAlign w:val="bottom"/>
          </w:tcPr>
          <w:p>
            <w:pPr>
              <w:ind w:left="140"/>
              <w:spacing w:after="0" w:line="216" w:lineRule="exact"/>
              <w:rPr>
                <w:sz w:val="20"/>
                <w:szCs w:val="20"/>
                <w:color w:val="auto"/>
              </w:rPr>
            </w:pPr>
            <w:r>
              <w:rPr>
                <w:rFonts w:ascii="Arial" w:cs="Arial" w:eastAsia="Arial" w:hAnsi="Arial"/>
                <w:sz w:val="18"/>
                <w:szCs w:val="18"/>
                <w:color w:val="auto"/>
              </w:rPr>
              <w:t>Terence J. Hamilton</w:t>
            </w:r>
            <w:r>
              <w:rPr>
                <w:rFonts w:ascii="Arial" w:cs="Arial" w:eastAsia="Arial" w:hAnsi="Arial"/>
                <w:sz w:val="25"/>
                <w:szCs w:val="25"/>
                <w:color w:val="auto"/>
                <w:vertAlign w:val="superscript"/>
              </w:rPr>
              <w:t>(3)</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595,000 shares</w:t>
            </w: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4.58%</w:t>
            </w: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BDBD1"/>
          </w:tcPr>
          <w:p>
            <w:pPr>
              <w:spacing w:after="0"/>
              <w:rPr>
                <w:sz w:val="20"/>
                <w:szCs w:val="20"/>
                <w:color w:val="auto"/>
              </w:rPr>
            </w:pPr>
            <w:r>
              <w:rPr>
                <w:rFonts w:ascii="Arial" w:cs="Arial" w:eastAsia="Arial" w:hAnsi="Arial"/>
                <w:sz w:val="18"/>
                <w:szCs w:val="18"/>
                <w:b w:val="1"/>
                <w:bCs w:val="1"/>
                <w:color w:val="auto"/>
                <w:w w:val="91"/>
              </w:rPr>
              <w:t>Total of All Directors and Executive Officers:</w:t>
            </w:r>
          </w:p>
        </w:tc>
        <w:tc>
          <w:tcPr>
            <w:tcW w:w="1380" w:type="dxa"/>
            <w:vAlign w:val="bottom"/>
            <w:shd w:val="clear" w:color="auto" w:fill="CBDBD1"/>
          </w:tcPr>
          <w:p>
            <w:pPr>
              <w:jc w:val="center"/>
              <w:spacing w:after="0"/>
              <w:rPr>
                <w:sz w:val="20"/>
                <w:szCs w:val="20"/>
                <w:color w:val="auto"/>
              </w:rPr>
            </w:pPr>
            <w:r>
              <w:rPr>
                <w:rFonts w:ascii="Arial" w:cs="Arial" w:eastAsia="Arial" w:hAnsi="Arial"/>
                <w:sz w:val="18"/>
                <w:szCs w:val="18"/>
                <w:b w:val="1"/>
                <w:bCs w:val="1"/>
                <w:color w:val="auto"/>
                <w:w w:val="88"/>
              </w:rPr>
              <w:t>4,954,000 shares</w:t>
            </w:r>
          </w:p>
        </w:tc>
        <w:tc>
          <w:tcPr>
            <w:tcW w:w="800" w:type="dxa"/>
            <w:vAlign w:val="bottom"/>
            <w:shd w:val="clear" w:color="auto" w:fill="CBDBD1"/>
          </w:tcPr>
          <w:p>
            <w:pPr>
              <w:jc w:val="center"/>
              <w:spacing w:after="0"/>
              <w:rPr>
                <w:sz w:val="20"/>
                <w:szCs w:val="20"/>
                <w:color w:val="auto"/>
              </w:rPr>
            </w:pPr>
            <w:r>
              <w:rPr>
                <w:rFonts w:ascii="Arial" w:cs="Arial" w:eastAsia="Arial" w:hAnsi="Arial"/>
                <w:sz w:val="18"/>
                <w:szCs w:val="18"/>
                <w:b w:val="1"/>
                <w:bCs w:val="1"/>
                <w:color w:val="auto"/>
                <w:w w:val="94"/>
              </w:rPr>
              <w:t>36.49%</w:t>
            </w: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More Than 5% Beneficial Owners:</w:t>
            </w:r>
          </w:p>
        </w:tc>
        <w:tc>
          <w:tcPr>
            <w:tcW w:w="13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BDBD1"/>
          </w:tcPr>
          <w:p>
            <w:pPr>
              <w:spacing w:after="0"/>
              <w:rPr>
                <w:sz w:val="20"/>
                <w:szCs w:val="20"/>
                <w:color w:val="auto"/>
              </w:rPr>
            </w:pPr>
            <w:r>
              <w:rPr>
                <w:rFonts w:ascii="Arial" w:cs="Arial" w:eastAsia="Arial" w:hAnsi="Arial"/>
                <w:sz w:val="18"/>
                <w:szCs w:val="18"/>
                <w:color w:val="auto"/>
              </w:rPr>
              <w:t>Common</w:t>
            </w:r>
          </w:p>
        </w:tc>
        <w:tc>
          <w:tcPr>
            <w:tcW w:w="2720" w:type="dxa"/>
            <w:vAlign w:val="bottom"/>
            <w:shd w:val="clear" w:color="auto" w:fill="CBDBD1"/>
          </w:tcPr>
          <w:p>
            <w:pPr>
              <w:ind w:left="140"/>
              <w:spacing w:after="0" w:line="216" w:lineRule="exact"/>
              <w:rPr>
                <w:sz w:val="20"/>
                <w:szCs w:val="20"/>
                <w:color w:val="auto"/>
              </w:rPr>
            </w:pPr>
            <w:r>
              <w:rPr>
                <w:rFonts w:ascii="Arial" w:cs="Arial" w:eastAsia="Arial" w:hAnsi="Arial"/>
                <w:sz w:val="18"/>
                <w:szCs w:val="18"/>
                <w:color w:val="auto"/>
              </w:rPr>
              <w:t>Cypress Trust</w:t>
            </w:r>
            <w:r>
              <w:rPr>
                <w:rFonts w:ascii="Arial" w:cs="Arial" w:eastAsia="Arial" w:hAnsi="Arial"/>
                <w:sz w:val="25"/>
                <w:szCs w:val="25"/>
                <w:color w:val="auto"/>
                <w:vertAlign w:val="superscript"/>
              </w:rPr>
              <w:t>(4)</w:t>
            </w:r>
          </w:p>
        </w:tc>
        <w:tc>
          <w:tcPr>
            <w:tcW w:w="138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87"/>
              </w:rPr>
              <w:t>1,150,000 shares</w:t>
            </w:r>
          </w:p>
        </w:tc>
        <w:tc>
          <w:tcPr>
            <w:tcW w:w="80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90"/>
              </w:rPr>
              <w:t>8.96%</w:t>
            </w:r>
          </w:p>
        </w:tc>
      </w:tr>
      <w:tr>
        <w:trPr>
          <w:trHeight w:val="329"/>
        </w:trPr>
        <w:tc>
          <w:tcPr>
            <w:tcW w:w="2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Common</w:t>
            </w:r>
          </w:p>
        </w:tc>
        <w:tc>
          <w:tcPr>
            <w:tcW w:w="2720" w:type="dxa"/>
            <w:vAlign w:val="bottom"/>
          </w:tcPr>
          <w:p>
            <w:pPr>
              <w:ind w:left="140"/>
              <w:spacing w:after="0"/>
              <w:rPr>
                <w:sz w:val="20"/>
                <w:szCs w:val="20"/>
                <w:color w:val="auto"/>
              </w:rPr>
            </w:pPr>
            <w:r>
              <w:rPr>
                <w:rFonts w:ascii="Arial" w:cs="Arial" w:eastAsia="Arial" w:hAnsi="Arial"/>
                <w:sz w:val="18"/>
                <w:szCs w:val="18"/>
                <w:color w:val="auto"/>
              </w:rPr>
              <w:t>Vicis Capital Master Fund</w:t>
            </w:r>
            <w:r>
              <w:rPr>
                <w:rFonts w:ascii="Arial" w:cs="Arial" w:eastAsia="Arial" w:hAnsi="Arial"/>
                <w:sz w:val="25"/>
                <w:szCs w:val="25"/>
                <w:color w:val="auto"/>
                <w:vertAlign w:val="superscript"/>
              </w:rPr>
              <w:t>(5)</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9,500,000 shares</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42.55%</w:t>
            </w:r>
          </w:p>
        </w:tc>
      </w:tr>
    </w:tbl>
    <w:p>
      <w:pPr>
        <w:spacing w:after="0" w:line="116" w:lineRule="exact"/>
        <w:rPr>
          <w:sz w:val="20"/>
          <w:szCs w:val="20"/>
          <w:color w:val="auto"/>
        </w:rPr>
      </w:pPr>
    </w:p>
    <w:p>
      <w:pPr>
        <w:ind w:left="720" w:hanging="495"/>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options to purchase 500,000 shares of common stock at a price of $0.35 per share.</w:t>
      </w:r>
    </w:p>
    <w:p>
      <w:pPr>
        <w:spacing w:after="0" w:line="23" w:lineRule="exact"/>
        <w:rPr>
          <w:rFonts w:ascii="Arial" w:cs="Arial" w:eastAsia="Arial" w:hAnsi="Arial"/>
          <w:sz w:val="18"/>
          <w:szCs w:val="18"/>
          <w:color w:val="auto"/>
        </w:rPr>
      </w:pPr>
    </w:p>
    <w:p>
      <w:pPr>
        <w:ind w:left="720" w:hanging="495"/>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options to purchase 100,000 shares of common stock at a price of $0.35 per share.</w:t>
      </w:r>
    </w:p>
    <w:p>
      <w:pPr>
        <w:spacing w:after="0" w:line="9" w:lineRule="exact"/>
        <w:rPr>
          <w:rFonts w:ascii="Arial" w:cs="Arial" w:eastAsia="Arial" w:hAnsi="Arial"/>
          <w:sz w:val="18"/>
          <w:szCs w:val="18"/>
          <w:color w:val="auto"/>
        </w:rPr>
      </w:pPr>
    </w:p>
    <w:p>
      <w:pPr>
        <w:ind w:left="720" w:hanging="495"/>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options to purchase 150,000 shares of common stock at a price of $0.35 per share.</w:t>
      </w:r>
    </w:p>
    <w:p>
      <w:pPr>
        <w:spacing w:after="0" w:line="9" w:lineRule="exact"/>
        <w:rPr>
          <w:rFonts w:ascii="Arial" w:cs="Arial" w:eastAsia="Arial" w:hAnsi="Arial"/>
          <w:sz w:val="18"/>
          <w:szCs w:val="18"/>
          <w:color w:val="auto"/>
        </w:rPr>
      </w:pPr>
    </w:p>
    <w:p>
      <w:pPr>
        <w:ind w:left="720" w:right="260" w:hanging="495"/>
        <w:spacing w:after="0" w:line="250"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Linwood C. Meehan III has voting and dispositive control over the shares held by Cypress Trust, which is located at 13750 W. Colonial Dr., Ste. 250-317, Winter Garden, Florida 34787.</w:t>
      </w:r>
    </w:p>
    <w:p>
      <w:pPr>
        <w:ind w:left="720" w:right="120" w:hanging="495"/>
        <w:spacing w:after="0" w:line="254"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Chris Phillips holds investment and dispositive power of the shares held by Vicis Capital Master Fund. Shares beneficially owned represent an aggregate of 9,500,000 shares of Common Stock, consisting of (i) 3,500,000 shares issuable upon the conversion of the Series A Preferred Stock; and (ii) 6,000,000 shares issuable upon the exercise of the Series A Warrants. The selling stockholder has informed us that it is not a broker-dealer or affiliate of a broker-dealer.</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Except as follows, none of our directors or executive officers, nor any proposed nominee for election as a director, nor any person who beneficially owns, directly or indirectly, shares carrying more than 5% of the voting rights attached to all of our outstanding shares, nor any members of the immediate family (including spouse, parents, children, siblings, and in-laws) of any of the foregoing persons has any material interest, direct or indirect, in any transaction since the beginning of our last fiscal year on January 1, 2009 or in any presently proposed transaction which, in either case, has or will materially affect us.</w:t>
      </w:r>
    </w:p>
    <w:p>
      <w:pPr>
        <w:spacing w:after="0" w:line="181" w:lineRule="exact"/>
        <w:rPr>
          <w:sz w:val="20"/>
          <w:szCs w:val="20"/>
          <w:color w:val="auto"/>
        </w:rPr>
      </w:pPr>
    </w:p>
    <w:p>
      <w:pPr>
        <w:ind w:left="660" w:hanging="18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Please refer to the section titled Executive Compensation for employment agreements with our named executive officers.</w:t>
      </w:r>
    </w:p>
    <w:p>
      <w:pPr>
        <w:spacing w:after="0" w:line="252" w:lineRule="exact"/>
        <w:rPr>
          <w:rFonts w:ascii="Arial" w:cs="Arial" w:eastAsia="Arial" w:hAnsi="Arial"/>
          <w:sz w:val="18"/>
          <w:szCs w:val="18"/>
          <w:color w:val="auto"/>
        </w:rPr>
      </w:pPr>
    </w:p>
    <w:p>
      <w:pPr>
        <w:ind w:left="660" w:hanging="184"/>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engaged David Harrell for management services under a contract that paid him $48,000 for the period ended April 30, 2008 and $114,500 for the year ended December 31, 2008. Mr. Harrell became an employee of our company beginning on June 1, 2008.</w:t>
      </w:r>
    </w:p>
    <w:p>
      <w:pPr>
        <w:spacing w:after="0" w:line="197" w:lineRule="exact"/>
        <w:rPr>
          <w:rFonts w:ascii="Arial" w:cs="Arial" w:eastAsia="Arial" w:hAnsi="Arial"/>
          <w:sz w:val="18"/>
          <w:szCs w:val="18"/>
          <w:color w:val="auto"/>
        </w:rPr>
      </w:pPr>
    </w:p>
    <w:p>
      <w:pPr>
        <w:jc w:val="both"/>
        <w:ind w:left="660" w:hanging="184"/>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Upon the transfer of the assets and liabilities from the Optimizer Systems, LLC to OptimizeRx Corporation, the LLC members were issued promissory notes totaling $253,750 under a dilution agreement for a portion of their interests in Optimizer Systems, LLC, except for David Harrell, our director. Under the exchange agreement, dated April 8, 2008, Mr. Harrell is entitled to the same benefits other LLC members received, only against our company in exchange for waiving his anti-dilution rights.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Below is the table of Audit Fees (amounts in US$) billed by our auditor in connection with the audit of the Company’s annual financial statements for the years ended: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gridSpan w:val="2"/>
          </w:tcPr>
          <w:p>
            <w:pPr>
              <w:ind w:left="2300"/>
              <w:spacing w:after="0"/>
              <w:rPr>
                <w:sz w:val="20"/>
                <w:szCs w:val="20"/>
                <w:color w:val="auto"/>
              </w:rPr>
            </w:pPr>
            <w:r>
              <w:rPr>
                <w:rFonts w:ascii="Arial" w:cs="Arial" w:eastAsia="Arial" w:hAnsi="Arial"/>
                <w:sz w:val="18"/>
                <w:szCs w:val="18"/>
                <w:color w:val="auto"/>
                <w:w w:val="98"/>
              </w:rPr>
              <w:t>Financial Statements</w:t>
            </w: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Audit Services</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Audit Related Fees</w:t>
            </w:r>
          </w:p>
        </w:tc>
        <w:tc>
          <w:tcPr>
            <w:tcW w:w="960" w:type="dxa"/>
            <w:vAlign w:val="bottom"/>
          </w:tcPr>
          <w:p>
            <w:pPr>
              <w:jc w:val="center"/>
              <w:spacing w:after="0"/>
              <w:rPr>
                <w:sz w:val="20"/>
                <w:szCs w:val="20"/>
                <w:color w:val="auto"/>
              </w:rPr>
            </w:pPr>
            <w:r>
              <w:rPr>
                <w:rFonts w:ascii="Arial" w:cs="Arial" w:eastAsia="Arial" w:hAnsi="Arial"/>
                <w:sz w:val="18"/>
                <w:szCs w:val="18"/>
                <w:color w:val="auto"/>
                <w:w w:val="85"/>
              </w:rPr>
              <w:t>Tax Fees</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Other Fees</w:t>
            </w:r>
          </w:p>
        </w:tc>
        <w:tc>
          <w:tcPr>
            <w:tcW w:w="2280" w:type="dxa"/>
            <w:vAlign w:val="bottom"/>
          </w:tcPr>
          <w:p>
            <w:pPr>
              <w:spacing w:after="0"/>
              <w:rPr>
                <w:sz w:val="18"/>
                <w:szCs w:val="18"/>
                <w:color w:val="auto"/>
              </w:rPr>
            </w:pPr>
          </w:p>
        </w:tc>
      </w:tr>
      <w:tr>
        <w:trPr>
          <w:trHeight w:val="216"/>
        </w:trPr>
        <w:tc>
          <w:tcPr>
            <w:tcW w:w="3980" w:type="dxa"/>
            <w:vAlign w:val="bottom"/>
            <w:gridSpan w:val="2"/>
          </w:tcPr>
          <w:p>
            <w:pPr>
              <w:ind w:left="2300"/>
              <w:spacing w:after="0"/>
              <w:rPr>
                <w:sz w:val="20"/>
                <w:szCs w:val="20"/>
                <w:color w:val="auto"/>
              </w:rPr>
            </w:pPr>
            <w:r>
              <w:rPr>
                <w:rFonts w:ascii="Arial" w:cs="Arial" w:eastAsia="Arial" w:hAnsi="Arial"/>
                <w:sz w:val="18"/>
                <w:szCs w:val="18"/>
                <w:color w:val="auto"/>
              </w:rPr>
              <w:t>for the Year Ended</w:t>
            </w:r>
          </w:p>
        </w:tc>
        <w:tc>
          <w:tcPr>
            <w:tcW w:w="1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30"/>
        </w:trPr>
        <w:tc>
          <w:tcPr>
            <w:tcW w:w="3980" w:type="dxa"/>
            <w:vAlign w:val="bottom"/>
            <w:gridSpan w:val="2"/>
          </w:tcPr>
          <w:p>
            <w:pPr>
              <w:ind w:left="2300"/>
              <w:spacing w:after="0"/>
              <w:rPr>
                <w:sz w:val="20"/>
                <w:szCs w:val="20"/>
                <w:color w:val="auto"/>
              </w:rPr>
            </w:pPr>
            <w:r>
              <w:rPr>
                <w:rFonts w:ascii="Arial" w:cs="Arial" w:eastAsia="Arial" w:hAnsi="Arial"/>
                <w:sz w:val="18"/>
                <w:szCs w:val="18"/>
                <w:color w:val="auto"/>
              </w:rPr>
              <w:t>December 31</w:t>
            </w:r>
          </w:p>
        </w:tc>
        <w:tc>
          <w:tcPr>
            <w:tcW w:w="1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16"/>
        </w:trPr>
        <w:tc>
          <w:tcPr>
            <w:tcW w:w="2300" w:type="dxa"/>
            <w:vAlign w:val="bottom"/>
          </w:tcPr>
          <w:p>
            <w:pPr>
              <w:spacing w:after="0"/>
              <w:rPr>
                <w:sz w:val="18"/>
                <w:szCs w:val="18"/>
                <w:color w:val="auto"/>
              </w:rPr>
            </w:pPr>
          </w:p>
        </w:tc>
        <w:tc>
          <w:tcPr>
            <w:tcW w:w="1680" w:type="dxa"/>
            <w:vAlign w:val="bottom"/>
            <w:shd w:val="clear" w:color="auto" w:fill="CBDBD1"/>
          </w:tcPr>
          <w:p>
            <w:pPr>
              <w:spacing w:after="0"/>
              <w:rPr>
                <w:sz w:val="20"/>
                <w:szCs w:val="20"/>
                <w:color w:val="auto"/>
              </w:rPr>
            </w:pPr>
            <w:r>
              <w:rPr>
                <w:rFonts w:ascii="Arial" w:cs="Arial" w:eastAsia="Arial" w:hAnsi="Arial"/>
                <w:sz w:val="18"/>
                <w:szCs w:val="18"/>
                <w:color w:val="auto"/>
              </w:rPr>
              <w:t>2009</w:t>
            </w:r>
          </w:p>
        </w:tc>
        <w:tc>
          <w:tcPr>
            <w:tcW w:w="138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92"/>
              </w:rPr>
              <w:t>$23,981</w:t>
            </w:r>
          </w:p>
        </w:tc>
        <w:tc>
          <w:tcPr>
            <w:tcW w:w="170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89"/>
              </w:rPr>
              <w:t>$0</w:t>
            </w:r>
          </w:p>
        </w:tc>
        <w:tc>
          <w:tcPr>
            <w:tcW w:w="96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89"/>
              </w:rPr>
              <w:t>$0</w:t>
            </w:r>
          </w:p>
        </w:tc>
        <w:tc>
          <w:tcPr>
            <w:tcW w:w="112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89"/>
              </w:rPr>
              <w:t>$0</w:t>
            </w:r>
          </w:p>
        </w:tc>
        <w:tc>
          <w:tcPr>
            <w:tcW w:w="2280" w:type="dxa"/>
            <w:vAlign w:val="bottom"/>
          </w:tcPr>
          <w:p>
            <w:pPr>
              <w:spacing w:after="0"/>
              <w:rPr>
                <w:sz w:val="18"/>
                <w:szCs w:val="18"/>
                <w:color w:val="auto"/>
              </w:rPr>
            </w:pPr>
          </w:p>
        </w:tc>
      </w:tr>
      <w:tr>
        <w:trPr>
          <w:trHeight w:val="230"/>
        </w:trPr>
        <w:tc>
          <w:tcPr>
            <w:tcW w:w="23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2008</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$16,475</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2280" w:type="dxa"/>
            <w:vAlign w:val="bottom"/>
          </w:tcPr>
          <w:p>
            <w:pPr>
              <w:spacing w:after="0"/>
              <w:rPr>
                <w:sz w:val="20"/>
                <w:szCs w:val="20"/>
                <w:color w:val="auto"/>
              </w:rPr>
            </w:pPr>
          </w:p>
        </w:tc>
      </w:tr>
      <w:tr>
        <w:trPr>
          <w:trHeight w:val="688"/>
        </w:trPr>
        <w:tc>
          <w:tcPr>
            <w:tcW w:w="2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00" w:type="dxa"/>
            <w:vAlign w:val="bottom"/>
          </w:tcPr>
          <w:p>
            <w:pPr>
              <w:jc w:val="right"/>
              <w:ind w:right="1170"/>
              <w:spacing w:after="0"/>
              <w:rPr>
                <w:sz w:val="20"/>
                <w:szCs w:val="20"/>
                <w:color w:val="auto"/>
              </w:rPr>
            </w:pPr>
            <w:r>
              <w:rPr>
                <w:rFonts w:ascii="Arial" w:cs="Arial" w:eastAsia="Arial" w:hAnsi="Arial"/>
                <w:sz w:val="18"/>
                <w:szCs w:val="18"/>
                <w:color w:val="auto"/>
              </w:rPr>
              <w:t>30</w:t>
            </w: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18"/>
        </w:trPr>
        <w:tc>
          <w:tcPr>
            <w:tcW w:w="230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Statements Schedules</w:t>
      </w:r>
    </w:p>
    <w:p>
      <w:pPr>
        <w:spacing w:after="0" w:line="256" w:lineRule="exact"/>
        <w:rPr>
          <w:sz w:val="20"/>
          <w:szCs w:val="20"/>
          <w:color w:val="auto"/>
        </w:rPr>
      </w:pPr>
    </w:p>
    <w:p>
      <w:pPr>
        <w:ind w:left="660" w:hanging="304"/>
        <w:spacing w:after="0"/>
        <w:tabs>
          <w:tab w:leader="none" w:pos="6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Statements and Schedules</w:t>
      </w:r>
    </w:p>
    <w:p>
      <w:pPr>
        <w:spacing w:after="0" w:line="23" w:lineRule="exact"/>
        <w:rPr>
          <w:rFonts w:ascii="Arial" w:cs="Arial" w:eastAsia="Arial" w:hAnsi="Arial"/>
          <w:sz w:val="18"/>
          <w:szCs w:val="18"/>
          <w:i w:val="1"/>
          <w:iCs w:val="1"/>
          <w:color w:val="auto"/>
        </w:rPr>
      </w:pPr>
    </w:p>
    <w:p>
      <w:pPr>
        <w:ind w:left="660" w:right="3960"/>
        <w:spacing w:after="0" w:line="261" w:lineRule="auto"/>
        <w:rPr>
          <w:rFonts w:ascii="Arial" w:cs="Arial" w:eastAsia="Arial" w:hAnsi="Arial"/>
          <w:sz w:val="18"/>
          <w:szCs w:val="18"/>
          <w:i w:val="1"/>
          <w:iCs w:val="1"/>
          <w:color w:val="auto"/>
        </w:rPr>
      </w:pPr>
      <w:r>
        <w:rPr>
          <w:rFonts w:ascii="Arial" w:cs="Arial" w:eastAsia="Arial" w:hAnsi="Arial"/>
          <w:sz w:val="18"/>
          <w:szCs w:val="18"/>
          <w:color w:val="auto"/>
        </w:rPr>
        <w:t>The following financial statements and schedules listed below are included in this Form 10-K. Financial Statements (See Item 8)</w:t>
      </w:r>
    </w:p>
    <w:p>
      <w:pPr>
        <w:spacing w:after="0" w:line="210" w:lineRule="exact"/>
        <w:rPr>
          <w:rFonts w:ascii="Arial" w:cs="Arial" w:eastAsia="Arial" w:hAnsi="Arial"/>
          <w:sz w:val="18"/>
          <w:szCs w:val="18"/>
          <w:i w:val="1"/>
          <w:iCs w:val="1"/>
          <w:color w:val="auto"/>
        </w:rPr>
      </w:pPr>
    </w:p>
    <w:p>
      <w:pPr>
        <w:ind w:left="660" w:hanging="304"/>
        <w:spacing w:after="0"/>
        <w:tabs>
          <w:tab w:leader="none" w:pos="6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gridSpan w:val="3"/>
          </w:tcPr>
          <w:p>
            <w:pPr>
              <w:spacing w:after="0"/>
              <w:rPr>
                <w:sz w:val="20"/>
                <w:szCs w:val="20"/>
                <w:color w:val="auto"/>
              </w:rPr>
            </w:pPr>
            <w:r>
              <w:rPr>
                <w:rFonts w:ascii="Arial" w:cs="Arial" w:eastAsia="Arial" w:hAnsi="Arial"/>
                <w:sz w:val="18"/>
                <w:szCs w:val="18"/>
                <w:b w:val="1"/>
                <w:bCs w:val="1"/>
                <w:color w:val="auto"/>
                <w:w w:val="93"/>
              </w:rPr>
              <w:t>Exhibit</w:t>
            </w:r>
          </w:p>
        </w:tc>
        <w:tc>
          <w:tcPr>
            <w:tcW w:w="360" w:type="dxa"/>
            <w:vAlign w:val="bottom"/>
            <w:gridSpan w:val="2"/>
          </w:tcPr>
          <w:p>
            <w:pPr>
              <w:spacing w:after="0"/>
              <w:rPr>
                <w:sz w:val="17"/>
                <w:szCs w:val="17"/>
                <w:color w:val="auto"/>
              </w:rPr>
            </w:pPr>
          </w:p>
        </w:tc>
        <w:tc>
          <w:tcPr>
            <w:tcW w:w="10460" w:type="dxa"/>
            <w:vAlign w:val="bottom"/>
            <w:gridSpan w:val="11"/>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196"/>
        </w:trPr>
        <w:tc>
          <w:tcPr>
            <w:tcW w:w="94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140" w:type="dxa"/>
            <w:vAlign w:val="bottom"/>
          </w:tcPr>
          <w:p>
            <w:pPr>
              <w:spacing w:after="0"/>
              <w:rPr>
                <w:sz w:val="17"/>
                <w:szCs w:val="17"/>
                <w:color w:val="auto"/>
              </w:rPr>
            </w:pPr>
          </w:p>
        </w:tc>
      </w:tr>
      <w:tr>
        <w:trPr>
          <w:trHeight w:val="222"/>
        </w:trPr>
        <w:tc>
          <w:tcPr>
            <w:tcW w:w="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460" w:type="dxa"/>
            <w:vAlign w:val="bottom"/>
            <w:gridSpan w:val="11"/>
          </w:tcPr>
          <w:p>
            <w:pPr>
              <w:ind w:left="20"/>
              <w:spacing w:after="0" w:line="222" w:lineRule="exact"/>
              <w:rPr>
                <w:sz w:val="20"/>
                <w:szCs w:val="20"/>
                <w:color w:val="auto"/>
              </w:rPr>
            </w:pPr>
            <w:r>
              <w:rPr>
                <w:rFonts w:ascii="Arial" w:cs="Arial" w:eastAsia="Arial" w:hAnsi="Arial"/>
                <w:sz w:val="18"/>
                <w:szCs w:val="18"/>
                <w:color w:val="auto"/>
              </w:rPr>
              <w:t>Articles of Incorporation of OptimizeRx Corporation (the “Company”)</w:t>
            </w:r>
            <w:r>
              <w:rPr>
                <w:rFonts w:ascii="Arial" w:cs="Arial" w:eastAsia="Arial" w:hAnsi="Arial"/>
                <w:sz w:val="25"/>
                <w:szCs w:val="25"/>
                <w:color w:val="auto"/>
                <w:vertAlign w:val="superscript"/>
              </w:rPr>
              <w:t>1</w:t>
            </w:r>
            <w:r>
              <w:rPr>
                <w:rFonts w:ascii="Arial" w:cs="Arial" w:eastAsia="Arial" w:hAnsi="Arial"/>
                <w:sz w:val="18"/>
                <w:szCs w:val="18"/>
                <w:color w:val="auto"/>
              </w:rPr>
              <w:t>.</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60" w:type="dxa"/>
            <w:vAlign w:val="bottom"/>
            <w:gridSpan w:val="11"/>
          </w:tcPr>
          <w:p>
            <w:pPr>
              <w:ind w:left="20"/>
              <w:spacing w:after="0" w:line="216" w:lineRule="exact"/>
              <w:rPr>
                <w:sz w:val="20"/>
                <w:szCs w:val="20"/>
                <w:color w:val="auto"/>
              </w:rPr>
            </w:pPr>
            <w:r>
              <w:rPr>
                <w:rFonts w:ascii="Arial" w:cs="Arial" w:eastAsia="Arial" w:hAnsi="Arial"/>
                <w:sz w:val="18"/>
                <w:szCs w:val="18"/>
                <w:color w:val="auto"/>
              </w:rPr>
              <w:t>Amended and Restated Bylaws of the Company</w:t>
            </w:r>
            <w:r>
              <w:rPr>
                <w:rFonts w:ascii="Arial" w:cs="Arial" w:eastAsia="Arial" w:hAnsi="Arial"/>
                <w:sz w:val="25"/>
                <w:szCs w:val="25"/>
                <w:color w:val="auto"/>
                <w:vertAlign w:val="superscript"/>
              </w:rPr>
              <w:t>1</w:t>
            </w:r>
            <w:r>
              <w:rPr>
                <w:rFonts w:ascii="Arial" w:cs="Arial" w:eastAsia="Arial" w:hAnsi="Arial"/>
                <w:sz w:val="18"/>
                <w:szCs w:val="18"/>
                <w:color w:val="auto"/>
              </w:rPr>
              <w:t>.</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60" w:type="dxa"/>
            <w:vAlign w:val="bottom"/>
            <w:gridSpan w:val="11"/>
          </w:tcPr>
          <w:p>
            <w:pPr>
              <w:ind w:left="20"/>
              <w:spacing w:after="0" w:line="216" w:lineRule="exact"/>
              <w:rPr>
                <w:sz w:val="20"/>
                <w:szCs w:val="20"/>
                <w:color w:val="auto"/>
              </w:rPr>
            </w:pPr>
            <w:r>
              <w:rPr>
                <w:rFonts w:ascii="Arial" w:cs="Arial" w:eastAsia="Arial" w:hAnsi="Arial"/>
                <w:sz w:val="18"/>
                <w:szCs w:val="18"/>
                <w:color w:val="auto"/>
              </w:rPr>
              <w:t>Certificate of Designation, filed on September 5, 2008, with the Secretary of State of the State of Nevada by the Company</w:t>
            </w:r>
            <w:r>
              <w:rPr>
                <w:rFonts w:ascii="Arial" w:cs="Arial" w:eastAsia="Arial" w:hAnsi="Arial"/>
                <w:sz w:val="25"/>
                <w:szCs w:val="25"/>
                <w:color w:val="auto"/>
                <w:vertAlign w:val="superscript"/>
              </w:rPr>
              <w:t>1</w:t>
            </w:r>
            <w:r>
              <w:rPr>
                <w:rFonts w:ascii="Arial" w:cs="Arial" w:eastAsia="Arial" w:hAnsi="Arial"/>
                <w:sz w:val="18"/>
                <w:szCs w:val="18"/>
                <w:color w:val="auto"/>
              </w:rPr>
              <w:t>.</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w w:val="85"/>
              </w:rPr>
              <w:t>10.1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60" w:type="dxa"/>
            <w:vAlign w:val="bottom"/>
            <w:gridSpan w:val="11"/>
          </w:tcPr>
          <w:p>
            <w:pPr>
              <w:ind w:left="20"/>
              <w:spacing w:after="0"/>
              <w:rPr>
                <w:sz w:val="20"/>
                <w:szCs w:val="20"/>
                <w:color w:val="auto"/>
              </w:rPr>
            </w:pPr>
            <w:r>
              <w:rPr>
                <w:rFonts w:ascii="Arial" w:cs="Arial" w:eastAsia="Arial" w:hAnsi="Arial"/>
                <w:sz w:val="18"/>
                <w:szCs w:val="18"/>
                <w:color w:val="auto"/>
                <w:w w:val="97"/>
              </w:rPr>
              <w:t>Agreement Concerning the Exchange of Securities, dated on April 14, 2008 by and among RFID, Ltd., OptimizeRx Corporation and the</w:t>
            </w: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60" w:type="dxa"/>
            <w:vAlign w:val="bottom"/>
            <w:gridSpan w:val="11"/>
          </w:tcPr>
          <w:p>
            <w:pPr>
              <w:ind w:left="20"/>
              <w:spacing w:after="0" w:line="216" w:lineRule="exact"/>
              <w:rPr>
                <w:sz w:val="20"/>
                <w:szCs w:val="20"/>
                <w:color w:val="auto"/>
              </w:rPr>
            </w:pPr>
            <w:r>
              <w:rPr>
                <w:rFonts w:ascii="Arial" w:cs="Arial" w:eastAsia="Arial" w:hAnsi="Arial"/>
                <w:sz w:val="18"/>
                <w:szCs w:val="18"/>
                <w:color w:val="auto"/>
              </w:rPr>
              <w:t>Security Holders of OptimizeRx Corporation</w:t>
            </w:r>
            <w:r>
              <w:rPr>
                <w:rFonts w:ascii="Arial" w:cs="Arial" w:eastAsia="Arial" w:hAnsi="Arial"/>
                <w:sz w:val="25"/>
                <w:szCs w:val="25"/>
                <w:color w:val="auto"/>
                <w:vertAlign w:val="superscript"/>
              </w:rPr>
              <w:t>1</w:t>
            </w:r>
            <w:r>
              <w:rPr>
                <w:rFonts w:ascii="Arial" w:cs="Arial" w:eastAsia="Arial" w:hAnsi="Arial"/>
                <w:sz w:val="18"/>
                <w:szCs w:val="18"/>
                <w:color w:val="auto"/>
              </w:rPr>
              <w:t>.</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w w:val="85"/>
              </w:rPr>
              <w:t>10.2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60" w:type="dxa"/>
            <w:vAlign w:val="bottom"/>
            <w:gridSpan w:val="11"/>
          </w:tcPr>
          <w:p>
            <w:pPr>
              <w:ind w:left="20"/>
              <w:spacing w:after="0" w:line="216" w:lineRule="exact"/>
              <w:rPr>
                <w:sz w:val="20"/>
                <w:szCs w:val="20"/>
                <w:color w:val="auto"/>
              </w:rPr>
            </w:pPr>
            <w:r>
              <w:rPr>
                <w:rFonts w:ascii="Arial" w:cs="Arial" w:eastAsia="Arial" w:hAnsi="Arial"/>
                <w:sz w:val="18"/>
                <w:szCs w:val="18"/>
                <w:color w:val="auto"/>
              </w:rPr>
              <w:t>Securities Purchase Agreement, dated September 8, 2008, by and between the Company and Vicis Capital Master Fund (“Vicis”)</w:t>
            </w:r>
            <w:r>
              <w:rPr>
                <w:rFonts w:ascii="Arial" w:cs="Arial" w:eastAsia="Arial" w:hAnsi="Arial"/>
                <w:sz w:val="25"/>
                <w:szCs w:val="25"/>
                <w:color w:val="auto"/>
                <w:vertAlign w:val="superscript"/>
              </w:rPr>
              <w:t>1</w:t>
            </w:r>
            <w:r>
              <w:rPr>
                <w:rFonts w:ascii="Arial" w:cs="Arial" w:eastAsia="Arial" w:hAnsi="Arial"/>
                <w:sz w:val="18"/>
                <w:szCs w:val="18"/>
                <w:color w:val="auto"/>
              </w:rPr>
              <w:t>.</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w w:val="85"/>
              </w:rPr>
              <w:t>10.3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60" w:type="dxa"/>
            <w:vAlign w:val="bottom"/>
            <w:gridSpan w:val="11"/>
          </w:tcPr>
          <w:p>
            <w:pPr>
              <w:ind w:left="20"/>
              <w:spacing w:after="0" w:line="216" w:lineRule="exact"/>
              <w:rPr>
                <w:sz w:val="20"/>
                <w:szCs w:val="20"/>
                <w:color w:val="auto"/>
              </w:rPr>
            </w:pPr>
            <w:r>
              <w:rPr>
                <w:rFonts w:ascii="Arial" w:cs="Arial" w:eastAsia="Arial" w:hAnsi="Arial"/>
                <w:sz w:val="18"/>
                <w:szCs w:val="18"/>
                <w:color w:val="auto"/>
              </w:rPr>
              <w:t>Form of Series A Warrant</w:t>
            </w:r>
            <w:r>
              <w:rPr>
                <w:rFonts w:ascii="Arial" w:cs="Arial" w:eastAsia="Arial" w:hAnsi="Arial"/>
                <w:sz w:val="25"/>
                <w:szCs w:val="25"/>
                <w:color w:val="auto"/>
                <w:vertAlign w:val="superscript"/>
              </w:rPr>
              <w:t>1</w:t>
            </w:r>
            <w:r>
              <w:rPr>
                <w:rFonts w:ascii="Arial" w:cs="Arial" w:eastAsia="Arial" w:hAnsi="Arial"/>
                <w:sz w:val="18"/>
                <w:szCs w:val="18"/>
                <w:color w:val="auto"/>
              </w:rPr>
              <w:t>.</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w w:val="85"/>
              </w:rPr>
              <w:t>10.4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60" w:type="dxa"/>
            <w:vAlign w:val="bottom"/>
            <w:gridSpan w:val="11"/>
          </w:tcPr>
          <w:p>
            <w:pPr>
              <w:ind w:left="20"/>
              <w:spacing w:after="0" w:line="216" w:lineRule="exact"/>
              <w:rPr>
                <w:sz w:val="20"/>
                <w:szCs w:val="20"/>
                <w:color w:val="auto"/>
              </w:rPr>
            </w:pPr>
            <w:r>
              <w:rPr>
                <w:rFonts w:ascii="Arial" w:cs="Arial" w:eastAsia="Arial" w:hAnsi="Arial"/>
                <w:sz w:val="18"/>
                <w:szCs w:val="18"/>
                <w:color w:val="auto"/>
              </w:rPr>
              <w:t>Registration Rights Agreement, dated September 8, 2008, by and between the Company and Vicis</w:t>
            </w:r>
            <w:r>
              <w:rPr>
                <w:rFonts w:ascii="Arial" w:cs="Arial" w:eastAsia="Arial" w:hAnsi="Arial"/>
                <w:sz w:val="25"/>
                <w:szCs w:val="25"/>
                <w:color w:val="auto"/>
                <w:vertAlign w:val="superscript"/>
              </w:rPr>
              <w:t>1</w:t>
            </w:r>
            <w:r>
              <w:rPr>
                <w:rFonts w:ascii="Arial" w:cs="Arial" w:eastAsia="Arial" w:hAnsi="Arial"/>
                <w:sz w:val="18"/>
                <w:szCs w:val="18"/>
                <w:color w:val="auto"/>
              </w:rPr>
              <w:t>.</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w w:val="85"/>
              </w:rPr>
              <w:t>10.5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60" w:type="dxa"/>
            <w:vAlign w:val="bottom"/>
            <w:gridSpan w:val="11"/>
          </w:tcPr>
          <w:p>
            <w:pPr>
              <w:ind w:left="20"/>
              <w:spacing w:after="0" w:line="216" w:lineRule="exact"/>
              <w:rPr>
                <w:sz w:val="20"/>
                <w:szCs w:val="20"/>
                <w:color w:val="auto"/>
              </w:rPr>
            </w:pPr>
            <w:r>
              <w:rPr>
                <w:rFonts w:ascii="Arial" w:cs="Arial" w:eastAsia="Arial" w:hAnsi="Arial"/>
                <w:sz w:val="18"/>
                <w:szCs w:val="18"/>
                <w:color w:val="auto"/>
              </w:rPr>
              <w:t>Security Agreement, dated September 8, 2008, by and between the Company and Vicis</w:t>
            </w:r>
            <w:r>
              <w:rPr>
                <w:rFonts w:ascii="Arial" w:cs="Arial" w:eastAsia="Arial" w:hAnsi="Arial"/>
                <w:sz w:val="25"/>
                <w:szCs w:val="25"/>
                <w:color w:val="auto"/>
                <w:vertAlign w:val="superscript"/>
              </w:rPr>
              <w:t>1</w:t>
            </w:r>
            <w:r>
              <w:rPr>
                <w:rFonts w:ascii="Arial" w:cs="Arial" w:eastAsia="Arial" w:hAnsi="Arial"/>
                <w:sz w:val="18"/>
                <w:szCs w:val="18"/>
                <w:color w:val="auto"/>
              </w:rPr>
              <w:t>.</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w w:val="85"/>
              </w:rPr>
              <w:t>10.6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60" w:type="dxa"/>
            <w:vAlign w:val="bottom"/>
            <w:gridSpan w:val="11"/>
          </w:tcPr>
          <w:p>
            <w:pPr>
              <w:ind w:left="20"/>
              <w:spacing w:after="0" w:line="216" w:lineRule="exact"/>
              <w:rPr>
                <w:sz w:val="20"/>
                <w:szCs w:val="20"/>
                <w:color w:val="auto"/>
              </w:rPr>
            </w:pPr>
            <w:r>
              <w:rPr>
                <w:rFonts w:ascii="Arial" w:cs="Arial" w:eastAsia="Arial" w:hAnsi="Arial"/>
                <w:sz w:val="18"/>
                <w:szCs w:val="18"/>
                <w:color w:val="auto"/>
              </w:rPr>
              <w:t>Guaranty Agreement, dated September 8, 2008, by and between the Company and Vicis</w:t>
            </w:r>
            <w:r>
              <w:rPr>
                <w:rFonts w:ascii="Arial" w:cs="Arial" w:eastAsia="Arial" w:hAnsi="Arial"/>
                <w:sz w:val="25"/>
                <w:szCs w:val="25"/>
                <w:color w:val="auto"/>
                <w:vertAlign w:val="superscript"/>
              </w:rPr>
              <w:t>1</w:t>
            </w:r>
            <w:r>
              <w:rPr>
                <w:rFonts w:ascii="Arial" w:cs="Arial" w:eastAsia="Arial" w:hAnsi="Arial"/>
                <w:sz w:val="18"/>
                <w:szCs w:val="18"/>
                <w:color w:val="auto"/>
              </w:rPr>
              <w:t>.</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w w:val="85"/>
              </w:rPr>
              <w:t>10.7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60" w:type="dxa"/>
            <w:vAlign w:val="bottom"/>
            <w:gridSpan w:val="11"/>
          </w:tcPr>
          <w:p>
            <w:pPr>
              <w:ind w:left="20"/>
              <w:spacing w:after="0" w:line="216" w:lineRule="exact"/>
              <w:rPr>
                <w:sz w:val="20"/>
                <w:szCs w:val="20"/>
                <w:color w:val="auto"/>
              </w:rPr>
            </w:pPr>
            <w:r>
              <w:rPr>
                <w:rFonts w:ascii="Arial" w:cs="Arial" w:eastAsia="Arial" w:hAnsi="Arial"/>
                <w:sz w:val="18"/>
                <w:szCs w:val="18"/>
                <w:color w:val="auto"/>
              </w:rPr>
              <w:t>Guarantor Security Agreement, dated September 8, 2008, by and between the Company and Vicis</w:t>
            </w:r>
            <w:r>
              <w:rPr>
                <w:rFonts w:ascii="Arial" w:cs="Arial" w:eastAsia="Arial" w:hAnsi="Arial"/>
                <w:sz w:val="25"/>
                <w:szCs w:val="25"/>
                <w:color w:val="auto"/>
                <w:vertAlign w:val="superscript"/>
              </w:rPr>
              <w:t>1</w:t>
            </w:r>
            <w:r>
              <w:rPr>
                <w:rFonts w:ascii="Arial" w:cs="Arial" w:eastAsia="Arial" w:hAnsi="Arial"/>
                <w:sz w:val="18"/>
                <w:szCs w:val="18"/>
                <w:color w:val="auto"/>
              </w:rPr>
              <w:t>.</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w w:val="85"/>
              </w:rPr>
              <w:t>10.8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60" w:type="dxa"/>
            <w:vAlign w:val="bottom"/>
            <w:gridSpan w:val="11"/>
          </w:tcPr>
          <w:p>
            <w:pPr>
              <w:ind w:left="20"/>
              <w:spacing w:after="0"/>
              <w:rPr>
                <w:sz w:val="20"/>
                <w:szCs w:val="20"/>
                <w:color w:val="auto"/>
              </w:rPr>
            </w:pPr>
            <w:r>
              <w:rPr>
                <w:rFonts w:ascii="Arial" w:cs="Arial" w:eastAsia="Arial" w:hAnsi="Arial"/>
                <w:sz w:val="18"/>
                <w:szCs w:val="18"/>
                <w:color w:val="auto"/>
                <w:w w:val="93"/>
              </w:rPr>
              <w:t>Form of Partnership Agreement between the Company and Dendrite International, Inc. d/b/a/ Cegedim Dendrite, as entered into on June 24,</w:t>
            </w: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ind w:left="20"/>
              <w:spacing w:after="0" w:line="216" w:lineRule="exact"/>
              <w:rPr>
                <w:sz w:val="20"/>
                <w:szCs w:val="20"/>
                <w:color w:val="auto"/>
              </w:rPr>
            </w:pPr>
            <w:r>
              <w:rPr>
                <w:rFonts w:ascii="Arial" w:cs="Arial" w:eastAsia="Arial" w:hAnsi="Arial"/>
                <w:sz w:val="18"/>
                <w:szCs w:val="18"/>
                <w:color w:val="auto"/>
              </w:rPr>
              <w:t>2008</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w w:val="85"/>
              </w:rPr>
              <w:t>10.9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60" w:type="dxa"/>
            <w:vAlign w:val="bottom"/>
            <w:gridSpan w:val="11"/>
          </w:tcPr>
          <w:p>
            <w:pPr>
              <w:ind w:left="20"/>
              <w:spacing w:after="0" w:line="216" w:lineRule="exact"/>
              <w:rPr>
                <w:sz w:val="20"/>
                <w:szCs w:val="20"/>
                <w:color w:val="auto"/>
              </w:rPr>
            </w:pPr>
            <w:r>
              <w:rPr>
                <w:rFonts w:ascii="Arial" w:cs="Arial" w:eastAsia="Arial" w:hAnsi="Arial"/>
                <w:sz w:val="18"/>
                <w:szCs w:val="18"/>
                <w:color w:val="auto"/>
              </w:rPr>
              <w:t>Letter of Intent between the Company and Sudler &amp; Hennessy, dated September 30, 2008</w:t>
            </w:r>
            <w:r>
              <w:rPr>
                <w:rFonts w:ascii="Arial" w:cs="Arial" w:eastAsia="Arial" w:hAnsi="Arial"/>
                <w:sz w:val="25"/>
                <w:szCs w:val="25"/>
                <w:color w:val="auto"/>
                <w:vertAlign w:val="superscript"/>
              </w:rPr>
              <w:t>1</w:t>
            </w:r>
            <w:r>
              <w:rPr>
                <w:rFonts w:ascii="Arial" w:cs="Arial" w:eastAsia="Arial" w:hAnsi="Arial"/>
                <w:sz w:val="18"/>
                <w:szCs w:val="18"/>
                <w:color w:val="auto"/>
              </w:rPr>
              <w:t>.</w:t>
            </w:r>
          </w:p>
        </w:tc>
      </w:tr>
      <w:tr>
        <w:trPr>
          <w:trHeight w:val="190"/>
        </w:trPr>
        <w:tc>
          <w:tcPr>
            <w:tcW w:w="400" w:type="dxa"/>
            <w:vAlign w:val="bottom"/>
            <w:gridSpan w:val="2"/>
          </w:tcPr>
          <w:p>
            <w:pPr>
              <w:spacing w:after="0" w:line="190" w:lineRule="exact"/>
              <w:rPr>
                <w:sz w:val="20"/>
                <w:szCs w:val="20"/>
                <w:color w:val="auto"/>
              </w:rPr>
            </w:pPr>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10</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60" w:type="dxa"/>
            <w:vAlign w:val="bottom"/>
            <w:gridSpan w:val="11"/>
          </w:tcPr>
          <w:p>
            <w:pPr>
              <w:ind w:left="20"/>
              <w:spacing w:after="0" w:line="190" w:lineRule="exact"/>
              <w:rPr>
                <w:sz w:val="20"/>
                <w:szCs w:val="20"/>
                <w:color w:val="auto"/>
              </w:rPr>
            </w:pPr>
            <w:r>
              <w:rPr>
                <w:rFonts w:ascii="Arial" w:cs="Arial" w:eastAsia="Arial" w:hAnsi="Arial"/>
                <w:sz w:val="18"/>
                <w:szCs w:val="18"/>
                <w:color w:val="0000EE"/>
              </w:rPr>
              <w:t>Employment Agreement David Lester</w:t>
            </w:r>
          </w:p>
        </w:tc>
      </w:tr>
      <w:tr>
        <w:trPr>
          <w:trHeight w:val="20"/>
        </w:trPr>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196"/>
        </w:trPr>
        <w:tc>
          <w:tcPr>
            <w:tcW w:w="400" w:type="dxa"/>
            <w:vAlign w:val="bottom"/>
            <w:gridSpan w:val="2"/>
          </w:tcPr>
          <w:p>
            <w:pPr>
              <w:spacing w:after="0" w:line="196" w:lineRule="exact"/>
              <w:rPr>
                <w:sz w:val="20"/>
                <w:szCs w:val="20"/>
                <w:color w:val="auto"/>
              </w:rPr>
            </w:pPr>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11</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60" w:type="dxa"/>
            <w:vAlign w:val="bottom"/>
            <w:gridSpan w:val="11"/>
          </w:tcPr>
          <w:p>
            <w:pPr>
              <w:ind w:left="20"/>
              <w:spacing w:after="0" w:line="196" w:lineRule="exact"/>
              <w:rPr>
                <w:sz w:val="20"/>
                <w:szCs w:val="20"/>
                <w:color w:val="auto"/>
              </w:rPr>
            </w:pPr>
            <w:r>
              <w:rPr>
                <w:rFonts w:ascii="Arial" w:cs="Arial" w:eastAsia="Arial" w:hAnsi="Arial"/>
                <w:sz w:val="18"/>
                <w:szCs w:val="18"/>
                <w:color w:val="0000EE"/>
              </w:rPr>
              <w:t>Employment Agreement Terry Hamilton</w:t>
            </w:r>
          </w:p>
        </w:tc>
      </w:tr>
      <w:tr>
        <w:trPr>
          <w:trHeight w:val="20"/>
        </w:trPr>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196"/>
        </w:trPr>
        <w:tc>
          <w:tcPr>
            <w:tcW w:w="400" w:type="dxa"/>
            <w:vAlign w:val="bottom"/>
            <w:gridSpan w:val="2"/>
          </w:tcPr>
          <w:p>
            <w:pPr>
              <w:spacing w:after="0" w:line="196" w:lineRule="exact"/>
              <w:rPr>
                <w:sz w:val="20"/>
                <w:szCs w:val="20"/>
                <w:color w:val="auto"/>
              </w:rPr>
            </w:pPr>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12</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60" w:type="dxa"/>
            <w:vAlign w:val="bottom"/>
            <w:gridSpan w:val="11"/>
          </w:tcPr>
          <w:p>
            <w:pPr>
              <w:ind w:left="20"/>
              <w:spacing w:after="0" w:line="196" w:lineRule="exact"/>
              <w:rPr>
                <w:sz w:val="20"/>
                <w:szCs w:val="20"/>
                <w:color w:val="auto"/>
              </w:rPr>
            </w:pPr>
            <w:r>
              <w:rPr>
                <w:rFonts w:ascii="Arial" w:cs="Arial" w:eastAsia="Arial" w:hAnsi="Arial"/>
                <w:sz w:val="18"/>
                <w:szCs w:val="18"/>
                <w:color w:val="0000EE"/>
              </w:rPr>
              <w:t>Employment Agreement David Harrell</w:t>
            </w:r>
          </w:p>
        </w:tc>
      </w:tr>
      <w:tr>
        <w:trPr>
          <w:trHeight w:val="20"/>
        </w:trPr>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196"/>
        </w:trPr>
        <w:tc>
          <w:tcPr>
            <w:tcW w:w="400" w:type="dxa"/>
            <w:vAlign w:val="bottom"/>
            <w:gridSpan w:val="2"/>
          </w:tcPr>
          <w:p>
            <w:pPr>
              <w:spacing w:after="0" w:line="196" w:lineRule="exact"/>
              <w:rPr>
                <w:sz w:val="20"/>
                <w:szCs w:val="20"/>
                <w:color w:val="auto"/>
              </w:rPr>
            </w:pPr>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13</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60" w:type="dxa"/>
            <w:vAlign w:val="bottom"/>
            <w:gridSpan w:val="11"/>
          </w:tcPr>
          <w:p>
            <w:pPr>
              <w:ind w:left="20"/>
              <w:spacing w:after="0" w:line="196" w:lineRule="exact"/>
              <w:rPr>
                <w:sz w:val="20"/>
                <w:szCs w:val="20"/>
                <w:color w:val="auto"/>
              </w:rPr>
            </w:pPr>
            <w:r>
              <w:rPr>
                <w:rFonts w:ascii="Arial" w:cs="Arial" w:eastAsia="Arial" w:hAnsi="Arial"/>
                <w:sz w:val="18"/>
                <w:szCs w:val="18"/>
                <w:color w:val="0000EE"/>
              </w:rPr>
              <w:t>Employment Agreement Addendum Terry Hamilton</w:t>
            </w:r>
          </w:p>
        </w:tc>
      </w:tr>
      <w:tr>
        <w:trPr>
          <w:trHeight w:val="20"/>
        </w:trPr>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196"/>
        </w:trPr>
        <w:tc>
          <w:tcPr>
            <w:tcW w:w="400" w:type="dxa"/>
            <w:vAlign w:val="bottom"/>
            <w:gridSpan w:val="2"/>
          </w:tcPr>
          <w:p>
            <w:pPr>
              <w:spacing w:after="0" w:line="196" w:lineRule="exact"/>
              <w:rPr>
                <w:sz w:val="20"/>
                <w:szCs w:val="20"/>
                <w:color w:val="auto"/>
              </w:rPr>
            </w:pPr>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14</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60" w:type="dxa"/>
            <w:vAlign w:val="bottom"/>
            <w:gridSpan w:val="11"/>
          </w:tcPr>
          <w:p>
            <w:pPr>
              <w:ind w:left="20"/>
              <w:spacing w:after="0" w:line="196" w:lineRule="exact"/>
              <w:rPr>
                <w:sz w:val="20"/>
                <w:szCs w:val="20"/>
                <w:color w:val="auto"/>
              </w:rPr>
            </w:pPr>
            <w:r>
              <w:rPr>
                <w:rFonts w:ascii="Arial" w:cs="Arial" w:eastAsia="Arial" w:hAnsi="Arial"/>
                <w:sz w:val="18"/>
                <w:szCs w:val="18"/>
                <w:color w:val="0000EE"/>
              </w:rPr>
              <w:t>Employment Agreement Addendum David Harrell</w:t>
            </w:r>
          </w:p>
        </w:tc>
      </w:tr>
      <w:tr>
        <w:trPr>
          <w:trHeight w:val="20"/>
        </w:trPr>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222"/>
        </w:trPr>
        <w:tc>
          <w:tcPr>
            <w:tcW w:w="320" w:type="dxa"/>
            <w:vAlign w:val="bottom"/>
          </w:tcPr>
          <w:p>
            <w:pPr>
              <w:spacing w:after="0"/>
              <w:rPr>
                <w:sz w:val="20"/>
                <w:szCs w:val="20"/>
                <w:color w:val="auto"/>
              </w:rPr>
            </w:pPr>
            <w:r>
              <w:rPr>
                <w:rFonts w:ascii="Arial" w:cs="Arial" w:eastAsia="Arial" w:hAnsi="Arial"/>
                <w:sz w:val="18"/>
                <w:szCs w:val="18"/>
                <w:color w:val="auto"/>
                <w:w w:val="85"/>
              </w:rPr>
              <w:t>21.1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60" w:type="dxa"/>
            <w:vAlign w:val="bottom"/>
            <w:gridSpan w:val="11"/>
          </w:tcPr>
          <w:p>
            <w:pPr>
              <w:ind w:left="20"/>
              <w:spacing w:after="0" w:line="222" w:lineRule="exact"/>
              <w:rPr>
                <w:sz w:val="20"/>
                <w:szCs w:val="20"/>
                <w:color w:val="auto"/>
              </w:rPr>
            </w:pPr>
            <w:r>
              <w:rPr>
                <w:rFonts w:ascii="Arial" w:cs="Arial" w:eastAsia="Arial" w:hAnsi="Arial"/>
                <w:sz w:val="18"/>
                <w:szCs w:val="18"/>
                <w:color w:val="auto"/>
              </w:rPr>
              <w:t>List of Subsidiaries</w:t>
            </w:r>
            <w:r>
              <w:rPr>
                <w:rFonts w:ascii="Arial" w:cs="Arial" w:eastAsia="Arial" w:hAnsi="Arial"/>
                <w:sz w:val="25"/>
                <w:szCs w:val="25"/>
                <w:color w:val="auto"/>
                <w:vertAlign w:val="superscript"/>
              </w:rPr>
              <w:t>1</w:t>
            </w:r>
          </w:p>
        </w:tc>
      </w:tr>
      <w:tr>
        <w:trPr>
          <w:trHeight w:val="190"/>
        </w:trPr>
        <w:tc>
          <w:tcPr>
            <w:tcW w:w="320" w:type="dxa"/>
            <w:vAlign w:val="bottom"/>
          </w:tcPr>
          <w:p>
            <w:pPr>
              <w:spacing w:after="0" w:line="190" w:lineRule="exact"/>
              <w:rPr>
                <w:sz w:val="20"/>
                <w:szCs w:val="20"/>
                <w:color w:val="auto"/>
              </w:rPr>
            </w:pPr>
            <w:r>
              <w:rPr>
                <w:rFonts w:ascii="Arial" w:cs="Arial" w:eastAsia="Arial" w:hAnsi="Arial"/>
                <w:sz w:val="18"/>
                <w:szCs w:val="18"/>
                <w:color w:val="0000EE"/>
                <w:w w:val="85"/>
              </w:rPr>
              <w:t>23.1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60" w:type="dxa"/>
            <w:vAlign w:val="bottom"/>
            <w:gridSpan w:val="11"/>
          </w:tcPr>
          <w:p>
            <w:pPr>
              <w:ind w:left="20"/>
              <w:spacing w:after="0" w:line="190" w:lineRule="exact"/>
              <w:rPr>
                <w:sz w:val="20"/>
                <w:szCs w:val="20"/>
                <w:color w:val="auto"/>
              </w:rPr>
            </w:pPr>
            <w:r>
              <w:rPr>
                <w:rFonts w:ascii="Arial" w:cs="Arial" w:eastAsia="Arial" w:hAnsi="Arial"/>
                <w:sz w:val="18"/>
                <w:szCs w:val="18"/>
                <w:color w:val="0000EE"/>
              </w:rPr>
              <w:t>Consent of Silberstein Ungar, PLLC</w:t>
            </w:r>
          </w:p>
        </w:tc>
      </w:tr>
      <w:tr>
        <w:trPr>
          <w:trHeight w:val="20"/>
        </w:trPr>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60" w:type="dxa"/>
            <w:vAlign w:val="bottom"/>
            <w:gridSpan w:val="11"/>
          </w:tcPr>
          <w:p>
            <w:pPr>
              <w:ind w:left="20"/>
              <w:spacing w:after="0" w:line="196" w:lineRule="exact"/>
              <w:rPr>
                <w:sz w:val="20"/>
                <w:szCs w:val="20"/>
                <w:color w:val="auto"/>
              </w:rPr>
            </w:pPr>
            <w:r>
              <w:rPr>
                <w:rFonts w:ascii="Arial" w:cs="Arial" w:eastAsia="Arial" w:hAnsi="Arial"/>
                <w:sz w:val="18"/>
                <w:szCs w:val="18"/>
                <w:color w:val="0000EE"/>
              </w:rPr>
              <w:t>Section 302 Certification of Principal Executive Officer</w:t>
            </w:r>
          </w:p>
        </w:tc>
      </w:tr>
      <w:tr>
        <w:trPr>
          <w:trHeight w:val="20"/>
        </w:trPr>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60" w:type="dxa"/>
            <w:vAlign w:val="bottom"/>
            <w:gridSpan w:val="8"/>
            <w:shd w:val="clear" w:color="auto" w:fill="0000EE"/>
          </w:tcPr>
          <w:p>
            <w:pPr>
              <w:spacing w:after="0" w:line="20" w:lineRule="exact"/>
              <w:rPr>
                <w:sz w:val="1"/>
                <w:szCs w:val="1"/>
                <w:color w:val="auto"/>
              </w:rPr>
            </w:pPr>
          </w:p>
        </w:tc>
        <w:tc>
          <w:tcPr>
            <w:tcW w:w="2340" w:type="dxa"/>
            <w:vAlign w:val="bottom"/>
            <w:tcBorders>
              <w:left w:val="single" w:sz="8" w:color="0000EE"/>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60" w:type="dxa"/>
            <w:vAlign w:val="bottom"/>
            <w:gridSpan w:val="11"/>
          </w:tcPr>
          <w:p>
            <w:pPr>
              <w:ind w:left="20"/>
              <w:spacing w:after="0" w:line="196" w:lineRule="exact"/>
              <w:rPr>
                <w:sz w:val="20"/>
                <w:szCs w:val="20"/>
                <w:color w:val="auto"/>
              </w:rPr>
            </w:pPr>
            <w:r>
              <w:rPr>
                <w:rFonts w:ascii="Arial" w:cs="Arial" w:eastAsia="Arial" w:hAnsi="Arial"/>
                <w:sz w:val="18"/>
                <w:szCs w:val="18"/>
                <w:color w:val="0000EE"/>
              </w:rPr>
              <w:t>Section 302 Certification of Principal Financial Officer</w:t>
            </w:r>
          </w:p>
        </w:tc>
      </w:tr>
      <w:tr>
        <w:trPr>
          <w:trHeight w:val="20"/>
        </w:trPr>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60" w:type="dxa"/>
            <w:vAlign w:val="bottom"/>
            <w:gridSpan w:val="8"/>
            <w:shd w:val="clear" w:color="auto" w:fill="0000EE"/>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60" w:type="dxa"/>
            <w:vAlign w:val="bottom"/>
            <w:gridSpan w:val="11"/>
          </w:tcPr>
          <w:p>
            <w:pPr>
              <w:ind w:left="20"/>
              <w:spacing w:after="0" w:line="196" w:lineRule="exact"/>
              <w:rPr>
                <w:sz w:val="20"/>
                <w:szCs w:val="20"/>
                <w:color w:val="auto"/>
              </w:rPr>
            </w:pPr>
            <w:r>
              <w:rPr>
                <w:rFonts w:ascii="Arial" w:cs="Arial" w:eastAsia="Arial" w:hAnsi="Arial"/>
                <w:sz w:val="18"/>
                <w:szCs w:val="18"/>
                <w:color w:val="0000EE"/>
              </w:rPr>
              <w:t>Section 906 Certification of Principal Executive Officer and Principal Financial Officer</w:t>
            </w:r>
          </w:p>
        </w:tc>
      </w:tr>
      <w:tr>
        <w:trPr>
          <w:trHeight w:val="20"/>
        </w:trPr>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340" w:type="dxa"/>
            <w:vAlign w:val="bottom"/>
            <w:tcBorders>
              <w:left w:val="single" w:sz="8" w:color="0000EE"/>
            </w:tcBorders>
            <w:shd w:val="clear" w:color="auto" w:fill="0000EE"/>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Incorporated by reference to the Form S-1, filed by the Company with the Securities and Exchange Commission on November 12, 2008.</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accordance with Section 13 or 15(d) of the Exchange Act, the registrant caused this report to be signed on its behalf by the undersigned, thereunto duly authorized.</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OptimizeRx Corporation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6800" w:type="dxa"/>
            <w:vAlign w:val="bottom"/>
            <w:gridSpan w:val="2"/>
          </w:tcPr>
          <w:p>
            <w:pPr>
              <w:spacing w:after="0"/>
              <w:rPr>
                <w:sz w:val="20"/>
                <w:szCs w:val="20"/>
                <w:color w:val="auto"/>
              </w:rPr>
            </w:pPr>
            <w:r>
              <w:rPr>
                <w:rFonts w:ascii="Arial" w:cs="Arial" w:eastAsia="Arial" w:hAnsi="Arial"/>
                <w:sz w:val="18"/>
                <w:szCs w:val="18"/>
                <w:color w:val="auto"/>
              </w:rPr>
              <w:t>/s/ David Lester</w:t>
            </w:r>
          </w:p>
        </w:tc>
      </w:tr>
      <w:tr>
        <w:trPr>
          <w:trHeight w:val="222"/>
        </w:trPr>
        <w:tc>
          <w:tcPr>
            <w:tcW w:w="1000" w:type="dxa"/>
            <w:vAlign w:val="bottom"/>
          </w:tcPr>
          <w:p>
            <w:pPr>
              <w:spacing w:after="0"/>
              <w:rPr>
                <w:sz w:val="19"/>
                <w:szCs w:val="19"/>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Lester</w:t>
            </w:r>
          </w:p>
        </w:tc>
        <w:tc>
          <w:tcPr>
            <w:tcW w:w="5660" w:type="dxa"/>
            <w:vAlign w:val="bottom"/>
          </w:tcPr>
          <w:p>
            <w:pPr>
              <w:spacing w:after="0"/>
              <w:rPr>
                <w:sz w:val="19"/>
                <w:szCs w:val="19"/>
                <w:color w:val="auto"/>
              </w:rPr>
            </w:pPr>
          </w:p>
        </w:tc>
      </w:tr>
      <w:tr>
        <w:trPr>
          <w:trHeight w:val="216"/>
        </w:trPr>
        <w:tc>
          <w:tcPr>
            <w:tcW w:w="100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Chief Executive Officer, Principal Executive Officer,</w:t>
            </w:r>
          </w:p>
        </w:tc>
      </w:tr>
      <w:tr>
        <w:trPr>
          <w:trHeight w:val="230"/>
        </w:trPr>
        <w:tc>
          <w:tcPr>
            <w:tcW w:w="1000" w:type="dxa"/>
            <w:vAlign w:val="bottom"/>
          </w:tcPr>
          <w:p>
            <w:pPr>
              <w:spacing w:after="0"/>
              <w:rPr>
                <w:sz w:val="20"/>
                <w:szCs w:val="20"/>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w w:val="93"/>
              </w:rPr>
              <w:t>Chief Financial Officer, Principal Financial Officer, Principal Accounting Officer and Director</w:t>
            </w:r>
          </w:p>
        </w:tc>
      </w:tr>
      <w:tr>
        <w:trPr>
          <w:trHeight w:val="432"/>
        </w:trPr>
        <w:tc>
          <w:tcPr>
            <w:tcW w:w="1000" w:type="dxa"/>
            <w:vAlign w:val="bottom"/>
          </w:tcPr>
          <w:p>
            <w:pPr>
              <w:spacing w:after="0"/>
              <w:rPr>
                <w:sz w:val="24"/>
                <w:szCs w:val="24"/>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March 31, 2010</w:t>
            </w: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Section 13 or 15(d) of the Exchange Act,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60" w:type="dxa"/>
            <w:vAlign w:val="bottom"/>
            <w:gridSpan w:val="3"/>
          </w:tcPr>
          <w:p>
            <w:pPr>
              <w:spacing w:after="0"/>
              <w:rPr>
                <w:sz w:val="20"/>
                <w:szCs w:val="20"/>
                <w:color w:val="auto"/>
              </w:rPr>
            </w:pPr>
            <w:r>
              <w:rPr>
                <w:rFonts w:ascii="Arial" w:cs="Arial" w:eastAsia="Arial" w:hAnsi="Arial"/>
                <w:sz w:val="18"/>
                <w:szCs w:val="18"/>
                <w:color w:val="auto"/>
              </w:rPr>
              <w:t>By: /s/ David Harrell</w:t>
            </w: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w w:val="91"/>
              </w:rPr>
              <w:t>By: /s/ Terence J. Hamilton</w:t>
            </w:r>
          </w:p>
        </w:tc>
      </w:tr>
      <w:tr>
        <w:trPr>
          <w:trHeight w:val="222"/>
        </w:trPr>
        <w:tc>
          <w:tcPr>
            <w:tcW w:w="360" w:type="dxa"/>
            <w:vAlign w:val="bottom"/>
          </w:tcPr>
          <w:p>
            <w:pPr>
              <w:spacing w:after="0"/>
              <w:rPr>
                <w:sz w:val="19"/>
                <w:szCs w:val="19"/>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Harrell</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Terence J. Hamilton</w:t>
            </w:r>
          </w:p>
        </w:tc>
      </w:tr>
      <w:tr>
        <w:trPr>
          <w:trHeight w:val="216"/>
        </w:trPr>
        <w:tc>
          <w:tcPr>
            <w:tcW w:w="36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6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360" w:type="dxa"/>
            <w:vAlign w:val="bottom"/>
          </w:tcPr>
          <w:p>
            <w:pPr>
              <w:spacing w:after="0"/>
              <w:rPr>
                <w:sz w:val="20"/>
                <w:szCs w:val="20"/>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March 31, 2010</w:t>
            </w:r>
          </w:p>
        </w:tc>
        <w:tc>
          <w:tcPr>
            <w:tcW w:w="64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March 31, 2010</w:t>
            </w:r>
          </w:p>
        </w:tc>
      </w:tr>
      <w:tr>
        <w:trPr>
          <w:trHeight w:val="418"/>
        </w:trPr>
        <w:tc>
          <w:tcPr>
            <w:tcW w:w="2560" w:type="dxa"/>
            <w:vAlign w:val="bottom"/>
            <w:gridSpan w:val="3"/>
          </w:tcPr>
          <w:p>
            <w:pPr>
              <w:spacing w:after="0"/>
              <w:rPr>
                <w:sz w:val="20"/>
                <w:szCs w:val="20"/>
                <w:color w:val="auto"/>
              </w:rPr>
            </w:pPr>
            <w:r>
              <w:rPr>
                <w:rFonts w:ascii="Arial" w:cs="Arial" w:eastAsia="Arial" w:hAnsi="Arial"/>
                <w:sz w:val="18"/>
                <w:szCs w:val="18"/>
                <w:color w:val="auto"/>
              </w:rPr>
              <w:t>By: /s/ Thomas E. Majerowicz</w:t>
            </w:r>
          </w:p>
        </w:tc>
        <w:tc>
          <w:tcPr>
            <w:tcW w:w="6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16"/>
        </w:trPr>
        <w:tc>
          <w:tcPr>
            <w:tcW w:w="36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6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360" w:type="dxa"/>
            <w:vAlign w:val="bottom"/>
          </w:tcPr>
          <w:p>
            <w:pPr>
              <w:spacing w:after="0"/>
              <w:rPr>
                <w:sz w:val="20"/>
                <w:szCs w:val="20"/>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March 31, 2010</w:t>
            </w:r>
          </w:p>
        </w:tc>
        <w:tc>
          <w:tcPr>
            <w:tcW w:w="640" w:type="dxa"/>
            <w:vAlign w:val="bottom"/>
          </w:tcPr>
          <w:p>
            <w:pPr>
              <w:spacing w:after="0"/>
              <w:rPr>
                <w:sz w:val="20"/>
                <w:szCs w:val="20"/>
                <w:color w:val="auto"/>
              </w:rPr>
            </w:pPr>
          </w:p>
        </w:tc>
        <w:tc>
          <w:tcPr>
            <w:tcW w:w="1680" w:type="dxa"/>
            <w:vAlign w:val="bottom"/>
          </w:tcPr>
          <w:p>
            <w:pPr>
              <w:spacing w:after="0"/>
              <w:rPr>
                <w:sz w:val="20"/>
                <w:szCs w:val="20"/>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2" w:right="339" w:bottom="1440" w:gutter="0" w:footer="0" w:header="0"/>
        </w:sectPr>
      </w:pPr>
    </w:p>
    <w:bookmarkStart w:id="44" w:name="page45"/>
    <w:bookmarkEnd w:id="4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auto"/>
        </w:rPr>
        <w:t>Silberstein Ungar, PLLC CPAs and Business Advisors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Phone (248) 203-0080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(248) 281-0940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30600 Telegraph Road, Suite 2175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Bingham Farms, MI 48025-4586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www.sucpas.com</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March 30, 2010</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To Whom It May Concern:</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Silberstein Ungar, PLLC hereby consents to the use in the Form 10-K, Annual Report under Section 13 or 15(d) of the Securities Exchange Act of 1934, filed by OptimizeRx Corporation of our report dated March 30, 2010, relating to the consolidated financial statements of OptimizeRx Corporation, a Nevada Corporation, as of and for the periods ending December 31, 2009 and 2008.</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Silberstein Ungar, PLLC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Silberstein Ungar, PLLC</w:t>
      </w:r>
    </w:p>
    <w:p>
      <w:pPr>
        <w:sectPr>
          <w:pgSz w:w="11900" w:h="16838" w:orient="portrait"/>
          <w:cols w:equalWidth="0" w:num="1">
            <w:col w:w="11420"/>
          </w:cols>
          <w:pgMar w:left="240" w:top="125"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David Lester, certify that;</w:t>
      </w:r>
    </w:p>
    <w:p>
      <w:pPr>
        <w:spacing w:after="0" w:line="252" w:lineRule="exact"/>
        <w:rPr>
          <w:sz w:val="20"/>
          <w:szCs w:val="20"/>
          <w:color w:val="auto"/>
        </w:rPr>
      </w:pPr>
    </w:p>
    <w:p>
      <w:pPr>
        <w:ind w:left="500" w:hanging="231"/>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2009 of OptimizeRx Corporation (the “registrant”);</w:t>
      </w:r>
    </w:p>
    <w:p>
      <w:pPr>
        <w:spacing w:after="0" w:line="252"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208" w:lineRule="exact"/>
        <w:rPr>
          <w:rFonts w:ascii="Arial" w:cs="Arial" w:eastAsia="Arial" w:hAnsi="Arial"/>
          <w:sz w:val="18"/>
          <w:szCs w:val="18"/>
          <w:color w:val="auto"/>
        </w:rPr>
      </w:pPr>
    </w:p>
    <w:p>
      <w:pPr>
        <w:jc w:val="both"/>
        <w:ind w:left="1300" w:hanging="210"/>
        <w:spacing w:after="0" w:line="264" w:lineRule="auto"/>
        <w:tabs>
          <w:tab w:leader="none" w:pos="1300" w:val="left"/>
        </w:tabs>
        <w:numPr>
          <w:ilvl w:val="2"/>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220"/>
        <w:spacing w:after="0" w:line="264" w:lineRule="auto"/>
        <w:tabs>
          <w:tab w:leader="none" w:pos="1300" w:val="left"/>
        </w:tabs>
        <w:numPr>
          <w:ilvl w:val="2"/>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210"/>
        <w:spacing w:after="0" w:line="342" w:lineRule="auto"/>
        <w:tabs>
          <w:tab w:leader="none" w:pos="1300" w:val="left"/>
        </w:tabs>
        <w:numPr>
          <w:ilvl w:val="2"/>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220"/>
        <w:spacing w:after="0" w:line="264" w:lineRule="auto"/>
        <w:tabs>
          <w:tab w:leader="none" w:pos="1300" w:val="left"/>
        </w:tabs>
        <w:numPr>
          <w:ilvl w:val="2"/>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in the case of an annual report that has materially affected, or is reasonably likely to materially affect, the registrant’s internal control over financial reporting.</w:t>
      </w:r>
    </w:p>
    <w:p>
      <w:pPr>
        <w:spacing w:after="0" w:line="208" w:lineRule="exact"/>
        <w:rPr>
          <w:rFonts w:ascii="Arial" w:cs="Arial" w:eastAsia="Arial" w:hAnsi="Arial"/>
          <w:sz w:val="18"/>
          <w:szCs w:val="18"/>
          <w:color w:val="auto"/>
        </w:rPr>
      </w:pPr>
    </w:p>
    <w:p>
      <w:pPr>
        <w:ind w:left="660" w:hanging="229"/>
        <w:spacing w:after="0" w:line="308" w:lineRule="auto"/>
        <w:tabs>
          <w:tab w:leader="none" w:pos="6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210"/>
        <w:spacing w:after="0" w:line="274" w:lineRule="auto"/>
        <w:tabs>
          <w:tab w:leader="none" w:pos="1300" w:val="left"/>
        </w:tabs>
        <w:numPr>
          <w:ilvl w:val="2"/>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220"/>
        <w:spacing w:after="0" w:line="261" w:lineRule="auto"/>
        <w:tabs>
          <w:tab w:leader="none" w:pos="1300" w:val="left"/>
        </w:tabs>
        <w:numPr>
          <w:ilvl w:val="2"/>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2010</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/s/David Lester</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tab/>
        <w:t>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121"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David Lester, certify that;</w:t>
      </w:r>
    </w:p>
    <w:p>
      <w:pPr>
        <w:spacing w:after="0" w:line="252" w:lineRule="exact"/>
        <w:rPr>
          <w:sz w:val="20"/>
          <w:szCs w:val="20"/>
          <w:color w:val="auto"/>
        </w:rPr>
      </w:pPr>
    </w:p>
    <w:p>
      <w:pPr>
        <w:ind w:left="500" w:hanging="231"/>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2009 of OptimizeRx Corporation (the “registrant”);</w:t>
      </w:r>
    </w:p>
    <w:p>
      <w:pPr>
        <w:spacing w:after="0" w:line="252"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208" w:lineRule="exact"/>
        <w:rPr>
          <w:rFonts w:ascii="Arial" w:cs="Arial" w:eastAsia="Arial" w:hAnsi="Arial"/>
          <w:sz w:val="18"/>
          <w:szCs w:val="18"/>
          <w:color w:val="auto"/>
        </w:rPr>
      </w:pPr>
    </w:p>
    <w:p>
      <w:pPr>
        <w:jc w:val="both"/>
        <w:ind w:left="1300" w:hanging="210"/>
        <w:spacing w:after="0" w:line="264" w:lineRule="auto"/>
        <w:tabs>
          <w:tab w:leader="none" w:pos="1300" w:val="left"/>
        </w:tabs>
        <w:numPr>
          <w:ilvl w:val="2"/>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220"/>
        <w:spacing w:after="0" w:line="264" w:lineRule="auto"/>
        <w:tabs>
          <w:tab w:leader="none" w:pos="1300" w:val="left"/>
        </w:tabs>
        <w:numPr>
          <w:ilvl w:val="2"/>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210"/>
        <w:spacing w:after="0" w:line="342" w:lineRule="auto"/>
        <w:tabs>
          <w:tab w:leader="none" w:pos="1300" w:val="left"/>
        </w:tabs>
        <w:numPr>
          <w:ilvl w:val="2"/>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220"/>
        <w:spacing w:after="0" w:line="264" w:lineRule="auto"/>
        <w:tabs>
          <w:tab w:leader="none" w:pos="1300" w:val="left"/>
        </w:tabs>
        <w:numPr>
          <w:ilvl w:val="2"/>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in the case of an annual report that has materially affected, or is reasonably likely to materially affect, the registrant’s internal control over financial reporting.</w:t>
      </w:r>
    </w:p>
    <w:p>
      <w:pPr>
        <w:spacing w:after="0" w:line="208" w:lineRule="exact"/>
        <w:rPr>
          <w:rFonts w:ascii="Arial" w:cs="Arial" w:eastAsia="Arial" w:hAnsi="Arial"/>
          <w:sz w:val="18"/>
          <w:szCs w:val="18"/>
          <w:color w:val="auto"/>
        </w:rPr>
      </w:pPr>
    </w:p>
    <w:p>
      <w:pPr>
        <w:ind w:left="660" w:hanging="229"/>
        <w:spacing w:after="0" w:line="308" w:lineRule="auto"/>
        <w:tabs>
          <w:tab w:leader="none" w:pos="6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210"/>
        <w:spacing w:after="0" w:line="274" w:lineRule="auto"/>
        <w:tabs>
          <w:tab w:leader="none" w:pos="1300" w:val="left"/>
        </w:tabs>
        <w:numPr>
          <w:ilvl w:val="2"/>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220"/>
        <w:spacing w:after="0" w:line="261" w:lineRule="auto"/>
        <w:tabs>
          <w:tab w:leader="none" w:pos="1300" w:val="left"/>
        </w:tabs>
        <w:numPr>
          <w:ilvl w:val="2"/>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/s/David Lester</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tab/>
        <w:t>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364" w:right="2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color w:val="auto"/>
        </w:rPr>
        <w:t>CERTIFICATION OF CHIEF EXECUTIVE OFFICER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connection with the annual Report of OptimizeRx Corporation (the “Company”) on Form 10-K for the year ended December 31, 2009 filed with the Securities and Exchange Commission (the “Report”), I, David Lester, Chief Executive Officer of the Company, certify, pursuant to 18 U.S.C. Section 1350, as adopted pursuant to Section 906 of the Sarbanes-Oxley Act of 2002, that:</w:t>
      </w:r>
    </w:p>
    <w:p>
      <w:pPr>
        <w:spacing w:after="0" w:line="208" w:lineRule="exact"/>
        <w:rPr>
          <w:sz w:val="20"/>
          <w:szCs w:val="20"/>
          <w:color w:val="auto"/>
        </w:rPr>
      </w:pPr>
    </w:p>
    <w:p>
      <w:pPr>
        <w:ind w:left="500" w:hanging="231"/>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52"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120"/>
        <w:spacing w:after="0"/>
        <w:tabs>
          <w:tab w:leader="none" w:pos="2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/s/David Lester</w:t>
      </w:r>
    </w:p>
    <w:p>
      <w:pPr>
        <w:spacing w:after="0" w:line="225"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Name:David Lester</w:t>
      </w:r>
    </w:p>
    <w:p>
      <w:pPr>
        <w:spacing w:after="0" w:line="225"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Title: Principal Executive Officer,</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Principal Financial Officer and Director</w:t>
      </w:r>
    </w:p>
    <w:p>
      <w:pPr>
        <w:spacing w:after="0" w:line="211"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Date: March 31,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been furnished solely pursuant to Section 906 of the Sarbanes-Oxley Act of 2002.</w:t>
      </w:r>
    </w:p>
    <w:p>
      <w:pPr>
        <w:sectPr>
          <w:pgSz w:w="11900" w:h="16838" w:orient="portrait"/>
          <w:cols w:equalWidth="0" w:num="1">
            <w:col w:w="11420"/>
          </w:cols>
          <w:pgMar w:left="240" w:top="368" w:right="239" w:bottom="1440" w:gutter="0" w:footer="0" w:header="0"/>
        </w:sectPr>
      </w:pPr>
    </w:p>
    <w:bookmarkStart w:id="49" w:name="page50"/>
    <w:bookmarkEnd w:id="49"/>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2773045</wp:posOffset>
            </wp:positionH>
            <wp:positionV relativeFrom="page">
              <wp:posOffset>88900</wp:posOffset>
            </wp:positionV>
            <wp:extent cx="2023745" cy="4546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2023745" cy="454660"/>
                    </a:xfrm>
                    <a:prstGeom prst="rect">
                      <a:avLst/>
                    </a:prstGeom>
                    <a:noFill/>
                  </pic:spPr>
                </pic:pic>
              </a:graphicData>
            </a:graphic>
          </wp:anchor>
        </w:drawing>
        <w:t>EMPLOYMENT AGREEMENT</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AGREEMENT, made and entered into this March 20th day of 2009, by and between OptimizeRx Corporation, a Nevada Company, hereinafter referred to as "Employer" and David Lester, hereinafter referred to as the "Employee".</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Recitals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Employer is engaged in the business of internet marketing, sales, and product promotion, and desires the Employee as Chief Executive Officer</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THEREFORE AGREED:</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Term of Employment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 The Employer hereby employs the Employee and the Employee hereby accepts employment with the Employer beginning on the 1 st day of April,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Duties of Employee</w:t>
      </w:r>
    </w:p>
    <w:p>
      <w:pPr>
        <w:spacing w:after="0" w:line="256" w:lineRule="exact"/>
        <w:rPr>
          <w:sz w:val="20"/>
          <w:szCs w:val="20"/>
          <w:color w:val="auto"/>
        </w:rPr>
      </w:pPr>
    </w:p>
    <w:p>
      <w:pPr>
        <w:ind w:right="20" w:firstLine="656"/>
        <w:spacing w:after="0" w:line="277" w:lineRule="auto"/>
        <w:tabs>
          <w:tab w:leader="none" w:pos="8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CEO, you are responsible for the overall planning and execution of the company, including directing management to reach the corporate goals and objectives as outlined by the board. See Appendix A: CEO Job Description for further details of overall responsibilities.</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Change in Duties</w:t>
      </w:r>
    </w:p>
    <w:p>
      <w:pPr>
        <w:spacing w:after="0" w:line="256" w:lineRule="exact"/>
        <w:rPr>
          <w:sz w:val="20"/>
          <w:szCs w:val="20"/>
          <w:color w:val="auto"/>
        </w:rPr>
      </w:pPr>
    </w:p>
    <w:p>
      <w:pPr>
        <w:jc w:val="both"/>
        <w:ind w:right="660" w:firstLine="818"/>
        <w:spacing w:after="0" w:line="264" w:lineRule="auto"/>
        <w:tabs>
          <w:tab w:leader="none" w:pos="107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principal duties of the Employee, as specified in Paragraph 2 of this Agreement, may be changed at any time by the mutual consent of the Employer and the Employee. Notwithstanding any such change, the employment of the Employee shall be construed as continuing under this Agreement as modified.</w:t>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Effect of Disability</w:t>
      </w:r>
    </w:p>
    <w:p>
      <w:pPr>
        <w:spacing w:after="0" w:line="256" w:lineRule="exact"/>
        <w:rPr>
          <w:sz w:val="20"/>
          <w:szCs w:val="20"/>
          <w:color w:val="auto"/>
        </w:rPr>
      </w:pPr>
    </w:p>
    <w:p>
      <w:pPr>
        <w:ind w:right="680" w:firstLine="818"/>
        <w:spacing w:after="0" w:line="342" w:lineRule="auto"/>
        <w:tabs>
          <w:tab w:leader="none" w:pos="1072"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the Employee at any time during the term of this Agreement should be unable to perform his duties under this Agreement because of personal injury, illness, or any other cause, the Employer may assign the Employee to other duties, and the compensation to be paid thereafter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480060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0" w:right="239" w:bottom="1440" w:gutter="0" w:footer="0" w:header="0"/>
        </w:sectPr>
      </w:pPr>
    </w:p>
    <w:bookmarkStart w:id="50" w:name="page51"/>
    <w:bookmarkEnd w:id="50"/>
    <w:p>
      <w:pPr>
        <w:jc w:val="both"/>
        <w:ind w:right="600"/>
        <w:spacing w:after="0" w:line="264" w:lineRule="auto"/>
        <w:rPr>
          <w:sz w:val="20"/>
          <w:szCs w:val="20"/>
          <w:color w:val="auto"/>
        </w:rPr>
      </w:pPr>
      <w:r>
        <w:rPr>
          <w:rFonts w:ascii="Arial" w:cs="Arial" w:eastAsia="Arial" w:hAnsi="Arial"/>
          <w:sz w:val="18"/>
          <w:szCs w:val="18"/>
          <w:color w:val="auto"/>
        </w:rPr>
        <w:t>the Employee shall be determined by the Employer in its sole discretion. If the Employee is unwilling to accept the modification in duties and compensation made by the Employer, or if the Employee's inability to perform is of such extent as to make a modification of duties hereunder not feasible, this Agreement shall terminate within 90 days.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Place of Performance</w:t>
      </w:r>
    </w:p>
    <w:p>
      <w:pPr>
        <w:spacing w:after="0" w:line="256" w:lineRule="exact"/>
        <w:rPr>
          <w:sz w:val="20"/>
          <w:szCs w:val="20"/>
          <w:color w:val="auto"/>
        </w:rPr>
      </w:pPr>
    </w:p>
    <w:p>
      <w:pPr>
        <w:jc w:val="both"/>
        <w:ind w:firstLine="656"/>
        <w:spacing w:after="0" w:line="264" w:lineRule="auto"/>
        <w:tabs>
          <w:tab w:leader="none" w:pos="8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the commencement of this employment, the Employee shall perform his duties at the office of the Employer located at 407 Sixth Street, Rochester, MI 48307. However, at any time deemed necessary or advisable by the Employer for business purposes, the Employee shall work at such other place or places as may be determined by the Employer.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Hours of Employment</w:t>
      </w:r>
    </w:p>
    <w:p>
      <w:pPr>
        <w:spacing w:after="0" w:line="256" w:lineRule="exact"/>
        <w:rPr>
          <w:sz w:val="20"/>
          <w:szCs w:val="20"/>
          <w:color w:val="auto"/>
        </w:rPr>
      </w:pPr>
    </w:p>
    <w:p>
      <w:pPr>
        <w:ind w:right="20" w:firstLine="656"/>
        <w:spacing w:after="0" w:line="277" w:lineRule="auto"/>
        <w:tabs>
          <w:tab w:leader="none" w:pos="83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Employee shall work 8+ hours daily during the periods to be designated by the Employer and 5 days each week, for a total of 40+ hours per week actually devoted to the business of the Employer.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Engaging in Other Employment</w:t>
      </w:r>
    </w:p>
    <w:p>
      <w:pPr>
        <w:spacing w:after="0" w:line="256" w:lineRule="exact"/>
        <w:rPr>
          <w:sz w:val="20"/>
          <w:szCs w:val="20"/>
          <w:color w:val="auto"/>
        </w:rPr>
      </w:pPr>
    </w:p>
    <w:p>
      <w:pPr>
        <w:jc w:val="both"/>
        <w:ind w:right="40" w:firstLine="656"/>
        <w:spacing w:after="0" w:line="259" w:lineRule="auto"/>
        <w:tabs>
          <w:tab w:leader="none" w:pos="8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Employee shall devote his entire productive time, ability, and attention during the normal business hours to the business of the Employer. The Employee shall not, during the term of this Agreement, directly or indirectly, render any services of a business, commercial, or a professional nature, whether for compensation or otherwise, to any person or organization which competes, directly or indirectly, with the business of the employer, without the prior written consent of the Employer.</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Compensation</w:t>
      </w:r>
    </w:p>
    <w:p>
      <w:pPr>
        <w:spacing w:after="0" w:line="256" w:lineRule="exact"/>
        <w:rPr>
          <w:sz w:val="20"/>
          <w:szCs w:val="20"/>
          <w:color w:val="auto"/>
        </w:rPr>
      </w:pPr>
    </w:p>
    <w:p>
      <w:pPr>
        <w:jc w:val="both"/>
        <w:ind w:right="40" w:firstLine="656"/>
        <w:spacing w:after="0" w:line="302" w:lineRule="auto"/>
        <w:tabs>
          <w:tab w:leader="none" w:pos="834" w:val="left"/>
        </w:tabs>
        <w:numPr>
          <w:ilvl w:val="0"/>
          <w:numId w:val="25"/>
        </w:numPr>
        <w:rPr>
          <w:rFonts w:ascii="Arial" w:cs="Arial" w:eastAsia="Arial" w:hAnsi="Arial"/>
          <w:sz w:val="16"/>
          <w:szCs w:val="16"/>
          <w:color w:val="auto"/>
        </w:rPr>
      </w:pPr>
      <w:r>
        <w:rPr>
          <w:rFonts w:ascii="Arial" w:cs="Arial" w:eastAsia="Arial" w:hAnsi="Arial"/>
          <w:sz w:val="16"/>
          <w:szCs w:val="16"/>
          <w:color w:val="auto"/>
        </w:rPr>
        <w:t>As compensation for services rendered under this Agreement, the Employee shall be entitled to receive from the Employer a salary of $ 150,000 per year, payable in semi-monthly installments in which such payment becomes due, prorated for any partial employment period. In addition, David Lester is eligible for additional quarterly and annual bonus compensation, stock options and stock grants based on performance metrics outlined by the board of directors. This includes stock options of 500,000 at hire, with 25% immediately vested and 25% vested after completion of each quarter of hire.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Employee Benefit Plans</w:t>
      </w:r>
    </w:p>
    <w:p>
      <w:pPr>
        <w:spacing w:after="0" w:line="256" w:lineRule="exact"/>
        <w:rPr>
          <w:sz w:val="20"/>
          <w:szCs w:val="20"/>
          <w:color w:val="auto"/>
        </w:rPr>
      </w:pPr>
    </w:p>
    <w:p>
      <w:pPr>
        <w:jc w:val="both"/>
        <w:ind w:right="20" w:firstLine="656"/>
        <w:spacing w:after="0" w:line="264" w:lineRule="auto"/>
        <w:tabs>
          <w:tab w:leader="none" w:pos="83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Employee shall be entitled to participate in any qualified pension plan, qualified profit-sharing plan, medical or dental reimbursement plan, group term life insurance plan, or any other employee benefit plan which is presently existing or which may be established in the future by the Employer. Such right to participation shall be in</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accordance with the terms of the particular plans involved.</w:t>
      </w:r>
    </w:p>
    <w:p>
      <w:pPr>
        <w:spacing w:after="0" w:line="248" w:lineRule="exact"/>
        <w:rPr>
          <w:sz w:val="20"/>
          <w:szCs w:val="20"/>
          <w:color w:val="auto"/>
        </w:rPr>
      </w:pPr>
    </w:p>
    <w:p>
      <w:pPr>
        <w:ind w:left="4800"/>
        <w:spacing w:after="0"/>
        <w:rPr>
          <w:sz w:val="20"/>
          <w:szCs w:val="20"/>
          <w:color w:val="auto"/>
        </w:rPr>
      </w:pPr>
      <w:r>
        <w:rPr>
          <w:rFonts w:ascii="Arial" w:cs="Arial" w:eastAsia="Arial" w:hAnsi="Arial"/>
          <w:sz w:val="18"/>
          <w:szCs w:val="18"/>
          <w:b w:val="1"/>
          <w:bCs w:val="1"/>
          <w:u w:val="single" w:color="auto"/>
          <w:color w:val="auto"/>
        </w:rPr>
        <w:t>Paid Vacations</w:t>
      </w:r>
    </w:p>
    <w:p>
      <w:pPr>
        <w:spacing w:after="0" w:line="256" w:lineRule="exact"/>
        <w:rPr>
          <w:sz w:val="20"/>
          <w:szCs w:val="20"/>
          <w:color w:val="auto"/>
        </w:rPr>
      </w:pPr>
    </w:p>
    <w:p>
      <w:pPr>
        <w:ind w:right="20" w:firstLine="818"/>
        <w:spacing w:after="0" w:line="277" w:lineRule="auto"/>
        <w:tabs>
          <w:tab w:leader="none" w:pos="99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Employee shall immediately have an annual vacation leave of 3 weeks in 2009 and 4 weeks within following calendar at full pay. The time for such vacation shall be selected by the Employee, but must be approved by the Employer.</w:t>
      </w:r>
    </w:p>
    <w:p>
      <w:pPr>
        <w:spacing w:after="0" w:line="193" w:lineRule="exact"/>
        <w:rPr>
          <w:sz w:val="20"/>
          <w:szCs w:val="20"/>
          <w:color w:val="auto"/>
        </w:rPr>
      </w:pPr>
    </w:p>
    <w:p>
      <w:pPr>
        <w:ind w:left="5020"/>
        <w:spacing w:after="0"/>
        <w:rPr>
          <w:sz w:val="20"/>
          <w:szCs w:val="20"/>
          <w:color w:val="auto"/>
        </w:rPr>
      </w:pPr>
      <w:r>
        <w:rPr>
          <w:rFonts w:ascii="Arial" w:cs="Arial" w:eastAsia="Arial" w:hAnsi="Arial"/>
          <w:sz w:val="18"/>
          <w:szCs w:val="18"/>
          <w:b w:val="1"/>
          <w:bCs w:val="1"/>
          <w:u w:val="single" w:color="auto"/>
          <w:color w:val="auto"/>
        </w:rPr>
        <w:t>Holidays</w:t>
      </w:r>
    </w:p>
    <w:p>
      <w:pPr>
        <w:spacing w:after="0" w:line="256" w:lineRule="exact"/>
        <w:rPr>
          <w:sz w:val="20"/>
          <w:szCs w:val="20"/>
          <w:color w:val="auto"/>
        </w:rPr>
      </w:pPr>
    </w:p>
    <w:p>
      <w:pPr>
        <w:ind w:left="1000" w:hanging="182"/>
        <w:spacing w:after="0"/>
        <w:tabs>
          <w:tab w:leader="none" w:pos="10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Employee shall be entitled to full payment on each traditional.</w:t>
      </w:r>
    </w:p>
    <w:p>
      <w:pPr>
        <w:spacing w:after="0" w:line="248" w:lineRule="exact"/>
        <w:rPr>
          <w:rFonts w:ascii="Arial" w:cs="Arial" w:eastAsia="Arial" w:hAnsi="Arial"/>
          <w:sz w:val="18"/>
          <w:szCs w:val="18"/>
          <w:color w:val="auto"/>
        </w:rPr>
      </w:pPr>
    </w:p>
    <w:p>
      <w:pPr>
        <w:ind w:left="474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Paid Sick Leave</w:t>
      </w:r>
    </w:p>
    <w:p>
      <w:pPr>
        <w:spacing w:after="0" w:line="256" w:lineRule="exact"/>
        <w:rPr>
          <w:rFonts w:ascii="Arial" w:cs="Arial" w:eastAsia="Arial" w:hAnsi="Arial"/>
          <w:sz w:val="18"/>
          <w:szCs w:val="18"/>
          <w:color w:val="auto"/>
        </w:rPr>
      </w:pPr>
    </w:p>
    <w:p>
      <w:pPr>
        <w:ind w:right="460" w:firstLine="656"/>
        <w:spacing w:after="0" w:line="277" w:lineRule="auto"/>
        <w:tabs>
          <w:tab w:leader="none" w:pos="91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Employee shall be entitled to 5 days per year as sick leave with full pay. Such sick leave can be accumulated up to a total of 10 days or without limitation.</w:t>
      </w:r>
    </w:p>
    <w:p>
      <w:pPr>
        <w:spacing w:after="0" w:line="193" w:lineRule="exact"/>
        <w:rPr>
          <w:sz w:val="20"/>
          <w:szCs w:val="20"/>
          <w:color w:val="auto"/>
        </w:rPr>
      </w:pPr>
    </w:p>
    <w:p>
      <w:pPr>
        <w:ind w:left="4660"/>
        <w:spacing w:after="0"/>
        <w:rPr>
          <w:sz w:val="20"/>
          <w:szCs w:val="20"/>
          <w:color w:val="auto"/>
        </w:rPr>
      </w:pPr>
      <w:r>
        <w:rPr>
          <w:rFonts w:ascii="Arial" w:cs="Arial" w:eastAsia="Arial" w:hAnsi="Arial"/>
          <w:sz w:val="18"/>
          <w:szCs w:val="18"/>
          <w:b w:val="1"/>
          <w:bCs w:val="1"/>
          <w:u w:val="single" w:color="auto"/>
          <w:color w:val="auto"/>
        </w:rPr>
        <w:t>Business Expenses</w:t>
      </w:r>
    </w:p>
    <w:p>
      <w:pPr>
        <w:spacing w:after="0" w:line="229" w:lineRule="exact"/>
        <w:rPr>
          <w:sz w:val="20"/>
          <w:szCs w:val="20"/>
          <w:color w:val="auto"/>
        </w:rPr>
      </w:pPr>
    </w:p>
    <w:p>
      <w:pPr>
        <w:ind w:firstLine="656"/>
        <w:spacing w:after="0" w:line="277" w:lineRule="auto"/>
        <w:tabs>
          <w:tab w:leader="none" w:pos="9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Employer, in accordance with the rules and regulations that it may issue from time to time, shall reimburse the Employee for business expenses properly incurred during the performance of his duties.</w:t>
      </w:r>
    </w:p>
    <w:p>
      <w:pPr>
        <w:spacing w:after="0" w:line="193" w:lineRule="exact"/>
        <w:rPr>
          <w:sz w:val="20"/>
          <w:szCs w:val="20"/>
          <w:color w:val="auto"/>
        </w:rPr>
      </w:pPr>
    </w:p>
    <w:p>
      <w:pPr>
        <w:ind w:left="4280"/>
        <w:spacing w:after="0"/>
        <w:rPr>
          <w:sz w:val="20"/>
          <w:szCs w:val="20"/>
          <w:color w:val="auto"/>
        </w:rPr>
      </w:pPr>
      <w:r>
        <w:rPr>
          <w:rFonts w:ascii="Arial" w:cs="Arial" w:eastAsia="Arial" w:hAnsi="Arial"/>
          <w:sz w:val="18"/>
          <w:szCs w:val="18"/>
          <w:b w:val="1"/>
          <w:bCs w:val="1"/>
          <w:u w:val="single" w:color="auto"/>
          <w:color w:val="auto"/>
        </w:rPr>
        <w:t>Termination of Employment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w:t>
      </w:r>
    </w:p>
    <w:p>
      <w:pPr>
        <w:spacing w:after="0" w:line="23" w:lineRule="exact"/>
        <w:rPr>
          <w:sz w:val="20"/>
          <w:szCs w:val="20"/>
          <w:color w:val="auto"/>
        </w:rPr>
      </w:pPr>
    </w:p>
    <w:p>
      <w:pPr>
        <w:jc w:val="both"/>
        <w:ind w:right="700" w:firstLine="818"/>
        <w:spacing w:after="0" w:line="255" w:lineRule="auto"/>
        <w:tabs>
          <w:tab w:leader="none" w:pos="10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the Employee willfully breaches or habitually neglects the duties which he is required to perform under the terms of this Agreement, the Employer may at its option terminate this Agreement by giving 14 days' written notice of termination to the Employee, without prejudice to any other remedy to which the Employer may be entitled either at law, in equity, or under this Agreement; or</w:t>
      </w:r>
    </w:p>
    <w:p>
      <w:pPr>
        <w:spacing w:after="0" w:line="217" w:lineRule="exact"/>
        <w:rPr>
          <w:rFonts w:ascii="Arial" w:cs="Arial" w:eastAsia="Arial" w:hAnsi="Arial"/>
          <w:sz w:val="18"/>
          <w:szCs w:val="18"/>
          <w:color w:val="auto"/>
        </w:rPr>
      </w:pPr>
    </w:p>
    <w:p>
      <w:pPr>
        <w:jc w:val="both"/>
        <w:ind w:right="700" w:firstLine="818"/>
        <w:spacing w:after="0" w:line="264" w:lineRule="auto"/>
        <w:tabs>
          <w:tab w:leader="none" w:pos="107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employment of the Employee shall continue only for as long as the services rendered by him are satisfactory to the Employer, regardless of any other provision contained in this Agreement. The Employer shall be the sole judge as to whether the services of the Employee are satisfactory; or</w:t>
      </w:r>
    </w:p>
    <w:p>
      <w:pPr>
        <w:spacing w:after="0" w:line="208" w:lineRule="exact"/>
        <w:rPr>
          <w:rFonts w:ascii="Arial" w:cs="Arial" w:eastAsia="Arial" w:hAnsi="Arial"/>
          <w:sz w:val="18"/>
          <w:szCs w:val="18"/>
          <w:color w:val="auto"/>
        </w:rPr>
      </w:pPr>
    </w:p>
    <w:p>
      <w:pPr>
        <w:ind w:right="700" w:firstLine="818"/>
        <w:spacing w:after="0" w:line="308" w:lineRule="auto"/>
        <w:tabs>
          <w:tab w:leader="none" w:pos="1081"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This Agreement may be terminated without cause by either party giving 15 days' notice of termination to the other party. Such termination shall not prejudice any other remedy to which either party may be entitled either at law, in equity, or under this Agreement.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u w:val="single" w:color="auto"/>
          <w:color w:val="auto"/>
        </w:rPr>
        <w:t>Severance Pay</w:t>
      </w:r>
    </w:p>
    <w:p>
      <w:pPr>
        <w:spacing w:after="0" w:line="256" w:lineRule="exact"/>
        <w:rPr>
          <w:sz w:val="20"/>
          <w:szCs w:val="20"/>
          <w:color w:val="auto"/>
        </w:rPr>
      </w:pPr>
    </w:p>
    <w:p>
      <w:pPr>
        <w:jc w:val="both"/>
        <w:ind w:right="20" w:firstLine="818"/>
        <w:spacing w:after="0" w:line="259" w:lineRule="auto"/>
        <w:tabs>
          <w:tab w:leader="none" w:pos="1088"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event of the termination of this Agreement prior to the completion of the term of the employment specified herein, the Employee shall be entitled to the compensation earned by him prior to the date of termination as provided for in this Agreement, computed pro rata up to and including that date. In addition, if the Employer terminates the employment of the Employee, the Employee shall be entitled to receive a cash severance pay in an amount equal to 1 month of salary.</w:t>
      </w: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Amendment and Waiver</w:t>
      </w:r>
    </w:p>
    <w:p>
      <w:pPr>
        <w:spacing w:after="0" w:line="256" w:lineRule="exact"/>
        <w:rPr>
          <w:sz w:val="20"/>
          <w:szCs w:val="20"/>
          <w:color w:val="auto"/>
        </w:rPr>
      </w:pPr>
    </w:p>
    <w:p>
      <w:pPr>
        <w:jc w:val="both"/>
        <w:ind w:right="60" w:firstLine="818"/>
        <w:spacing w:after="0" w:line="259" w:lineRule="auto"/>
        <w:tabs>
          <w:tab w:leader="none" w:pos="1084"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provision of this Agreement may be altered or amended by a written document signed by both parties hereto setting forth such alteration or amendment without affecting the obligations created by the other provisions of this Agreement. The Employer and the Employee agree that the failure to enforce any provision or obligation under this Agreement shall not constitute a waiver thereof or serve as a bar to the subsequent enforcement of such provision or obligation or any other provision or obligation under this Agreement.</w:t>
      </w: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Survival of Covenants</w:t>
      </w:r>
    </w:p>
    <w:p>
      <w:pPr>
        <w:spacing w:after="0" w:line="229" w:lineRule="exact"/>
        <w:rPr>
          <w:sz w:val="20"/>
          <w:szCs w:val="20"/>
          <w:color w:val="auto"/>
        </w:rPr>
      </w:pPr>
    </w:p>
    <w:p>
      <w:pPr>
        <w:jc w:val="both"/>
        <w:ind w:firstLine="818"/>
        <w:spacing w:after="0" w:line="264" w:lineRule="auto"/>
        <w:tabs>
          <w:tab w:leader="none" w:pos="108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Agreement shall be binding upon any successors or heirs or representatives of the parties hereto. The restrictive covenants and promises of the Employee contained in this Agreement shall survive any termination or rescission of this Agreement unless the Employer executes a written agreement specifically releasing the Employee from such covenants.</w:t>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Governing Law</w:t>
      </w:r>
    </w:p>
    <w:p>
      <w:pPr>
        <w:spacing w:after="0" w:line="256" w:lineRule="exact"/>
        <w:rPr>
          <w:sz w:val="20"/>
          <w:szCs w:val="20"/>
          <w:color w:val="auto"/>
        </w:rPr>
      </w:pPr>
    </w:p>
    <w:p>
      <w:pPr>
        <w:ind w:left="1080" w:hanging="26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Agreement is to be construed in accordance with the laws of the State of Michigan.</w:t>
      </w:r>
    </w:p>
    <w:p>
      <w:pPr>
        <w:spacing w:after="0" w:line="248" w:lineRule="exact"/>
        <w:rPr>
          <w:rFonts w:ascii="Arial" w:cs="Arial" w:eastAsia="Arial" w:hAnsi="Arial"/>
          <w:sz w:val="18"/>
          <w:szCs w:val="18"/>
          <w:color w:val="auto"/>
        </w:rPr>
      </w:pPr>
    </w:p>
    <w:p>
      <w:pPr>
        <w:ind w:left="520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Construction</w:t>
      </w:r>
    </w:p>
    <w:p>
      <w:pPr>
        <w:spacing w:after="0" w:line="256" w:lineRule="exact"/>
        <w:rPr>
          <w:rFonts w:ascii="Arial" w:cs="Arial" w:eastAsia="Arial" w:hAnsi="Arial"/>
          <w:sz w:val="18"/>
          <w:szCs w:val="18"/>
          <w:color w:val="auto"/>
        </w:rPr>
      </w:pPr>
    </w:p>
    <w:p>
      <w:pPr>
        <w:ind w:right="80" w:firstLine="818"/>
        <w:spacing w:after="0" w:line="277" w:lineRule="auto"/>
        <w:tabs>
          <w:tab w:leader="none" w:pos="108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Throughout this Agreement, the use of the singular number shall be construed to include the plural, the plural the singular, and the use of any gender shall include all genders, whenever required by the context.</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Obligation to Execute Documents</w:t>
      </w:r>
    </w:p>
    <w:p>
      <w:pPr>
        <w:spacing w:after="0" w:line="256" w:lineRule="exact"/>
        <w:rPr>
          <w:sz w:val="20"/>
          <w:szCs w:val="20"/>
          <w:color w:val="auto"/>
        </w:rPr>
      </w:pPr>
    </w:p>
    <w:p>
      <w:pPr>
        <w:ind w:right="60" w:firstLine="818"/>
        <w:spacing w:after="0" w:line="277" w:lineRule="auto"/>
        <w:tabs>
          <w:tab w:leader="none" w:pos="1092"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party to this Agreement shall, from time to time, upon request by the other party, execute any additional documents which reasonably may be required to effectuate the purposes of this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3" w:name="page54"/>
    <w:bookmarkEnd w:id="53"/>
    <w:p>
      <w:pPr>
        <w:jc w:val="center"/>
        <w:ind w:right="40"/>
        <w:spacing w:after="0"/>
        <w:rPr>
          <w:sz w:val="20"/>
          <w:szCs w:val="20"/>
          <w:color w:val="auto"/>
        </w:rPr>
      </w:pPr>
      <w:r>
        <w:rPr>
          <w:rFonts w:ascii="Arial" w:cs="Arial" w:eastAsia="Arial" w:hAnsi="Arial"/>
          <w:sz w:val="18"/>
          <w:szCs w:val="18"/>
          <w:b w:val="1"/>
          <w:bCs w:val="1"/>
          <w:u w:val="single" w:color="auto"/>
          <w:color w:val="auto"/>
        </w:rPr>
        <w:t>Severability</w:t>
      </w:r>
    </w:p>
    <w:p>
      <w:pPr>
        <w:spacing w:after="0" w:line="256" w:lineRule="exact"/>
        <w:rPr>
          <w:sz w:val="20"/>
          <w:szCs w:val="20"/>
          <w:color w:val="auto"/>
        </w:rPr>
      </w:pPr>
    </w:p>
    <w:p>
      <w:pPr>
        <w:jc w:val="both"/>
        <w:ind w:firstLine="818"/>
        <w:spacing w:after="0" w:line="259" w:lineRule="auto"/>
        <w:tabs>
          <w:tab w:leader="none" w:pos="1089"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any provision of this Agreement is held invalid by any tribunal in a final decision from which no appeal is or can be taken, such provision shall be deemed modified to eliminate the invalid element, and, as so modified, such provision shall be deemed a part of this Agreement. If it is not possible to modify any such provision to eliminate the invalid element, such provision shall be deemed eliminated from this Agreement. The invalidity of any provision of this Agreement shall not affect the force and effect of the remaining provisions.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Notices and Written Consents</w:t>
      </w:r>
    </w:p>
    <w:p>
      <w:pPr>
        <w:spacing w:after="0" w:line="256" w:lineRule="exact"/>
        <w:rPr>
          <w:sz w:val="20"/>
          <w:szCs w:val="20"/>
          <w:color w:val="auto"/>
        </w:rPr>
      </w:pPr>
    </w:p>
    <w:p>
      <w:pPr>
        <w:jc w:val="both"/>
        <w:ind w:right="40" w:firstLine="818"/>
        <w:spacing w:after="0" w:line="25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notices or written consents to be given hereunder by either party to the other may be effected either by personal delivery or by registered or certified mail, return receipt requested. When mailed, notices or written consents shall be addressed to the parties at the addresses appearing above, unless a party has notified the other party of a change in address. Personal delivery to the Employer of any notice or written consent may be effected by personal delivery to the Employee's immediate supervisor at his place of employment. Notice shall be considered communicated, and consent shall be considered given, as of the date it is actually received.</w:t>
      </w:r>
    </w:p>
    <w:p>
      <w:pPr>
        <w:spacing w:after="0" w:line="2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Executed at 407 Sixth Street, Rochester, Michigan, on the day and year first above written.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Employer: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Harrell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Harrell, Chairman</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Employee: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Lester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Appendix A: CEO JOB DESCRIPTION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Job Title: Chief Executive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Key Function:</w:t>
      </w:r>
    </w:p>
    <w:p>
      <w:pPr>
        <w:spacing w:after="0" w:line="252" w:lineRule="exact"/>
        <w:rPr>
          <w:sz w:val="20"/>
          <w:szCs w:val="20"/>
          <w:color w:val="auto"/>
        </w:rPr>
      </w:pPr>
    </w:p>
    <w:p>
      <w:pPr>
        <w:jc w:val="both"/>
        <w:ind w:right="760"/>
        <w:spacing w:after="0" w:line="264" w:lineRule="auto"/>
        <w:rPr>
          <w:sz w:val="20"/>
          <w:szCs w:val="20"/>
          <w:color w:val="auto"/>
        </w:rPr>
      </w:pPr>
      <w:r>
        <w:rPr>
          <w:rFonts w:ascii="Arial" w:cs="Arial" w:eastAsia="Arial" w:hAnsi="Arial"/>
          <w:sz w:val="18"/>
          <w:szCs w:val="18"/>
          <w:color w:val="auto"/>
        </w:rPr>
        <w:t>To implement the strategic goals and objectives of the organization to accelerate profitability and growth of company. The CEO/ Director is a major contributor to the long-term vitality, viable development and autonomy of the company. The CEO/ Director reports to the Chair of the Board and is responsible to the Board of Directors.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Major Duties/ Accountabilities:</w:t>
      </w:r>
    </w:p>
    <w:p>
      <w:pPr>
        <w:spacing w:after="0" w:line="252" w:lineRule="exact"/>
        <w:rPr>
          <w:sz w:val="20"/>
          <w:szCs w:val="20"/>
          <w:color w:val="auto"/>
        </w:rPr>
      </w:pPr>
    </w:p>
    <w:p>
      <w:pPr>
        <w:ind w:left="500" w:hanging="231"/>
        <w:spacing w:after="0" w:line="277"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Board Administration and Support -- Supports operations and administration of Board by advising and informing Board members, interfacing between Board and staff, and supporting Board's evaluation of chief executive</w:t>
      </w:r>
    </w:p>
    <w:p>
      <w:pPr>
        <w:spacing w:after="0" w:line="197"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Program, Product and Service Delivery -- Oversees design, marketing, promotion, delivery and quality of existing and new programs, products and services.</w:t>
      </w:r>
    </w:p>
    <w:p>
      <w:pPr>
        <w:spacing w:after="0" w:line="197"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Financial, Tax, Risk and Facilities Management -- Recommends yearly budget for Board approval and prudently manages organization's resources within those budget guidelines according to current laws and regulations. Responsible for overseeing and final preparation of all filings as required by SEC.</w:t>
      </w:r>
    </w:p>
    <w:p>
      <w:pPr>
        <w:spacing w:after="0" w:line="208"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Human Resource Management -- Effectively manages the human resources of the organization according to authorized personnel policies and procedures that fully conform to current laws and regulations</w:t>
      </w:r>
    </w:p>
    <w:p>
      <w:pPr>
        <w:spacing w:after="0" w:line="197"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Community, Public and Investor Relations -- Assures the organization and its mission, programs, products and services are consistently presented in strong, positive image to relevant stakeholders.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5" w:name="page56"/>
    <w:bookmarkEnd w:id="5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6" w:name="page57"/>
    <w:bookmarkEnd w:id="56"/>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2773045</wp:posOffset>
            </wp:positionH>
            <wp:positionV relativeFrom="page">
              <wp:posOffset>88900</wp:posOffset>
            </wp:positionV>
            <wp:extent cx="2023745" cy="4546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2023745" cy="454660"/>
                    </a:xfrm>
                    <a:prstGeom prst="rect">
                      <a:avLst/>
                    </a:prstGeom>
                    <a:noFill/>
                  </pic:spPr>
                </pic:pic>
              </a:graphicData>
            </a:graphic>
          </wp:anchor>
        </w:drawing>
        <w:t>EMPLOYMENT AGREEMENT</w:t>
      </w:r>
    </w:p>
    <w:p>
      <w:pPr>
        <w:spacing w:after="0" w:line="200" w:lineRule="exact"/>
        <w:rPr>
          <w:sz w:val="20"/>
          <w:szCs w:val="20"/>
          <w:color w:val="auto"/>
        </w:rPr>
      </w:pPr>
    </w:p>
    <w:p>
      <w:pPr>
        <w:spacing w:after="0" w:line="299" w:lineRule="exact"/>
        <w:rPr>
          <w:sz w:val="20"/>
          <w:szCs w:val="20"/>
          <w:color w:val="auto"/>
        </w:rPr>
      </w:pPr>
    </w:p>
    <w:p>
      <w:pPr>
        <w:ind w:firstLine="810"/>
        <w:spacing w:after="0" w:line="216" w:lineRule="auto"/>
        <w:rPr>
          <w:sz w:val="20"/>
          <w:szCs w:val="20"/>
          <w:color w:val="auto"/>
        </w:rPr>
      </w:pPr>
      <w:r>
        <w:rPr>
          <w:rFonts w:ascii="Arial" w:cs="Arial" w:eastAsia="Arial" w:hAnsi="Arial"/>
          <w:sz w:val="18"/>
          <w:szCs w:val="18"/>
          <w:color w:val="auto"/>
        </w:rPr>
        <w:t>THIS AGREEMENT, made and entered into this August 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day of 2008, by and between OptimizeRx Corporation, a Colorado Company, hereinafter referred to as "Employer" and Terry Hamilton, hereinafter referred to as the "Employee".</w:t>
      </w: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Recitals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Employer is engaged in the business of internet marketing, sales, and product promotion, and desires the Employee as Vice President of Sales.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IT IS THEREFORE AGREED:</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Term of Employment</w:t>
      </w:r>
    </w:p>
    <w:p>
      <w:pPr>
        <w:spacing w:after="0" w:line="256" w:lineRule="exact"/>
        <w:rPr>
          <w:sz w:val="20"/>
          <w:szCs w:val="20"/>
          <w:color w:val="auto"/>
        </w:rPr>
      </w:pPr>
    </w:p>
    <w:p>
      <w:pPr>
        <w:ind w:right="20" w:firstLine="818"/>
        <w:spacing w:after="0" w:line="277" w:lineRule="auto"/>
        <w:tabs>
          <w:tab w:leader="none" w:pos="100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Employer hereby employs the Employee and the Employee hereby accepts employment with the Employer beginning on the 1 st day of August, 2008. This Agreement may be terminated prior to its expiration date as hereinafter provided.</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Duties of Employee</w:t>
      </w:r>
    </w:p>
    <w:p>
      <w:pPr>
        <w:spacing w:after="0" w:line="256" w:lineRule="exact"/>
        <w:rPr>
          <w:sz w:val="20"/>
          <w:szCs w:val="20"/>
          <w:color w:val="auto"/>
        </w:rPr>
      </w:pPr>
    </w:p>
    <w:p>
      <w:pPr>
        <w:jc w:val="both"/>
        <w:ind w:right="20" w:firstLine="818"/>
        <w:spacing w:after="0" w:line="264" w:lineRule="auto"/>
        <w:tabs>
          <w:tab w:leader="none" w:pos="9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VP of Sales full responsibilities, as outlined in the VP Sales job description, include directing and achieving overall corporate sales goals. This includes direct new business activities with key prospects, managing sales personal and overall sales strategies. You will also advise and consult on general marketing and business matters as a senior management within company.</w:t>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Change in Duties</w:t>
      </w:r>
    </w:p>
    <w:p>
      <w:pPr>
        <w:spacing w:after="0" w:line="256" w:lineRule="exact"/>
        <w:rPr>
          <w:sz w:val="20"/>
          <w:szCs w:val="20"/>
          <w:color w:val="auto"/>
        </w:rPr>
      </w:pPr>
    </w:p>
    <w:p>
      <w:pPr>
        <w:jc w:val="both"/>
        <w:ind w:right="680" w:firstLine="818"/>
        <w:spacing w:after="0" w:line="264" w:lineRule="auto"/>
        <w:tabs>
          <w:tab w:leader="none" w:pos="107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principal duties of the Employee, as specified in Paragraph 2 of this Agreement, may be changed at any time by the mutual consent of the Employer and the Employee. Notwithstanding any such change, the employment of the Employee shall be construed as continuing under this Agreement as modified.</w:t>
      </w:r>
    </w:p>
    <w:p>
      <w:pPr>
        <w:spacing w:after="0" w:line="204" w:lineRule="exact"/>
        <w:rPr>
          <w:sz w:val="20"/>
          <w:szCs w:val="20"/>
          <w:color w:val="auto"/>
        </w:rPr>
      </w:pPr>
    </w:p>
    <w:p>
      <w:pPr>
        <w:ind w:left="4980"/>
        <w:spacing w:after="0"/>
        <w:rPr>
          <w:sz w:val="20"/>
          <w:szCs w:val="20"/>
          <w:color w:val="auto"/>
        </w:rPr>
      </w:pPr>
      <w:r>
        <w:rPr>
          <w:rFonts w:ascii="Arial" w:cs="Arial" w:eastAsia="Arial" w:hAnsi="Arial"/>
          <w:sz w:val="18"/>
          <w:szCs w:val="18"/>
          <w:b w:val="1"/>
          <w:bCs w:val="1"/>
          <w:u w:val="single" w:color="auto"/>
          <w:color w:val="auto"/>
        </w:rPr>
        <w:t>Effect of Disability</w:t>
      </w:r>
    </w:p>
    <w:p>
      <w:pPr>
        <w:spacing w:after="0" w:line="25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 If the Employee at any time during the term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23" w:right="259" w:bottom="1440" w:gutter="0" w:footer="0" w:header="0"/>
        </w:sectPr>
      </w:pPr>
    </w:p>
    <w:bookmarkStart w:id="57" w:name="page58"/>
    <w:bookmarkEnd w:id="57"/>
    <w:p>
      <w:pPr>
        <w:jc w:val="both"/>
        <w:spacing w:after="0" w:line="259" w:lineRule="auto"/>
        <w:rPr>
          <w:sz w:val="20"/>
          <w:szCs w:val="20"/>
          <w:color w:val="auto"/>
        </w:rPr>
      </w:pPr>
      <w:r>
        <w:rPr>
          <w:rFonts w:ascii="Arial" w:cs="Arial" w:eastAsia="Arial" w:hAnsi="Arial"/>
          <w:sz w:val="18"/>
          <w:szCs w:val="18"/>
          <w:color w:val="auto"/>
        </w:rPr>
        <w:t>should be unable to perform his duties under this Agreement because of personal injury, illness, or any other cause, the Employer may assign the Employee to other duties, and the compensation to be paid thereafter to the Employee shall be determined by the Employer in its sole discretion. If the Employee is unwilling to accept the modification in duties and compensation made by the Employer, or if the Employee's inability to perform is of such extent as to make a modification of duties hereunder not feasible, this Agreement shall terminate within 90 days.</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Place of Performance</w:t>
      </w:r>
    </w:p>
    <w:p>
      <w:pPr>
        <w:spacing w:after="0" w:line="256" w:lineRule="exact"/>
        <w:rPr>
          <w:sz w:val="20"/>
          <w:szCs w:val="20"/>
          <w:color w:val="auto"/>
        </w:rPr>
      </w:pPr>
    </w:p>
    <w:p>
      <w:pPr>
        <w:jc w:val="both"/>
        <w:ind w:right="20" w:firstLine="656"/>
        <w:spacing w:after="0" w:line="264" w:lineRule="auto"/>
        <w:tabs>
          <w:tab w:leader="none" w:pos="853"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 the commencement of this employment, the Employee shall perform his duties at the office of the Employer located at 407 Sixth Street, Rochester, MI 48307. However, at any time deemed necessary or advisable by the Employer for business purposes, the Employee shall work at such other place or places as may be determined by the Employer.</w:t>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Hours of Employment</w:t>
      </w:r>
    </w:p>
    <w:p>
      <w:pPr>
        <w:spacing w:after="0" w:line="256" w:lineRule="exact"/>
        <w:rPr>
          <w:sz w:val="20"/>
          <w:szCs w:val="20"/>
          <w:color w:val="auto"/>
        </w:rPr>
      </w:pPr>
    </w:p>
    <w:p>
      <w:pPr>
        <w:ind w:right="20" w:firstLine="656"/>
        <w:spacing w:after="0" w:line="277" w:lineRule="auto"/>
        <w:tabs>
          <w:tab w:leader="none" w:pos="83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Employee shall work 8+ hours daily during the periods to be designated by the Employer and 5 days each week, for a total of 40+ hours per week actually devoted to the business of the Employer.</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Engaging in Other Employment</w:t>
      </w:r>
    </w:p>
    <w:p>
      <w:pPr>
        <w:spacing w:after="0" w:line="256" w:lineRule="exact"/>
        <w:rPr>
          <w:sz w:val="20"/>
          <w:szCs w:val="20"/>
          <w:color w:val="auto"/>
        </w:rPr>
      </w:pPr>
    </w:p>
    <w:p>
      <w:pPr>
        <w:jc w:val="both"/>
        <w:ind w:right="40" w:firstLine="656"/>
        <w:spacing w:after="0" w:line="259" w:lineRule="auto"/>
        <w:tabs>
          <w:tab w:leader="none" w:pos="829"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Employee shall devote his entire productive time, ability, and attention during the normal business hours to the business of the Employer. The Employee shall not, during the term of this Agreement, directly or indirectly, render any services of a business, commercial, or a professional nature, whether for compensation or otherwise, to any person or organization which competes, directly or indirectly, with the business of the employer, without the prior written consent of the Employer.</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Compensation</w:t>
      </w:r>
    </w:p>
    <w:p>
      <w:pPr>
        <w:spacing w:after="0" w:line="256" w:lineRule="exact"/>
        <w:rPr>
          <w:sz w:val="20"/>
          <w:szCs w:val="20"/>
          <w:color w:val="auto"/>
        </w:rPr>
      </w:pPr>
    </w:p>
    <w:p>
      <w:pPr>
        <w:jc w:val="both"/>
        <w:ind w:right="40" w:firstLine="656"/>
        <w:spacing w:after="0" w:line="259" w:lineRule="auto"/>
        <w:tabs>
          <w:tab w:leader="none" w:pos="8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 compensation for services rendered under this Agreement, the Employee shall be entitled to receive from the Employer a salary of $ 120,000 per year, payable in 12 equal installments of $10,000 on the last working day of the week in which such payment becomes due, prorated for any partial employment period. In addition, Terry Hamilton is eligible for additional quarterly and annual bonus compensation, stock options and stock grants based on performance metrics outlined by his direct supervisor.</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Employee Benefit Plans</w:t>
      </w:r>
    </w:p>
    <w:p>
      <w:pPr>
        <w:spacing w:after="0" w:line="256" w:lineRule="exact"/>
        <w:rPr>
          <w:sz w:val="20"/>
          <w:szCs w:val="20"/>
          <w:color w:val="auto"/>
        </w:rPr>
      </w:pPr>
    </w:p>
    <w:p>
      <w:pPr>
        <w:ind w:right="240" w:firstLine="656"/>
        <w:spacing w:after="0" w:line="264" w:lineRule="auto"/>
        <w:tabs>
          <w:tab w:leader="none" w:pos="82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Employee shall be entitled to participate in any qualified pension plan, qualified profit-sharing plan, medical or dental reimbursement plan, group term life insurance plan, or any other employee benefit plan which is presently existing or which may be established In the future by the Employer. Such right to participation shall be in accordance with the terms of the particular plans involved.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8" w:name="page59"/>
    <w:bookmarkEnd w:id="58"/>
    <w:p>
      <w:pPr>
        <w:jc w:val="center"/>
        <w:ind w:right="40"/>
        <w:spacing w:after="0"/>
        <w:rPr>
          <w:sz w:val="20"/>
          <w:szCs w:val="20"/>
          <w:color w:val="auto"/>
        </w:rPr>
      </w:pPr>
      <w:r>
        <w:rPr>
          <w:rFonts w:ascii="Arial" w:cs="Arial" w:eastAsia="Arial" w:hAnsi="Arial"/>
          <w:sz w:val="18"/>
          <w:szCs w:val="18"/>
          <w:b w:val="1"/>
          <w:bCs w:val="1"/>
          <w:u w:val="single" w:color="auto"/>
          <w:color w:val="auto"/>
        </w:rPr>
        <w:t>Paid Vacations</w:t>
      </w:r>
    </w:p>
    <w:p>
      <w:pPr>
        <w:spacing w:after="0" w:line="256" w:lineRule="exact"/>
        <w:rPr>
          <w:sz w:val="20"/>
          <w:szCs w:val="20"/>
          <w:color w:val="auto"/>
        </w:rPr>
      </w:pPr>
    </w:p>
    <w:p>
      <w:pPr>
        <w:ind w:firstLine="818"/>
        <w:spacing w:after="0" w:line="277" w:lineRule="auto"/>
        <w:tabs>
          <w:tab w:leader="none" w:pos="1009"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Employee shall immediately have an annual vacation leave of 3 weeks at full pay. The time for such vacation shall be selected by the Employee, but must be approved by the Employer.</w:t>
      </w:r>
    </w:p>
    <w:p>
      <w:pPr>
        <w:spacing w:after="0" w:line="193" w:lineRule="exact"/>
        <w:rPr>
          <w:sz w:val="20"/>
          <w:szCs w:val="20"/>
          <w:color w:val="auto"/>
        </w:rPr>
      </w:pPr>
    </w:p>
    <w:p>
      <w:pPr>
        <w:ind w:left="5340"/>
        <w:spacing w:after="0"/>
        <w:rPr>
          <w:sz w:val="20"/>
          <w:szCs w:val="20"/>
          <w:color w:val="auto"/>
        </w:rPr>
      </w:pPr>
      <w:r>
        <w:rPr>
          <w:rFonts w:ascii="Arial" w:cs="Arial" w:eastAsia="Arial" w:hAnsi="Arial"/>
          <w:sz w:val="18"/>
          <w:szCs w:val="18"/>
          <w:b w:val="1"/>
          <w:bCs w:val="1"/>
          <w:u w:val="single" w:color="auto"/>
          <w:color w:val="auto"/>
        </w:rPr>
        <w:t>Holidays</w:t>
      </w:r>
    </w:p>
    <w:p>
      <w:pPr>
        <w:spacing w:after="0" w:line="25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9. The Employee shall be entitled to full payment on each traditional.</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Paid Sick Leave</w:t>
      </w:r>
    </w:p>
    <w:p>
      <w:pPr>
        <w:spacing w:after="0" w:line="256" w:lineRule="exact"/>
        <w:rPr>
          <w:sz w:val="20"/>
          <w:szCs w:val="20"/>
          <w:color w:val="auto"/>
        </w:rPr>
      </w:pPr>
    </w:p>
    <w:p>
      <w:pPr>
        <w:ind w:right="20" w:firstLine="818"/>
        <w:spacing w:after="0" w:line="277" w:lineRule="auto"/>
        <w:tabs>
          <w:tab w:leader="none" w:pos="108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Employee shall be entitled to 5 days per year as sick leave with full pay. Such sick leave can be accumulated up to a total of 10 days or without limitation.</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Business Expenses</w:t>
      </w:r>
    </w:p>
    <w:p>
      <w:pPr>
        <w:spacing w:after="0" w:line="256" w:lineRule="exact"/>
        <w:rPr>
          <w:sz w:val="20"/>
          <w:szCs w:val="20"/>
          <w:color w:val="auto"/>
        </w:rPr>
      </w:pPr>
    </w:p>
    <w:p>
      <w:pPr>
        <w:ind w:right="40" w:firstLine="818"/>
        <w:spacing w:after="0" w:line="277" w:lineRule="auto"/>
        <w:tabs>
          <w:tab w:leader="none" w:pos="1087"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Employer, in accordance with the rules and regulations that it may issue from time to time, shall reimburse the Employee for business expenses properly incurred during the performance of his duties.</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Termination of Employment</w:t>
      </w:r>
    </w:p>
    <w:p>
      <w:pPr>
        <w:spacing w:after="0" w:line="25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12.</w:t>
      </w:r>
    </w:p>
    <w:p>
      <w:pPr>
        <w:spacing w:after="0" w:line="252" w:lineRule="exact"/>
        <w:rPr>
          <w:sz w:val="20"/>
          <w:szCs w:val="20"/>
          <w:color w:val="auto"/>
        </w:rPr>
      </w:pPr>
    </w:p>
    <w:p>
      <w:pPr>
        <w:jc w:val="both"/>
        <w:ind w:right="700" w:firstLine="818"/>
        <w:spacing w:after="0" w:line="286" w:lineRule="auto"/>
        <w:tabs>
          <w:tab w:leader="none" w:pos="1092" w:val="left"/>
        </w:tabs>
        <w:numPr>
          <w:ilvl w:val="0"/>
          <w:numId w:val="51"/>
        </w:numPr>
        <w:rPr>
          <w:rFonts w:ascii="Arial" w:cs="Arial" w:eastAsia="Arial" w:hAnsi="Arial"/>
          <w:sz w:val="17"/>
          <w:szCs w:val="17"/>
          <w:color w:val="auto"/>
        </w:rPr>
      </w:pPr>
      <w:r>
        <w:rPr>
          <w:rFonts w:ascii="Arial" w:cs="Arial" w:eastAsia="Arial" w:hAnsi="Arial"/>
          <w:sz w:val="17"/>
          <w:szCs w:val="17"/>
          <w:color w:val="auto"/>
        </w:rPr>
        <w:t>If the Employee willfully breaches or habitually neglects the duties which he is required to perform under the terms of this Agreement, the Employer may at its option terminate this Agreement by giving 14 days' written notice of termination to the Employee, without prejudice to any other remedy to which the Employer may be entitled either at law, in equity, or under this Agreement; or</w:t>
      </w:r>
    </w:p>
    <w:p>
      <w:pPr>
        <w:spacing w:after="0" w:line="192" w:lineRule="exact"/>
        <w:rPr>
          <w:rFonts w:ascii="Arial" w:cs="Arial" w:eastAsia="Arial" w:hAnsi="Arial"/>
          <w:sz w:val="17"/>
          <w:szCs w:val="17"/>
          <w:color w:val="auto"/>
        </w:rPr>
      </w:pPr>
    </w:p>
    <w:p>
      <w:pPr>
        <w:jc w:val="both"/>
        <w:ind w:right="700" w:firstLine="818"/>
        <w:spacing w:after="0" w:line="264" w:lineRule="auto"/>
        <w:tabs>
          <w:tab w:leader="none" w:pos="107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employment of the Employee shall continue only for as long as the services rendered by him are satisfactory to the Employer, regardless of any other provision contained in this Agreement. The Employer shall be the sole judge as to whether the services of the Employee are satisfactory; or</w:t>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07" w:right="279" w:bottom="1440" w:gutter="0" w:footer="0" w:header="0"/>
        </w:sectPr>
      </w:pPr>
    </w:p>
    <w:bookmarkStart w:id="59" w:name="page60"/>
    <w:bookmarkEnd w:id="59"/>
    <w:p>
      <w:pPr>
        <w:ind w:right="640" w:firstLine="818"/>
        <w:spacing w:after="0" w:line="308" w:lineRule="auto"/>
        <w:tabs>
          <w:tab w:leader="none" w:pos="1089"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This Agreement may be terminated without cause by either party giving 3 days' notice of termination to the other party. Such termination shall not prejudice any other remedy to which either party may be entitled either at law, in equity, or under this Agreement.</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Severance Pay</w:t>
      </w:r>
    </w:p>
    <w:p>
      <w:pPr>
        <w:spacing w:after="0" w:line="256" w:lineRule="exact"/>
        <w:rPr>
          <w:sz w:val="20"/>
          <w:szCs w:val="20"/>
          <w:color w:val="auto"/>
        </w:rPr>
      </w:pPr>
    </w:p>
    <w:p>
      <w:pPr>
        <w:jc w:val="both"/>
        <w:ind w:firstLine="818"/>
        <w:spacing w:after="0" w:line="259" w:lineRule="auto"/>
        <w:tabs>
          <w:tab w:leader="none" w:pos="1088"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the event of the termination of this Agreement prior to the completion of the term of the employment specified herein, the Employee shall be entitled to the compensation earned by him prior to the date of termination as provided for in this Agreement, computed pro rata up to and including that date. In addition, if the Employer terminates the employment of the Employee for reasons other than willful breach or habitual neglect of duty, the Employee shall be entitled to receive a cash severance pay in an amount equal to 2 months salary.</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Amendment and Waiver</w:t>
      </w:r>
    </w:p>
    <w:p>
      <w:pPr>
        <w:spacing w:after="0" w:line="256" w:lineRule="exact"/>
        <w:rPr>
          <w:sz w:val="20"/>
          <w:szCs w:val="20"/>
          <w:color w:val="auto"/>
        </w:rPr>
      </w:pPr>
    </w:p>
    <w:p>
      <w:pPr>
        <w:jc w:val="both"/>
        <w:ind w:right="40" w:firstLine="818"/>
        <w:spacing w:after="0" w:line="259" w:lineRule="auto"/>
        <w:tabs>
          <w:tab w:leader="none" w:pos="108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provision of this Agreement may be altered or amended by a written document signed by both parties hereto setting forth such alteration or amendment without affecting the obligations created by the other provisions of this Agreement. The Employer and the Employee agree that the failure to enforce any provision or obligation under this Agreement shall not constitute a waiver thereof or serve as a bar to the subsequent enforcement of such provision or obligation or any other provision or obligation under this Agreement.</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Survival of Covenants</w:t>
      </w:r>
    </w:p>
    <w:p>
      <w:pPr>
        <w:spacing w:after="0" w:line="256" w:lineRule="exact"/>
        <w:rPr>
          <w:sz w:val="20"/>
          <w:szCs w:val="20"/>
          <w:color w:val="auto"/>
        </w:rPr>
      </w:pPr>
    </w:p>
    <w:p>
      <w:pPr>
        <w:jc w:val="both"/>
        <w:ind w:right="60" w:firstLine="818"/>
        <w:spacing w:after="0" w:line="264" w:lineRule="auto"/>
        <w:tabs>
          <w:tab w:leader="none" w:pos="1167"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This Agreement shall be binding upon any successors or heirs or representatives of the parties hereto. The restrictive covenants and promises of the Employee contained in this Agreement shall survive any termination or rescission of this Agreement unless the Employer executes a written agreement specifically releasing the Employee from such covenants.</w:t>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Governing Law</w:t>
      </w:r>
    </w:p>
    <w:p>
      <w:pPr>
        <w:spacing w:after="0" w:line="256" w:lineRule="exact"/>
        <w:rPr>
          <w:sz w:val="20"/>
          <w:szCs w:val="20"/>
          <w:color w:val="auto"/>
        </w:rPr>
      </w:pPr>
    </w:p>
    <w:p>
      <w:pPr>
        <w:ind w:left="1080" w:hanging="26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This Agreement is to be construed in accordance with the laws of the State of Michigan.</w:t>
      </w:r>
    </w:p>
    <w:p>
      <w:pPr>
        <w:spacing w:after="0" w:line="248" w:lineRule="exact"/>
        <w:rPr>
          <w:rFonts w:ascii="Arial" w:cs="Arial" w:eastAsia="Arial" w:hAnsi="Arial"/>
          <w:sz w:val="18"/>
          <w:szCs w:val="18"/>
          <w:color w:val="auto"/>
        </w:rPr>
      </w:pPr>
    </w:p>
    <w:p>
      <w:pPr>
        <w:ind w:left="520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Construction</w:t>
      </w:r>
    </w:p>
    <w:p>
      <w:pPr>
        <w:spacing w:after="0" w:line="256" w:lineRule="exact"/>
        <w:rPr>
          <w:rFonts w:ascii="Arial" w:cs="Arial" w:eastAsia="Arial" w:hAnsi="Arial"/>
          <w:sz w:val="18"/>
          <w:szCs w:val="18"/>
          <w:color w:val="auto"/>
        </w:rPr>
      </w:pPr>
    </w:p>
    <w:p>
      <w:pPr>
        <w:ind w:right="40" w:firstLine="818"/>
        <w:spacing w:after="0" w:line="277" w:lineRule="auto"/>
        <w:tabs>
          <w:tab w:leader="none" w:pos="108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Throughout this Agreement, the use of the singular number shall be construed to include the plural, the plural the singular, and the use of any gender shall include all genders, whenever required by the context.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60" w:name="page61"/>
    <w:bookmarkEnd w:id="60"/>
    <w:p>
      <w:pPr>
        <w:jc w:val="center"/>
        <w:ind w:right="40"/>
        <w:spacing w:after="0"/>
        <w:rPr>
          <w:sz w:val="20"/>
          <w:szCs w:val="20"/>
          <w:color w:val="auto"/>
        </w:rPr>
      </w:pPr>
      <w:r>
        <w:rPr>
          <w:rFonts w:ascii="Arial" w:cs="Arial" w:eastAsia="Arial" w:hAnsi="Arial"/>
          <w:sz w:val="18"/>
          <w:szCs w:val="18"/>
          <w:b w:val="1"/>
          <w:bCs w:val="1"/>
          <w:u w:val="single" w:color="auto"/>
          <w:color w:val="auto"/>
        </w:rPr>
        <w:t>Obligation to Execute Documents</w:t>
      </w:r>
    </w:p>
    <w:p>
      <w:pPr>
        <w:spacing w:after="0" w:line="256" w:lineRule="exact"/>
        <w:rPr>
          <w:sz w:val="20"/>
          <w:szCs w:val="20"/>
          <w:color w:val="auto"/>
        </w:rPr>
      </w:pPr>
    </w:p>
    <w:p>
      <w:pPr>
        <w:ind w:firstLine="818"/>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Each party to this agreement shall, from time to time, upon request by the other party, execute any additional documents which reasonably may be required to effectuate the purposes of this Agreement.</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Severability</w:t>
      </w:r>
    </w:p>
    <w:p>
      <w:pPr>
        <w:spacing w:after="0" w:line="256" w:lineRule="exact"/>
        <w:rPr>
          <w:sz w:val="20"/>
          <w:szCs w:val="20"/>
          <w:color w:val="auto"/>
        </w:rPr>
      </w:pPr>
    </w:p>
    <w:p>
      <w:pPr>
        <w:jc w:val="both"/>
        <w:ind w:firstLine="818"/>
        <w:spacing w:after="0" w:line="259" w:lineRule="auto"/>
        <w:tabs>
          <w:tab w:leader="none" w:pos="1088"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any provision of this Agreement is held invalid by any tribunal in a final decision from which no appeal is or can be taken, such provision shall be deemed modified to eliminate the invalid element, and, as so modified, such provision shall be deemed a part of this Agreement. If it is not possible to modify any such provision to eliminate the invalid element, such provision shall be deemed eliminated from this Agreement. The invalidity of any provision of this Agreement shall not affect the force and effect of the remaining provisions.</w:t>
      </w: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Notices and Written Consents</w:t>
      </w:r>
    </w:p>
    <w:p>
      <w:pPr>
        <w:spacing w:after="0" w:line="256" w:lineRule="exact"/>
        <w:rPr>
          <w:sz w:val="20"/>
          <w:szCs w:val="20"/>
          <w:color w:val="auto"/>
        </w:rPr>
      </w:pPr>
    </w:p>
    <w:p>
      <w:pPr>
        <w:jc w:val="both"/>
        <w:ind w:right="40" w:firstLine="818"/>
        <w:spacing w:after="0" w:line="257" w:lineRule="auto"/>
        <w:tabs>
          <w:tab w:leader="none" w:pos="1087"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notices or written consents to be given hereunder by either party to the other may be effected either by personal delivery or by registered or certified mail, return receipt requested. When mailed, notices or written consents shall be addressed to the parties at the addresses appearing above, unless a party has notified the other party of a change in address. Personal delivery to the Employer of any notice or written consent may be effected by personal delivery to the Employee's immediate supervisor at his place of employment. Notice shall be considered communicated, and consent shall be considered given, as of the date it is actually received.</w:t>
      </w:r>
    </w:p>
    <w:p>
      <w:pPr>
        <w:spacing w:after="0" w:line="2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Executed at 407 Sixth Street, Rochester, Michigan, on the day and year first above written.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Employer: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Harrell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Employee: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Terry Hamilton</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61" w:name="page62"/>
    <w:bookmarkEnd w:id="6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2" w:name="page63"/>
    <w:bookmarkEnd w:id="62"/>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2773045</wp:posOffset>
            </wp:positionH>
            <wp:positionV relativeFrom="page">
              <wp:posOffset>88900</wp:posOffset>
            </wp:positionV>
            <wp:extent cx="2023745" cy="4546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2023745" cy="454660"/>
                    </a:xfrm>
                    <a:prstGeom prst="rect">
                      <a:avLst/>
                    </a:prstGeom>
                    <a:noFill/>
                  </pic:spPr>
                </pic:pic>
              </a:graphicData>
            </a:graphic>
          </wp:anchor>
        </w:drawing>
        <w:t>EMPLOYMENT AGREEMENT</w:t>
      </w:r>
    </w:p>
    <w:p>
      <w:pPr>
        <w:spacing w:after="0" w:line="256" w:lineRule="exact"/>
        <w:rPr>
          <w:sz w:val="20"/>
          <w:szCs w:val="20"/>
          <w:color w:val="auto"/>
        </w:rPr>
      </w:pPr>
    </w:p>
    <w:p>
      <w:pPr>
        <w:ind w:right="20" w:firstLine="810"/>
        <w:spacing w:after="0" w:line="216" w:lineRule="auto"/>
        <w:rPr>
          <w:sz w:val="20"/>
          <w:szCs w:val="20"/>
          <w:color w:val="auto"/>
        </w:rPr>
      </w:pPr>
      <w:r>
        <w:rPr>
          <w:rFonts w:ascii="Arial" w:cs="Arial" w:eastAsia="Arial" w:hAnsi="Arial"/>
          <w:sz w:val="18"/>
          <w:szCs w:val="18"/>
          <w:color w:val="auto"/>
        </w:rPr>
        <w:t>THIS AGREEMENT, made and entered into this June 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day of 2008, by and between OptimizeRx Corporation, a Colorado Company, hereinafter referred to as "Employer" and David Harrell, hereinafter referred to as the "Employee".</w:t>
      </w: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Recitals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Employer is engaged in the business of internet marketing, sales, and product promotion, and desires the Employee as &amp; Chief Executive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THEREFORE AGREED:</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Term of Employment</w:t>
      </w:r>
    </w:p>
    <w:p>
      <w:pPr>
        <w:spacing w:after="0" w:line="256" w:lineRule="exact"/>
        <w:rPr>
          <w:sz w:val="20"/>
          <w:szCs w:val="20"/>
          <w:color w:val="auto"/>
        </w:rPr>
      </w:pPr>
    </w:p>
    <w:p>
      <w:pPr>
        <w:ind w:firstLine="818"/>
        <w:spacing w:after="0" w:line="277" w:lineRule="auto"/>
        <w:tabs>
          <w:tab w:leader="none" w:pos="1004"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Employer hereby employs the Employee and the Employee hereby accepts employment with the Employer beginning on the 1 st day of May, 2008. This Agreement is for a period of four years and may be terminated prior to its expiration date as hereinafter provided.</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Duties of Employee</w:t>
      </w:r>
    </w:p>
    <w:p>
      <w:pPr>
        <w:spacing w:after="0" w:line="256" w:lineRule="exact"/>
        <w:rPr>
          <w:sz w:val="20"/>
          <w:szCs w:val="20"/>
          <w:color w:val="auto"/>
        </w:rPr>
      </w:pPr>
    </w:p>
    <w:p>
      <w:pPr>
        <w:ind w:firstLine="818"/>
        <w:spacing w:after="0" w:line="277" w:lineRule="auto"/>
        <w:tabs>
          <w:tab w:leader="none" w:pos="1019"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 CEO, you are responsible for the overall planning and execution of the company, including directing senior management to reach the corporate goals and objectives as outlined by the board.</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Change in Duties</w:t>
      </w:r>
    </w:p>
    <w:p>
      <w:pPr>
        <w:spacing w:after="0" w:line="256" w:lineRule="exact"/>
        <w:rPr>
          <w:sz w:val="20"/>
          <w:szCs w:val="20"/>
          <w:color w:val="auto"/>
        </w:rPr>
      </w:pPr>
    </w:p>
    <w:p>
      <w:pPr>
        <w:jc w:val="both"/>
        <w:ind w:right="660" w:firstLine="818"/>
        <w:spacing w:after="0" w:line="264" w:lineRule="auto"/>
        <w:tabs>
          <w:tab w:leader="none" w:pos="1077"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principal duties of the Employee, as specified in Paragraph 2 of this Agreement, may be changed at any time by the mutual consent of the Employer and the Employee. Notwithstanding any such change, the employment of the Employee shall be construed as continuing under this Agreement as modified.</w:t>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Effect of Disability</w:t>
      </w:r>
    </w:p>
    <w:p>
      <w:pPr>
        <w:spacing w:after="0" w:line="256" w:lineRule="exact"/>
        <w:rPr>
          <w:sz w:val="20"/>
          <w:szCs w:val="20"/>
          <w:color w:val="auto"/>
        </w:rPr>
      </w:pPr>
    </w:p>
    <w:p>
      <w:pPr>
        <w:ind w:left="820"/>
        <w:spacing w:after="0"/>
        <w:rPr>
          <w:sz w:val="20"/>
          <w:szCs w:val="20"/>
          <w:color w:val="auto"/>
        </w:rPr>
      </w:pPr>
      <w:r>
        <w:rPr>
          <w:rFonts w:ascii="Arial" w:cs="Arial" w:eastAsia="Arial" w:hAnsi="Arial"/>
          <w:sz w:val="17"/>
          <w:szCs w:val="17"/>
          <w:color w:val="auto"/>
        </w:rPr>
        <w:t>(d) If the Employee at any time during the term of this Agreement should be unable to perform his duties under this Agreement because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0" w:right="239" w:bottom="1440" w:gutter="0" w:footer="0" w:header="0"/>
        </w:sectPr>
      </w:pPr>
    </w:p>
    <w:bookmarkStart w:id="63" w:name="page64"/>
    <w:bookmarkEnd w:id="63"/>
    <w:p>
      <w:pPr>
        <w:jc w:val="both"/>
        <w:ind w:right="680"/>
        <w:spacing w:after="0" w:line="259" w:lineRule="auto"/>
        <w:rPr>
          <w:sz w:val="20"/>
          <w:szCs w:val="20"/>
          <w:color w:val="auto"/>
        </w:rPr>
      </w:pPr>
      <w:r>
        <w:rPr>
          <w:rFonts w:ascii="Arial" w:cs="Arial" w:eastAsia="Arial" w:hAnsi="Arial"/>
          <w:sz w:val="18"/>
          <w:szCs w:val="18"/>
          <w:color w:val="auto"/>
        </w:rPr>
        <w:t>personal injury, illness, or any other cause, the Employer may assign the Employee to other duties, and the compensation to be paid thereafter to the Employee shall be determined by the Employer in its sole discretion. If the Employee is unwilling to accept the modification in duties and compensation made by the Employer, or if the Employee's inability to perform is of such extent as to make a modification of duties hereunder not feasible, this Agreement shall terminate within 90 days.</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Place of Performance</w:t>
      </w:r>
    </w:p>
    <w:p>
      <w:pPr>
        <w:spacing w:after="0" w:line="256" w:lineRule="exact"/>
        <w:rPr>
          <w:sz w:val="20"/>
          <w:szCs w:val="20"/>
          <w:color w:val="auto"/>
        </w:rPr>
      </w:pPr>
    </w:p>
    <w:p>
      <w:pPr>
        <w:jc w:val="both"/>
        <w:ind w:right="20" w:firstLine="818"/>
        <w:spacing w:after="0" w:line="264" w:lineRule="auto"/>
        <w:tabs>
          <w:tab w:leader="none" w:pos="1008"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 the commencement of this employment, the Employee shall perform his duties at the office of the Employer located at 407 Sixth Street, Rochester, MI 48307. However, at any time deemed necessary or advisable by the Employer for business purposes, the Employee shall work at such other place or places as may be determined by the Employer.</w:t>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Hours of Employment</w:t>
      </w:r>
    </w:p>
    <w:p>
      <w:pPr>
        <w:spacing w:after="0" w:line="256" w:lineRule="exact"/>
        <w:rPr>
          <w:sz w:val="20"/>
          <w:szCs w:val="20"/>
          <w:color w:val="auto"/>
        </w:rPr>
      </w:pPr>
    </w:p>
    <w:p>
      <w:pPr>
        <w:ind w:firstLine="818"/>
        <w:spacing w:after="0" w:line="277" w:lineRule="auto"/>
        <w:tabs>
          <w:tab w:leader="none" w:pos="991"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Employee shall work 8+ hours daily during the periods to be designated by the Employer and 5 days each week, for a total of 40+ hours per week actually devoted to the business of the Employer.</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Engaging in Other Employment</w:t>
      </w:r>
    </w:p>
    <w:p>
      <w:pPr>
        <w:spacing w:after="0" w:line="256" w:lineRule="exact"/>
        <w:rPr>
          <w:sz w:val="20"/>
          <w:szCs w:val="20"/>
          <w:color w:val="auto"/>
        </w:rPr>
      </w:pPr>
    </w:p>
    <w:p>
      <w:pPr>
        <w:jc w:val="both"/>
        <w:ind w:firstLine="818"/>
        <w:spacing w:after="0" w:line="259"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Employee shall devote his entire productive time, ability, and attention during the normal business hours to the business of the Employer. The Employee shall not, during the term of this Agreement, directly or indirectly, render any services of a business, commercial, or a professional nature, whether for compensation or otherwise, to any person or organization which competes, directly or indirectly, with the business of the employer, without the prior written consent of the Employer.</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Compensation</w:t>
      </w:r>
    </w:p>
    <w:p>
      <w:pPr>
        <w:spacing w:after="0" w:line="256" w:lineRule="exact"/>
        <w:rPr>
          <w:sz w:val="20"/>
          <w:szCs w:val="20"/>
          <w:color w:val="auto"/>
        </w:rPr>
      </w:pPr>
    </w:p>
    <w:p>
      <w:pPr>
        <w:jc w:val="both"/>
        <w:ind w:right="20" w:firstLine="818"/>
        <w:spacing w:after="0" w:line="257" w:lineRule="auto"/>
        <w:tabs>
          <w:tab w:leader="none" w:pos="99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As compensation for services rendered under this Agreement, the Employee shall be entitled to receive from the Employer a salary of $ 144,000 per year, payable in 12 equal installments of $12,000 on the last working day of the week in which such payment becomes due, prorated for any partial employment period. Within each twelve month anniversary, a 5% cost of living increase the monthly salary will take place along with any additional raise as determined by the board. In addition, David Harrell is eligible for additional quarterly and annual bonus compensation, stock options and stock grants based on performance metrics outlined by the board of directors.</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Employee Benefit Plans</w:t>
      </w:r>
    </w:p>
    <w:p>
      <w:pPr>
        <w:spacing w:after="0" w:line="256" w:lineRule="exact"/>
        <w:rPr>
          <w:sz w:val="20"/>
          <w:szCs w:val="20"/>
          <w:color w:val="auto"/>
        </w:rPr>
      </w:pPr>
    </w:p>
    <w:p>
      <w:pPr>
        <w:ind w:left="5660" w:right="5020" w:hanging="4842"/>
        <w:spacing w:after="0" w:line="905" w:lineRule="auto"/>
        <w:tabs>
          <w:tab w:leader="none" w:pos="989"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Employee shall be entitled to participate in any qualified pension plan,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-276860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64" w:name="page65"/>
    <w:bookmarkEnd w:id="64"/>
    <w:p>
      <w:pPr>
        <w:jc w:val="both"/>
        <w:spacing w:after="0" w:line="264" w:lineRule="auto"/>
        <w:rPr>
          <w:sz w:val="20"/>
          <w:szCs w:val="20"/>
          <w:color w:val="auto"/>
        </w:rPr>
      </w:pPr>
      <w:r>
        <w:rPr>
          <w:rFonts w:ascii="Arial" w:cs="Arial" w:eastAsia="Arial" w:hAnsi="Arial"/>
          <w:sz w:val="18"/>
          <w:szCs w:val="18"/>
          <w:color w:val="auto"/>
        </w:rPr>
        <w:t>qualified profit-sharing plan, medical or dental reimbursement plan, group term life insurance plan, or any other employee benefit plan which is presently existing or which may be established in the future by the Employer. Such right to participation shall be in accordance with the terms of the particular plans involved.</w:t>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Paid Vacations</w:t>
      </w:r>
    </w:p>
    <w:p>
      <w:pPr>
        <w:spacing w:after="0" w:line="256" w:lineRule="exact"/>
        <w:rPr>
          <w:sz w:val="20"/>
          <w:szCs w:val="20"/>
          <w:color w:val="auto"/>
        </w:rPr>
      </w:pPr>
    </w:p>
    <w:p>
      <w:pPr>
        <w:ind w:right="20" w:firstLine="818"/>
        <w:spacing w:after="0" w:line="277" w:lineRule="auto"/>
        <w:tabs>
          <w:tab w:leader="none" w:pos="101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Employee shall immediately have an annual vacation leave of 4 weeks at full pay. The time for such vacation shall be selected by the Employee, but must be approved by the Employer.</w:t>
      </w:r>
    </w:p>
    <w:p>
      <w:pPr>
        <w:spacing w:after="0" w:line="193" w:lineRule="exact"/>
        <w:rPr>
          <w:sz w:val="20"/>
          <w:szCs w:val="20"/>
          <w:color w:val="auto"/>
        </w:rPr>
      </w:pPr>
    </w:p>
    <w:p>
      <w:pPr>
        <w:ind w:left="5360"/>
        <w:spacing w:after="0"/>
        <w:rPr>
          <w:sz w:val="20"/>
          <w:szCs w:val="20"/>
          <w:color w:val="auto"/>
        </w:rPr>
      </w:pPr>
      <w:r>
        <w:rPr>
          <w:rFonts w:ascii="Arial" w:cs="Arial" w:eastAsia="Arial" w:hAnsi="Arial"/>
          <w:sz w:val="18"/>
          <w:szCs w:val="18"/>
          <w:b w:val="1"/>
          <w:bCs w:val="1"/>
          <w:u w:val="single" w:color="auto"/>
          <w:color w:val="auto"/>
        </w:rPr>
        <w:t>Holidays</w:t>
      </w:r>
    </w:p>
    <w:p>
      <w:pPr>
        <w:spacing w:after="0" w:line="25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9. The Employee shall be entitled to full payment on each traditional.</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Paid Sick Leave</w:t>
      </w:r>
    </w:p>
    <w:p>
      <w:pPr>
        <w:spacing w:after="0" w:line="256" w:lineRule="exact"/>
        <w:rPr>
          <w:sz w:val="20"/>
          <w:szCs w:val="20"/>
          <w:color w:val="auto"/>
        </w:rPr>
      </w:pPr>
    </w:p>
    <w:p>
      <w:pPr>
        <w:ind w:right="40" w:firstLine="818"/>
        <w:spacing w:after="0" w:line="277" w:lineRule="auto"/>
        <w:tabs>
          <w:tab w:leader="none" w:pos="1089"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Employee shall be entitled to 5 days per year as sick leave with full pay. Such sick leave can be accumulated up to a total of 10 days or without limitation.</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Business Expenses</w:t>
      </w:r>
    </w:p>
    <w:p>
      <w:pPr>
        <w:spacing w:after="0" w:line="256" w:lineRule="exact"/>
        <w:rPr>
          <w:sz w:val="20"/>
          <w:szCs w:val="20"/>
          <w:color w:val="auto"/>
        </w:rPr>
      </w:pPr>
    </w:p>
    <w:p>
      <w:pPr>
        <w:ind w:right="60" w:firstLine="818"/>
        <w:spacing w:after="0" w:line="277" w:lineRule="auto"/>
        <w:tabs>
          <w:tab w:leader="none" w:pos="108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Employer, in accordance with the rules and regulations that it may issue from time to time, shall reimburse the Employee for business expenses properly incurred during the performance of his duties.</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Termination of Employment</w:t>
      </w:r>
    </w:p>
    <w:p>
      <w:pPr>
        <w:spacing w:after="0" w:line="25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12.</w:t>
      </w:r>
    </w:p>
    <w:p>
      <w:pPr>
        <w:spacing w:after="0" w:line="252" w:lineRule="exact"/>
        <w:rPr>
          <w:sz w:val="20"/>
          <w:szCs w:val="20"/>
          <w:color w:val="auto"/>
        </w:rPr>
      </w:pPr>
    </w:p>
    <w:p>
      <w:pPr>
        <w:jc w:val="both"/>
        <w:ind w:right="700" w:firstLine="818"/>
        <w:spacing w:after="0" w:line="264" w:lineRule="auto"/>
        <w:tabs>
          <w:tab w:leader="none" w:pos="1094"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the Employee willfully breaches or habitually neglects the duties which he is required to perform under the terms of this Agreement, the Employer may at its option terminate this Agreement by giving 14 days' written notice of termination to the Employee, without prejudice to any other remedy to which the Employer may be entitled either at law, in equity, or under this Agreement; or</w:t>
      </w:r>
    </w:p>
    <w:p>
      <w:pPr>
        <w:spacing w:after="0" w:line="208" w:lineRule="exact"/>
        <w:rPr>
          <w:rFonts w:ascii="Arial" w:cs="Arial" w:eastAsia="Arial" w:hAnsi="Arial"/>
          <w:sz w:val="18"/>
          <w:szCs w:val="18"/>
          <w:color w:val="auto"/>
        </w:rPr>
      </w:pPr>
    </w:p>
    <w:p>
      <w:pPr>
        <w:jc w:val="both"/>
        <w:ind w:right="720" w:firstLine="818"/>
        <w:spacing w:after="0" w:line="264" w:lineRule="auto"/>
        <w:tabs>
          <w:tab w:leader="none" w:pos="1077"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employment of the Employee shall continue only for as long as the services rendered by him are satisfactory to the Employer, regardless of any other provision contained in this Agreement. The Employer shall be the sole judge as to whether the services of the Employee are satisfactory; or</w:t>
      </w:r>
    </w:p>
    <w:p>
      <w:pPr>
        <w:spacing w:after="0" w:line="208" w:lineRule="exact"/>
        <w:rPr>
          <w:rFonts w:ascii="Arial" w:cs="Arial" w:eastAsia="Arial" w:hAnsi="Arial"/>
          <w:sz w:val="18"/>
          <w:szCs w:val="18"/>
          <w:color w:val="auto"/>
        </w:rPr>
      </w:pPr>
    </w:p>
    <w:p>
      <w:pPr>
        <w:ind w:left="1060" w:hanging="242"/>
        <w:spacing w:after="0"/>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Agreement may be terminated without cause by either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65" w:name="page66"/>
    <w:bookmarkEnd w:id="65"/>
    <w:p>
      <w:pPr>
        <w:ind w:right="660"/>
        <w:spacing w:after="0" w:line="277" w:lineRule="auto"/>
        <w:rPr>
          <w:sz w:val="20"/>
          <w:szCs w:val="20"/>
          <w:color w:val="auto"/>
        </w:rPr>
      </w:pPr>
      <w:r>
        <w:rPr>
          <w:rFonts w:ascii="Arial" w:cs="Arial" w:eastAsia="Arial" w:hAnsi="Arial"/>
          <w:sz w:val="18"/>
          <w:szCs w:val="18"/>
          <w:color w:val="auto"/>
        </w:rPr>
        <w:t>party giving 3 days' notice of termination to the other party. Such termination shall not prejudice any other remedy to which either party may be entitled either at law, in equity, or under this Agreement.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Severance Pay</w:t>
      </w:r>
    </w:p>
    <w:p>
      <w:pPr>
        <w:spacing w:after="0" w:line="256" w:lineRule="exact"/>
        <w:rPr>
          <w:sz w:val="20"/>
          <w:szCs w:val="20"/>
          <w:color w:val="auto"/>
        </w:rPr>
      </w:pPr>
    </w:p>
    <w:p>
      <w:pPr>
        <w:jc w:val="both"/>
        <w:ind w:right="20" w:firstLine="818"/>
        <w:spacing w:after="0" w:line="259" w:lineRule="auto"/>
        <w:tabs>
          <w:tab w:leader="none" w:pos="1088"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the event of the termination of this Agreement prior to the completion of the term of the employment specified herein, the Employee shall be entitled to the compensation earned by him prior to the date of termination as provided for in this Agreement, computed pro rata up to and including that date. In addition, if the Employer terminates the employment of the Employee, the Employee shall be entitled to receive a cash severance pay in an amount equal to 24 month's salary.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and Waiver</w:t>
      </w:r>
    </w:p>
    <w:p>
      <w:pPr>
        <w:spacing w:after="0" w:line="256" w:lineRule="exact"/>
        <w:rPr>
          <w:sz w:val="20"/>
          <w:szCs w:val="20"/>
          <w:color w:val="auto"/>
        </w:rPr>
      </w:pPr>
    </w:p>
    <w:p>
      <w:pPr>
        <w:jc w:val="both"/>
        <w:ind w:right="20" w:firstLine="818"/>
        <w:spacing w:after="0" w:line="259" w:lineRule="auto"/>
        <w:tabs>
          <w:tab w:leader="none" w:pos="1086"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provision of this Agreement may be altered or amended by a written document signed by both parties hereto setting forth such alteration or amendment without affecting the obligations created by the other provisions of this Agreement. The Employer and the Employee agree that the failure to enforce any provision or obligation under this Agreement shall not constitute a waiver thereof or serve as a bar to the subsequent enforcement of such provision or obligation or any other provision or obligation under this Agreement.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Survival of Covenants</w:t>
      </w:r>
    </w:p>
    <w:p>
      <w:pPr>
        <w:spacing w:after="0" w:line="229" w:lineRule="exact"/>
        <w:rPr>
          <w:sz w:val="20"/>
          <w:szCs w:val="20"/>
          <w:color w:val="auto"/>
        </w:rPr>
      </w:pPr>
    </w:p>
    <w:p>
      <w:pPr>
        <w:jc w:val="both"/>
        <w:ind w:firstLine="818"/>
        <w:spacing w:after="0" w:line="264" w:lineRule="auto"/>
        <w:tabs>
          <w:tab w:leader="none" w:pos="113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This Agreement shall be binding upon any successors or heirs or representatives of the parties hereto. The restrictive covenants and promises of the Employee contained in this Agreement shall survive any termination or rescission of this Agreement unless the Employer executes a written agreement specifically releasing the Employee from such covenants.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Governing Law</w:t>
      </w:r>
    </w:p>
    <w:p>
      <w:pPr>
        <w:spacing w:after="0" w:line="256" w:lineRule="exact"/>
        <w:rPr>
          <w:sz w:val="20"/>
          <w:szCs w:val="20"/>
          <w:color w:val="auto"/>
        </w:rPr>
      </w:pPr>
    </w:p>
    <w:p>
      <w:pPr>
        <w:ind w:left="1080" w:hanging="26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This Agreement is to be construed in accordance with the laws of the State of Michigan.</w:t>
      </w:r>
    </w:p>
    <w:p>
      <w:pPr>
        <w:spacing w:after="0" w:line="248" w:lineRule="exact"/>
        <w:rPr>
          <w:rFonts w:ascii="Arial" w:cs="Arial" w:eastAsia="Arial" w:hAnsi="Arial"/>
          <w:sz w:val="18"/>
          <w:szCs w:val="18"/>
          <w:color w:val="auto"/>
        </w:rPr>
      </w:pPr>
    </w:p>
    <w:p>
      <w:pPr>
        <w:ind w:left="520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Construction</w:t>
      </w:r>
    </w:p>
    <w:p>
      <w:pPr>
        <w:spacing w:after="0" w:line="256" w:lineRule="exact"/>
        <w:rPr>
          <w:rFonts w:ascii="Arial" w:cs="Arial" w:eastAsia="Arial" w:hAnsi="Arial"/>
          <w:sz w:val="18"/>
          <w:szCs w:val="18"/>
          <w:color w:val="auto"/>
        </w:rPr>
      </w:pPr>
    </w:p>
    <w:p>
      <w:pPr>
        <w:ind w:right="40" w:firstLine="818"/>
        <w:spacing w:after="0" w:line="277" w:lineRule="auto"/>
        <w:tabs>
          <w:tab w:leader="none" w:pos="1086"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Throughout this Agreement, the use of the singular number shall be construed to include the plural, the plural the singular, and the use of any gender shall include all genders, whenever required by the context.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u w:val="single" w:color="auto"/>
          <w:color w:val="auto"/>
        </w:rPr>
        <w:t>Obligation to Execute Documents</w:t>
      </w:r>
    </w:p>
    <w:p>
      <w:pPr>
        <w:spacing w:after="0" w:line="256" w:lineRule="exact"/>
        <w:rPr>
          <w:sz w:val="20"/>
          <w:szCs w:val="20"/>
          <w:color w:val="auto"/>
        </w:rPr>
      </w:pPr>
    </w:p>
    <w:p>
      <w:pPr>
        <w:ind w:right="320" w:firstLine="818"/>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party to this Agreement shall, from time to time, upon request by the other party, execute any additional documents which reasonably may be required to effectuate the purposes of this Agreement.</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Severability</w:t>
      </w:r>
    </w:p>
    <w:p>
      <w:pPr>
        <w:spacing w:after="0" w:line="256" w:lineRule="exact"/>
        <w:rPr>
          <w:sz w:val="20"/>
          <w:szCs w:val="20"/>
          <w:color w:val="auto"/>
        </w:rPr>
      </w:pPr>
    </w:p>
    <w:p>
      <w:pPr>
        <w:jc w:val="both"/>
        <w:ind w:firstLine="818"/>
        <w:spacing w:after="0" w:line="259" w:lineRule="auto"/>
        <w:tabs>
          <w:tab w:leader="none" w:pos="1089"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any provision of this Agreement is held invalid by any tribunal in a final decision from which no appeal is or can be taken, such provision shall be deemed modified to eliminate the invalid element, and, as so modified, such provision shall be deemed a part of this Agreement. If it is not possible to modify any such provision to eliminate the invalid element, such provision shall be deemed eliminated from this Agreement. The invalidity of any provision of this Agreement shall not affect the force and effect of the remaining provisions.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Notices and Written Consents</w:t>
      </w:r>
    </w:p>
    <w:p>
      <w:pPr>
        <w:spacing w:after="0" w:line="256" w:lineRule="exact"/>
        <w:rPr>
          <w:sz w:val="20"/>
          <w:szCs w:val="20"/>
          <w:color w:val="auto"/>
        </w:rPr>
      </w:pPr>
    </w:p>
    <w:p>
      <w:pPr>
        <w:jc w:val="both"/>
        <w:ind w:right="20" w:firstLine="818"/>
        <w:spacing w:after="0" w:line="257" w:lineRule="auto"/>
        <w:tabs>
          <w:tab w:leader="none" w:pos="1081"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notices or written consents to be given hereunder by either party to the other may be effected either by personal delivery or by registered or certified mail, return receipt requested. When mailed, notices or written consents shall be addressed to the parties at the addresses appearing above, unless a party has notified the other party of a change in address. Personal delivery to the Employer of any notice or written consent may be effected by personal delivery to the Employee's immediate supervisor at his place of employment. Notice shall be considered communicated, and consent shall be considered given, as of the date it is actually received.</w:t>
      </w:r>
    </w:p>
    <w:p>
      <w:pPr>
        <w:spacing w:after="0" w:line="2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Executed at 407 Sixth Street, Rochester, Michigan, on the day and year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Employer: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Harrell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Employee: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Harrell</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67" w:name="page68"/>
    <w:bookmarkEnd w:id="6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8" w:name="page69"/>
    <w:bookmarkEnd w:id="68"/>
    <w:p>
      <w:pPr>
        <w:jc w:val="center"/>
        <w:ind w:right="-122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2773045</wp:posOffset>
            </wp:positionH>
            <wp:positionV relativeFrom="page">
              <wp:posOffset>88900</wp:posOffset>
            </wp:positionV>
            <wp:extent cx="2023745" cy="4546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2023745" cy="454660"/>
                    </a:xfrm>
                    <a:prstGeom prst="rect">
                      <a:avLst/>
                    </a:prstGeom>
                    <a:noFill/>
                  </pic:spPr>
                </pic:pic>
              </a:graphicData>
            </a:graphic>
          </wp:anchor>
        </w:drawing>
        <w:t>Employment Agreement Addendum</w:t>
      </w:r>
    </w:p>
    <w:p>
      <w:pPr>
        <w:spacing w:after="0" w:line="233" w:lineRule="exact"/>
        <w:rPr>
          <w:sz w:val="20"/>
          <w:szCs w:val="20"/>
          <w:color w:val="auto"/>
        </w:rPr>
      </w:pPr>
    </w:p>
    <w:p>
      <w:pPr>
        <w:jc w:val="center"/>
        <w:ind w:right="-1220"/>
        <w:spacing w:after="0"/>
        <w:rPr>
          <w:sz w:val="20"/>
          <w:szCs w:val="20"/>
          <w:color w:val="auto"/>
        </w:rPr>
      </w:pPr>
      <w:r>
        <w:rPr>
          <w:rFonts w:ascii="Arial" w:cs="Arial" w:eastAsia="Arial" w:hAnsi="Arial"/>
          <w:sz w:val="22"/>
          <w:szCs w:val="22"/>
          <w:color w:val="auto"/>
        </w:rPr>
        <w:t>For</w:t>
      </w:r>
    </w:p>
    <w:p>
      <w:pPr>
        <w:spacing w:after="0" w:line="233" w:lineRule="exact"/>
        <w:rPr>
          <w:sz w:val="20"/>
          <w:szCs w:val="20"/>
          <w:color w:val="auto"/>
        </w:rPr>
      </w:pPr>
    </w:p>
    <w:p>
      <w:pPr>
        <w:jc w:val="center"/>
        <w:ind w:right="-1220"/>
        <w:spacing w:after="0"/>
        <w:rPr>
          <w:sz w:val="20"/>
          <w:szCs w:val="20"/>
          <w:color w:val="auto"/>
        </w:rPr>
      </w:pPr>
      <w:r>
        <w:rPr>
          <w:rFonts w:ascii="Arial" w:cs="Arial" w:eastAsia="Arial" w:hAnsi="Arial"/>
          <w:sz w:val="22"/>
          <w:szCs w:val="22"/>
          <w:color w:val="auto"/>
        </w:rPr>
        <w:t>Terry Hamilton</w:t>
      </w:r>
    </w:p>
    <w:p>
      <w:pPr>
        <w:spacing w:after="0" w:line="233"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3/18/2010</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This addendum is to reference increase in base compensation for Terry Hamilton as follows:</w:t>
      </w:r>
    </w:p>
    <w:p>
      <w:pPr>
        <w:spacing w:after="0" w:line="268" w:lineRule="exact"/>
        <w:rPr>
          <w:sz w:val="20"/>
          <w:szCs w:val="20"/>
          <w:color w:val="auto"/>
        </w:rPr>
      </w:pPr>
    </w:p>
    <w:p>
      <w:pPr>
        <w:spacing w:after="0"/>
        <w:tabs>
          <w:tab w:leader="none" w:pos="2580" w:val="left"/>
        </w:tabs>
        <w:rPr>
          <w:sz w:val="20"/>
          <w:szCs w:val="20"/>
          <w:color w:val="auto"/>
        </w:rPr>
      </w:pPr>
      <w:r>
        <w:rPr>
          <w:rFonts w:ascii="Arial" w:cs="Arial" w:eastAsia="Arial" w:hAnsi="Arial"/>
          <w:sz w:val="22"/>
          <w:szCs w:val="22"/>
          <w:color w:val="auto"/>
        </w:rPr>
        <w:t>1-09 thru 8-09</w:t>
      </w:r>
      <w:r>
        <w:rPr>
          <w:sz w:val="20"/>
          <w:szCs w:val="20"/>
          <w:color w:val="auto"/>
        </w:rPr>
        <w:tab/>
      </w:r>
      <w:r>
        <w:rPr>
          <w:rFonts w:ascii="Arial" w:cs="Arial" w:eastAsia="Arial" w:hAnsi="Arial"/>
          <w:sz w:val="19"/>
          <w:szCs w:val="19"/>
          <w:color w:val="auto"/>
        </w:rPr>
        <w:t>Compensations was $10,500 per month</w:t>
      </w:r>
    </w:p>
    <w:p>
      <w:pPr>
        <w:spacing w:after="0" w:line="233" w:lineRule="exact"/>
        <w:rPr>
          <w:sz w:val="20"/>
          <w:szCs w:val="20"/>
          <w:color w:val="auto"/>
        </w:rPr>
      </w:pPr>
    </w:p>
    <w:p>
      <w:pPr>
        <w:spacing w:after="0"/>
        <w:tabs>
          <w:tab w:leader="none" w:pos="2440" w:val="left"/>
        </w:tabs>
        <w:rPr>
          <w:sz w:val="20"/>
          <w:szCs w:val="20"/>
          <w:color w:val="auto"/>
        </w:rPr>
      </w:pPr>
      <w:r>
        <w:rPr>
          <w:rFonts w:ascii="Arial" w:cs="Arial" w:eastAsia="Arial" w:hAnsi="Arial"/>
          <w:sz w:val="22"/>
          <w:szCs w:val="22"/>
          <w:color w:val="auto"/>
        </w:rPr>
        <w:t>9-09 to current level</w:t>
      </w:r>
      <w:r>
        <w:rPr>
          <w:sz w:val="20"/>
          <w:szCs w:val="20"/>
          <w:color w:val="auto"/>
        </w:rPr>
        <w:tab/>
      </w:r>
      <w:r>
        <w:rPr>
          <w:rFonts w:ascii="Arial" w:cs="Arial" w:eastAsia="Arial" w:hAnsi="Arial"/>
          <w:sz w:val="19"/>
          <w:szCs w:val="19"/>
          <w:color w:val="auto"/>
        </w:rPr>
        <w:t>Compensation is $12,500 per month</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Executed at 407 Sixth Street, Rochester, Michigan on 3/18/2010</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Employer: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Harrell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Employee: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Terry Hamilton</w:t>
      </w:r>
    </w:p>
    <w:p>
      <w:pPr>
        <w:sectPr>
          <w:pgSz w:w="11900" w:h="16838" w:orient="portrait"/>
          <w:cols w:equalWidth="0" w:num="1">
            <w:col w:w="10219"/>
          </w:cols>
          <w:pgMar w:left="240" w:top="1077" w:right="1440" w:bottom="1440" w:gutter="0" w:footer="0" w:header="0"/>
        </w:sectPr>
      </w:pPr>
    </w:p>
    <w:bookmarkStart w:id="69" w:name="page70"/>
    <w:bookmarkEnd w:id="69"/>
    <w:p>
      <w:pPr>
        <w:jc w:val="center"/>
        <w:ind w:right="-122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2773045</wp:posOffset>
            </wp:positionH>
            <wp:positionV relativeFrom="page">
              <wp:posOffset>88900</wp:posOffset>
            </wp:positionV>
            <wp:extent cx="2023745" cy="4546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2023745" cy="454660"/>
                    </a:xfrm>
                    <a:prstGeom prst="rect">
                      <a:avLst/>
                    </a:prstGeom>
                    <a:noFill/>
                  </pic:spPr>
                </pic:pic>
              </a:graphicData>
            </a:graphic>
          </wp:anchor>
        </w:drawing>
        <w:t>Employment Agreement Addendum</w:t>
      </w:r>
    </w:p>
    <w:p>
      <w:pPr>
        <w:spacing w:after="0" w:line="233" w:lineRule="exact"/>
        <w:rPr>
          <w:sz w:val="20"/>
          <w:szCs w:val="20"/>
          <w:color w:val="auto"/>
        </w:rPr>
      </w:pPr>
    </w:p>
    <w:p>
      <w:pPr>
        <w:jc w:val="center"/>
        <w:ind w:right="-1220"/>
        <w:spacing w:after="0"/>
        <w:rPr>
          <w:sz w:val="20"/>
          <w:szCs w:val="20"/>
          <w:color w:val="auto"/>
        </w:rPr>
      </w:pPr>
      <w:r>
        <w:rPr>
          <w:rFonts w:ascii="Arial" w:cs="Arial" w:eastAsia="Arial" w:hAnsi="Arial"/>
          <w:sz w:val="22"/>
          <w:szCs w:val="22"/>
          <w:color w:val="auto"/>
        </w:rPr>
        <w:t>For</w:t>
      </w:r>
    </w:p>
    <w:p>
      <w:pPr>
        <w:spacing w:after="0" w:line="233" w:lineRule="exact"/>
        <w:rPr>
          <w:sz w:val="20"/>
          <w:szCs w:val="20"/>
          <w:color w:val="auto"/>
        </w:rPr>
      </w:pPr>
    </w:p>
    <w:p>
      <w:pPr>
        <w:jc w:val="center"/>
        <w:ind w:right="-1220"/>
        <w:spacing w:after="0"/>
        <w:rPr>
          <w:sz w:val="20"/>
          <w:szCs w:val="20"/>
          <w:color w:val="auto"/>
        </w:rPr>
      </w:pPr>
      <w:r>
        <w:rPr>
          <w:rFonts w:ascii="Arial" w:cs="Arial" w:eastAsia="Arial" w:hAnsi="Arial"/>
          <w:sz w:val="22"/>
          <w:szCs w:val="22"/>
          <w:color w:val="auto"/>
        </w:rPr>
        <w:t>David Harrell</w:t>
      </w:r>
    </w:p>
    <w:p>
      <w:pPr>
        <w:spacing w:after="0" w:line="233"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3/18/2010</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This addendum is to reference increase in base compensation for David Harrell as follows:</w:t>
      </w:r>
    </w:p>
    <w:p>
      <w:pPr>
        <w:spacing w:after="0" w:line="268" w:lineRule="exact"/>
        <w:rPr>
          <w:sz w:val="20"/>
          <w:szCs w:val="20"/>
          <w:color w:val="auto"/>
        </w:rPr>
      </w:pPr>
    </w:p>
    <w:p>
      <w:pPr>
        <w:spacing w:after="0"/>
        <w:tabs>
          <w:tab w:leader="none" w:pos="2880" w:val="left"/>
        </w:tabs>
        <w:rPr>
          <w:sz w:val="20"/>
          <w:szCs w:val="20"/>
          <w:color w:val="auto"/>
        </w:rPr>
      </w:pPr>
      <w:r>
        <w:rPr>
          <w:rFonts w:ascii="Arial" w:cs="Arial" w:eastAsia="Arial" w:hAnsi="Arial"/>
          <w:sz w:val="22"/>
          <w:szCs w:val="22"/>
          <w:color w:val="auto"/>
        </w:rPr>
        <w:t>6-09 to current level</w:t>
      </w:r>
      <w:r>
        <w:rPr>
          <w:sz w:val="20"/>
          <w:szCs w:val="20"/>
          <w:color w:val="auto"/>
        </w:rPr>
        <w:tab/>
      </w:r>
      <w:r>
        <w:rPr>
          <w:rFonts w:ascii="Arial" w:cs="Arial" w:eastAsia="Arial" w:hAnsi="Arial"/>
          <w:sz w:val="19"/>
          <w:szCs w:val="19"/>
          <w:color w:val="auto"/>
        </w:rPr>
        <w:t>Compensations is $12,667 per month</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Executed at 407 Sixth Street, Rochester, Michigan on 3/18/2010</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Employer: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Harrell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Employee: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Harrell</w:t>
      </w:r>
    </w:p>
    <w:sectPr>
      <w:pgSz w:w="11900" w:h="16838" w:orient="portrait"/>
      <w:cols w:equalWidth="0" w:num="1">
        <w:col w:w="10219"/>
      </w:cols>
      <w:pgMar w:left="240" w:top="10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1]"/>
      <w:numFmt w:val="upperLetter"/>
      <w:start w:val="24"/>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o"/>
      <w:numFmt w:val="bullet"/>
      <w:start w:val="1"/>
    </w:lvl>
  </w:abstractNum>
  <w:abstractNum w:abstractNumId="3">
    <w:nsid w:val="153EA438"/>
    <w:multiLevelType w:val="hybridMultilevel"/>
    <w:lvl w:ilvl="0">
      <w:lvlJc w:val="left"/>
      <w:lvlText w:val="o"/>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1."/>
      <w:numFmt w:val="decimal"/>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1."/>
      <w:numFmt w:val="decimal"/>
      <w:start w:val="1"/>
    </w:lvl>
  </w:abstractNum>
  <w:abstractNum w:abstractNumId="10">
    <w:nsid w:val="2CD89A32"/>
    <w:multiLevelType w:val="hybridMultilevel"/>
    <w:lvl w:ilvl="0">
      <w:lvlJc w:val="left"/>
      <w:lvlText w:val="(%1)"/>
      <w:numFmt w:val="decimal"/>
      <w:start w:val="1"/>
    </w:lvl>
  </w:abstractNum>
  <w:abstractNum w:abstractNumId="11">
    <w:nsid w:val="57E4CCAF"/>
    <w:multiLevelType w:val="hybridMultilevel"/>
    <w:lvl w:ilvl="0">
      <w:lvlJc w:val="left"/>
      <w:lvlText w:val="(%1)"/>
      <w:numFmt w:val="decimal"/>
      <w:start w:val="1"/>
    </w:lvl>
  </w:abstractNum>
  <w:abstractNum w:abstractNumId="12">
    <w:nsid w:val="7A6D8D3C"/>
    <w:multiLevelType w:val="hybridMultilevel"/>
    <w:lvl w:ilvl="0">
      <w:lvlJc w:val="left"/>
      <w:lvlText w:val="(%1)"/>
      <w:numFmt w:val="decimal"/>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1)"/>
      <w:numFmt w:val="lowerLetter"/>
      <w:start w:val="1"/>
    </w:lvl>
  </w:abstractNum>
  <w:abstractNum w:abstractNumId="15">
    <w:nsid w:val="6DE91B18"/>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6">
    <w:nsid w:val="38437FDB"/>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7">
    <w:nsid w:val="7644A45C"/>
    <w:multiLevelType w:val="hybridMultilevel"/>
    <w:lvl w:ilvl="0">
      <w:lvlJc w:val="left"/>
      <w:lvlText w:val="%1."/>
      <w:numFmt w:val="decimal"/>
      <w:start w:val="1"/>
    </w:lvl>
  </w:abstractNum>
  <w:abstractNum w:abstractNumId="18">
    <w:nsid w:val="32FFF902"/>
    <w:multiLevelType w:val="hybridMultilevel"/>
    <w:lvl w:ilvl="0">
      <w:lvlJc w:val="left"/>
      <w:lvlText w:val="%1."/>
      <w:numFmt w:val="decimal"/>
      <w:start w:val="2"/>
    </w:lvl>
  </w:abstractNum>
  <w:abstractNum w:abstractNumId="19">
    <w:nsid w:val="684A481A"/>
    <w:multiLevelType w:val="hybridMultilevel"/>
    <w:lvl w:ilvl="0">
      <w:lvlJc w:val="left"/>
      <w:lvlText w:val="(%1)"/>
      <w:numFmt w:val="lowerLetter"/>
      <w:start w:val="3"/>
    </w:lvl>
  </w:abstractNum>
  <w:abstractNum w:abstractNumId="20">
    <w:nsid w:val="579478FE"/>
    <w:multiLevelType w:val="hybridMultilevel"/>
    <w:lvl w:ilvl="0">
      <w:lvlJc w:val="left"/>
      <w:lvlText w:val="(%1)"/>
      <w:numFmt w:val="lowerLetter"/>
      <w:start w:val="4"/>
    </w:lvl>
  </w:abstractNum>
  <w:abstractNum w:abstractNumId="21">
    <w:nsid w:val="749ABB43"/>
    <w:multiLevelType w:val="hybridMultilevel"/>
    <w:lvl w:ilvl="0">
      <w:lvlJc w:val="left"/>
      <w:lvlText w:val="%1."/>
      <w:numFmt w:val="decimal"/>
      <w:start w:val="3"/>
    </w:lvl>
  </w:abstractNum>
  <w:abstractNum w:abstractNumId="22">
    <w:nsid w:val="3DC240FB"/>
    <w:multiLevelType w:val="hybridMultilevel"/>
    <w:lvl w:ilvl="0">
      <w:lvlJc w:val="left"/>
      <w:lvlText w:val="%1."/>
      <w:numFmt w:val="decimal"/>
      <w:start w:val="4"/>
    </w:lvl>
  </w:abstractNum>
  <w:abstractNum w:abstractNumId="23">
    <w:nsid w:val="1BA026FA"/>
    <w:multiLevelType w:val="hybridMultilevel"/>
    <w:lvl w:ilvl="0">
      <w:lvlJc w:val="left"/>
      <w:lvlText w:val="%1."/>
      <w:numFmt w:val="decimal"/>
      <w:start w:val="5"/>
    </w:lvl>
  </w:abstractNum>
  <w:abstractNum w:abstractNumId="24">
    <w:nsid w:val="79A1DEAA"/>
    <w:multiLevelType w:val="hybridMultilevel"/>
    <w:lvl w:ilvl="0">
      <w:lvlJc w:val="left"/>
      <w:lvlText w:val="%1."/>
      <w:numFmt w:val="decimal"/>
      <w:start w:val="6"/>
    </w:lvl>
  </w:abstractNum>
  <w:abstractNum w:abstractNumId="25">
    <w:nsid w:val="75C6C33A"/>
    <w:multiLevelType w:val="hybridMultilevel"/>
    <w:lvl w:ilvl="0">
      <w:lvlJc w:val="left"/>
      <w:lvlText w:val="%1."/>
      <w:numFmt w:val="decimal"/>
      <w:start w:val="7"/>
    </w:lvl>
  </w:abstractNum>
  <w:abstractNum w:abstractNumId="26">
    <w:nsid w:val="12E685FB"/>
    <w:multiLevelType w:val="hybridMultilevel"/>
    <w:lvl w:ilvl="0">
      <w:lvlJc w:val="left"/>
      <w:lvlText w:val="%1."/>
      <w:numFmt w:val="decimal"/>
      <w:start w:val="8"/>
    </w:lvl>
  </w:abstractNum>
  <w:abstractNum w:abstractNumId="27">
    <w:nsid w:val="70C6A529"/>
    <w:multiLevelType w:val="hybridMultilevel"/>
    <w:lvl w:ilvl="0">
      <w:lvlJc w:val="left"/>
      <w:lvlText w:val="%1"/>
      <w:numFmt w:val="decimal"/>
      <w:start w:val="1"/>
    </w:lvl>
    <w:lvl w:ilvl="1">
      <w:lvlJc w:val="left"/>
      <w:lvlText w:val="%2."/>
      <w:numFmt w:val="decimal"/>
      <w:start w:val="9"/>
    </w:lvl>
  </w:abstractNum>
  <w:abstractNum w:abstractNumId="28">
    <w:nsid w:val="520EEDD1"/>
    <w:multiLevelType w:val="hybridMultilevel"/>
    <w:lvl w:ilvl="0">
      <w:lvlJc w:val="left"/>
      <w:lvlText w:val="%1."/>
      <w:numFmt w:val="decimal"/>
      <w:start w:val="10"/>
    </w:lvl>
    <w:lvl w:ilvl="1">
      <w:lvlJc w:val="left"/>
      <w:lvlText w:val="%2"/>
      <w:numFmt w:val="decimal"/>
      <w:start w:val="1"/>
    </w:lvl>
  </w:abstractNum>
  <w:abstractNum w:abstractNumId="29">
    <w:nsid w:val="374A3FE6"/>
    <w:multiLevelType w:val="hybridMultilevel"/>
    <w:lvl w:ilvl="0">
      <w:lvlJc w:val="left"/>
      <w:lvlText w:val="%1."/>
      <w:numFmt w:val="decimal"/>
      <w:start w:val="11"/>
    </w:lvl>
  </w:abstractNum>
  <w:abstractNum w:abstractNumId="30">
    <w:nsid w:val="4F4EF005"/>
    <w:multiLevelType w:val="hybridMultilevel"/>
    <w:lvl w:ilvl="0">
      <w:lvlJc w:val="left"/>
      <w:lvlText w:val="(%1)"/>
      <w:numFmt w:val="lowerLetter"/>
      <w:start w:val="1"/>
    </w:lvl>
  </w:abstractNum>
  <w:abstractNum w:abstractNumId="31">
    <w:nsid w:val="23F9C13C"/>
    <w:multiLevelType w:val="hybridMultilevel"/>
    <w:lvl w:ilvl="0">
      <w:lvlJc w:val="left"/>
      <w:lvlText w:val="%1."/>
      <w:numFmt w:val="decimal"/>
      <w:start w:val="13"/>
    </w:lvl>
  </w:abstractNum>
  <w:abstractNum w:abstractNumId="32">
    <w:nsid w:val="649BB77C"/>
    <w:multiLevelType w:val="hybridMultilevel"/>
    <w:lvl w:ilvl="0">
      <w:lvlJc w:val="left"/>
      <w:lvlText w:val="%1."/>
      <w:numFmt w:val="decimal"/>
      <w:start w:val="14"/>
    </w:lvl>
  </w:abstractNum>
  <w:abstractNum w:abstractNumId="33">
    <w:nsid w:val="275AC794"/>
    <w:multiLevelType w:val="hybridMultilevel"/>
    <w:lvl w:ilvl="0">
      <w:lvlJc w:val="left"/>
      <w:lvlText w:val="%1."/>
      <w:numFmt w:val="decimal"/>
      <w:start w:val="15"/>
    </w:lvl>
  </w:abstractNum>
  <w:abstractNum w:abstractNumId="34">
    <w:nsid w:val="39386575"/>
    <w:multiLevelType w:val="hybridMultilevel"/>
    <w:lvl w:ilvl="0">
      <w:lvlJc w:val="left"/>
      <w:lvlText w:val="%1."/>
      <w:numFmt w:val="decimal"/>
      <w:start w:val="16"/>
    </w:lvl>
  </w:abstractNum>
  <w:abstractNum w:abstractNumId="35">
    <w:nsid w:val="1CF10FD8"/>
    <w:multiLevelType w:val="hybridMultilevel"/>
    <w:lvl w:ilvl="0">
      <w:lvlJc w:val="left"/>
      <w:lvlText w:val="%1."/>
      <w:numFmt w:val="decimal"/>
      <w:start w:val="18"/>
    </w:lvl>
  </w:abstractNum>
  <w:abstractNum w:abstractNumId="36">
    <w:nsid w:val="180115BE"/>
    <w:multiLevelType w:val="hybridMultilevel"/>
    <w:lvl w:ilvl="0">
      <w:lvlJc w:val="left"/>
      <w:lvlText w:val="%1."/>
      <w:numFmt w:val="decimal"/>
      <w:start w:val="19"/>
    </w:lvl>
  </w:abstractNum>
  <w:abstractNum w:abstractNumId="37">
    <w:nsid w:val="235BA861"/>
    <w:multiLevelType w:val="hybridMultilevel"/>
    <w:lvl w:ilvl="0">
      <w:lvlJc w:val="left"/>
      <w:lvlText w:val="%1."/>
      <w:numFmt w:val="decimal"/>
      <w:start w:val="20"/>
    </w:lvl>
  </w:abstractNum>
  <w:abstractNum w:abstractNumId="38">
    <w:nsid w:val="47398C89"/>
    <w:multiLevelType w:val="hybridMultilevel"/>
    <w:lvl w:ilvl="0">
      <w:lvlJc w:val="left"/>
      <w:lvlText w:val="%1."/>
      <w:numFmt w:val="decimal"/>
      <w:start w:val="1"/>
    </w:lvl>
  </w:abstractNum>
  <w:abstractNum w:abstractNumId="39">
    <w:nsid w:val="354FE9F9"/>
    <w:multiLevelType w:val="hybridMultilevel"/>
    <w:lvl w:ilvl="0">
      <w:lvlJc w:val="left"/>
      <w:lvlText w:val="%1."/>
      <w:numFmt w:val="decimal"/>
      <w:start w:val="1"/>
    </w:lvl>
  </w:abstractNum>
  <w:abstractNum w:abstractNumId="40">
    <w:nsid w:val="15B5AF5C"/>
    <w:multiLevelType w:val="hybridMultilevel"/>
    <w:lvl w:ilvl="0">
      <w:lvlJc w:val="left"/>
      <w:lvlText w:val="%1."/>
      <w:numFmt w:val="decimal"/>
      <w:start w:val="2"/>
    </w:lvl>
  </w:abstractNum>
  <w:abstractNum w:abstractNumId="41">
    <w:nsid w:val="741226BB"/>
    <w:multiLevelType w:val="hybridMultilevel"/>
    <w:lvl w:ilvl="0">
      <w:lvlJc w:val="left"/>
      <w:lvlText w:val="(%1)"/>
      <w:numFmt w:val="lowerLetter"/>
      <w:start w:val="3"/>
    </w:lvl>
  </w:abstractNum>
  <w:abstractNum w:abstractNumId="42">
    <w:nsid w:val="D34B6A8"/>
    <w:multiLevelType w:val="hybridMultilevel"/>
    <w:lvl w:ilvl="0">
      <w:lvlJc w:val="left"/>
      <w:lvlText w:val="%1."/>
      <w:numFmt w:val="decimal"/>
      <w:start w:val="3"/>
    </w:lvl>
  </w:abstractNum>
  <w:abstractNum w:abstractNumId="43">
    <w:nsid w:val="10233C99"/>
    <w:multiLevelType w:val="hybridMultilevel"/>
    <w:lvl w:ilvl="0">
      <w:lvlJc w:val="left"/>
      <w:lvlText w:val="%1."/>
      <w:numFmt w:val="decimal"/>
      <w:start w:val="4"/>
    </w:lvl>
  </w:abstractNum>
  <w:abstractNum w:abstractNumId="44">
    <w:nsid w:val="3F6AB60F"/>
    <w:multiLevelType w:val="hybridMultilevel"/>
    <w:lvl w:ilvl="0">
      <w:lvlJc w:val="left"/>
      <w:lvlText w:val="%1."/>
      <w:numFmt w:val="decimal"/>
      <w:start w:val="5"/>
    </w:lvl>
  </w:abstractNum>
  <w:abstractNum w:abstractNumId="45">
    <w:nsid w:val="61574095"/>
    <w:multiLevelType w:val="hybridMultilevel"/>
    <w:lvl w:ilvl="0">
      <w:lvlJc w:val="left"/>
      <w:lvlText w:val="%1."/>
      <w:numFmt w:val="decimal"/>
      <w:start w:val="6"/>
    </w:lvl>
  </w:abstractNum>
  <w:abstractNum w:abstractNumId="46">
    <w:nsid w:val="7E0C57B1"/>
    <w:multiLevelType w:val="hybridMultilevel"/>
    <w:lvl w:ilvl="0">
      <w:lvlJc w:val="left"/>
      <w:lvlText w:val="%1."/>
      <w:numFmt w:val="decimal"/>
      <w:start w:val="7"/>
    </w:lvl>
  </w:abstractNum>
  <w:abstractNum w:abstractNumId="47">
    <w:nsid w:val="77AE35EB"/>
    <w:multiLevelType w:val="hybridMultilevel"/>
    <w:lvl w:ilvl="0">
      <w:lvlJc w:val="left"/>
      <w:lvlText w:val="%1."/>
      <w:numFmt w:val="decimal"/>
      <w:start w:val="8"/>
    </w:lvl>
  </w:abstractNum>
  <w:abstractNum w:abstractNumId="48">
    <w:nsid w:val="579BE4F1"/>
    <w:multiLevelType w:val="hybridMultilevel"/>
    <w:lvl w:ilvl="0">
      <w:lvlJc w:val="left"/>
      <w:lvlText w:val="%1."/>
      <w:numFmt w:val="decimal"/>
      <w:start w:val="10"/>
    </w:lvl>
  </w:abstractNum>
  <w:abstractNum w:abstractNumId="49">
    <w:nsid w:val="310C50B3"/>
    <w:multiLevelType w:val="hybridMultilevel"/>
    <w:lvl w:ilvl="0">
      <w:lvlJc w:val="left"/>
      <w:lvlText w:val="%1."/>
      <w:numFmt w:val="decimal"/>
      <w:start w:val="11"/>
    </w:lvl>
  </w:abstractNum>
  <w:abstractNum w:abstractNumId="50">
    <w:nsid w:val="5FF87E05"/>
    <w:multiLevelType w:val="hybridMultilevel"/>
    <w:lvl w:ilvl="0">
      <w:lvlJc w:val="left"/>
      <w:lvlText w:val="(%1)"/>
      <w:numFmt w:val="lowerLetter"/>
      <w:start w:val="1"/>
    </w:lvl>
  </w:abstractNum>
  <w:abstractNum w:abstractNumId="51">
    <w:nsid w:val="2F305DEF"/>
    <w:multiLevelType w:val="hybridMultilevel"/>
    <w:lvl w:ilvl="0">
      <w:lvlJc w:val="left"/>
      <w:lvlText w:val="(%1)"/>
      <w:numFmt w:val="lowerLetter"/>
      <w:start w:val="3"/>
    </w:lvl>
  </w:abstractNum>
  <w:abstractNum w:abstractNumId="52">
    <w:nsid w:val="25A70BF7"/>
    <w:multiLevelType w:val="hybridMultilevel"/>
    <w:lvl w:ilvl="0">
      <w:lvlJc w:val="left"/>
      <w:lvlText w:val="%1."/>
      <w:numFmt w:val="decimal"/>
      <w:start w:val="13"/>
    </w:lvl>
  </w:abstractNum>
  <w:abstractNum w:abstractNumId="53">
    <w:nsid w:val="1DBABF00"/>
    <w:multiLevelType w:val="hybridMultilevel"/>
    <w:lvl w:ilvl="0">
      <w:lvlJc w:val="left"/>
      <w:lvlText w:val="%1."/>
      <w:numFmt w:val="decimal"/>
      <w:start w:val="14"/>
    </w:lvl>
  </w:abstractNum>
  <w:abstractNum w:abstractNumId="54">
    <w:nsid w:val="4AD084E9"/>
    <w:multiLevelType w:val="hybridMultilevel"/>
    <w:lvl w:ilvl="0">
      <w:lvlJc w:val="left"/>
      <w:lvlText w:val="%1."/>
      <w:numFmt w:val="decimal"/>
      <w:start w:val="15"/>
    </w:lvl>
  </w:abstractNum>
  <w:abstractNum w:abstractNumId="55">
    <w:nsid w:val="1F48EAA1"/>
    <w:multiLevelType w:val="hybridMultilevel"/>
    <w:lvl w:ilvl="0">
      <w:lvlJc w:val="left"/>
      <w:lvlText w:val="%1."/>
      <w:numFmt w:val="decimal"/>
      <w:start w:val="16"/>
    </w:lvl>
  </w:abstractNum>
  <w:abstractNum w:abstractNumId="56">
    <w:nsid w:val="1381823A"/>
    <w:multiLevelType w:val="hybridMultilevel"/>
    <w:lvl w:ilvl="0">
      <w:lvlJc w:val="left"/>
      <w:lvlText w:val="%1."/>
      <w:numFmt w:val="decimal"/>
      <w:start w:val="18"/>
    </w:lvl>
  </w:abstractNum>
  <w:abstractNum w:abstractNumId="57">
    <w:nsid w:val="5DB70AE5"/>
    <w:multiLevelType w:val="hybridMultilevel"/>
    <w:lvl w:ilvl="0">
      <w:lvlJc w:val="left"/>
      <w:lvlText w:val="%1."/>
      <w:numFmt w:val="decimal"/>
      <w:start w:val="19"/>
    </w:lvl>
  </w:abstractNum>
  <w:abstractNum w:abstractNumId="58">
    <w:nsid w:val="100F8FCA"/>
    <w:multiLevelType w:val="hybridMultilevel"/>
    <w:lvl w:ilvl="0">
      <w:lvlJc w:val="left"/>
      <w:lvlText w:val="%1."/>
      <w:numFmt w:val="decimal"/>
      <w:start w:val="20"/>
    </w:lvl>
  </w:abstractNum>
  <w:abstractNum w:abstractNumId="59">
    <w:nsid w:val="6590700B"/>
    <w:multiLevelType w:val="hybridMultilevel"/>
    <w:lvl w:ilvl="0">
      <w:lvlJc w:val="left"/>
      <w:lvlText w:val="%1."/>
      <w:numFmt w:val="decimal"/>
      <w:start w:val="1"/>
    </w:lvl>
  </w:abstractNum>
  <w:abstractNum w:abstractNumId="60">
    <w:nsid w:val="15014ACB"/>
    <w:multiLevelType w:val="hybridMultilevel"/>
    <w:lvl w:ilvl="0">
      <w:lvlJc w:val="left"/>
      <w:lvlText w:val="%1."/>
      <w:numFmt w:val="decimal"/>
      <w:start w:val="2"/>
    </w:lvl>
  </w:abstractNum>
  <w:abstractNum w:abstractNumId="61">
    <w:nsid w:val="5F5E7FD0"/>
    <w:multiLevelType w:val="hybridMultilevel"/>
    <w:lvl w:ilvl="0">
      <w:lvlJc w:val="left"/>
      <w:lvlText w:val="(%1)"/>
      <w:numFmt w:val="lowerLetter"/>
      <w:start w:val="3"/>
    </w:lvl>
  </w:abstractNum>
  <w:abstractNum w:abstractNumId="62">
    <w:nsid w:val="98A3148"/>
    <w:multiLevelType w:val="hybridMultilevel"/>
    <w:lvl w:ilvl="0">
      <w:lvlJc w:val="left"/>
      <w:lvlText w:val="%1."/>
      <w:numFmt w:val="decimal"/>
      <w:start w:val="3"/>
    </w:lvl>
  </w:abstractNum>
  <w:abstractNum w:abstractNumId="63">
    <w:nsid w:val="799D0247"/>
    <w:multiLevelType w:val="hybridMultilevel"/>
    <w:lvl w:ilvl="0">
      <w:lvlJc w:val="left"/>
      <w:lvlText w:val="%1."/>
      <w:numFmt w:val="decimal"/>
      <w:start w:val="4"/>
    </w:lvl>
  </w:abstractNum>
  <w:abstractNum w:abstractNumId="64">
    <w:nsid w:val="6B94764"/>
    <w:multiLevelType w:val="hybridMultilevel"/>
    <w:lvl w:ilvl="0">
      <w:lvlJc w:val="left"/>
      <w:lvlText w:val="%1."/>
      <w:numFmt w:val="decimal"/>
      <w:start w:val="5"/>
    </w:lvl>
  </w:abstractNum>
  <w:abstractNum w:abstractNumId="65">
    <w:nsid w:val="42C296BD"/>
    <w:multiLevelType w:val="hybridMultilevel"/>
    <w:lvl w:ilvl="0">
      <w:lvlJc w:val="left"/>
      <w:lvlText w:val="%1."/>
      <w:numFmt w:val="decimal"/>
      <w:start w:val="6"/>
    </w:lvl>
  </w:abstractNum>
  <w:abstractNum w:abstractNumId="66">
    <w:nsid w:val="168E121F"/>
    <w:multiLevelType w:val="hybridMultilevel"/>
    <w:lvl w:ilvl="0">
      <w:lvlJc w:val="left"/>
      <w:lvlText w:val="%1."/>
      <w:numFmt w:val="decimal"/>
      <w:start w:val="7"/>
    </w:lvl>
  </w:abstractNum>
  <w:abstractNum w:abstractNumId="67">
    <w:nsid w:val="1EBA5D23"/>
    <w:multiLevelType w:val="hybridMultilevel"/>
    <w:lvl w:ilvl="0">
      <w:lvlJc w:val="left"/>
      <w:lvlText w:val="%1."/>
      <w:numFmt w:val="decimal"/>
      <w:start w:val="8"/>
    </w:lvl>
  </w:abstractNum>
  <w:abstractNum w:abstractNumId="68">
    <w:nsid w:val="661E3F1E"/>
    <w:multiLevelType w:val="hybridMultilevel"/>
    <w:lvl w:ilvl="0">
      <w:lvlJc w:val="left"/>
      <w:lvlText w:val="%1."/>
      <w:numFmt w:val="decimal"/>
      <w:start w:val="10"/>
    </w:lvl>
  </w:abstractNum>
  <w:abstractNum w:abstractNumId="69">
    <w:nsid w:val="5DC79EA8"/>
    <w:multiLevelType w:val="hybridMultilevel"/>
    <w:lvl w:ilvl="0">
      <w:lvlJc w:val="left"/>
      <w:lvlText w:val="%1."/>
      <w:numFmt w:val="decimal"/>
      <w:start w:val="11"/>
    </w:lvl>
  </w:abstractNum>
  <w:abstractNum w:abstractNumId="70">
    <w:nsid w:val="540A471C"/>
    <w:multiLevelType w:val="hybridMultilevel"/>
    <w:lvl w:ilvl="0">
      <w:lvlJc w:val="left"/>
      <w:lvlText w:val="(%1)"/>
      <w:numFmt w:val="lowerLetter"/>
      <w:start w:val="1"/>
    </w:lvl>
  </w:abstractNum>
  <w:abstractNum w:abstractNumId="71">
    <w:nsid w:val="7BD3EE7B"/>
    <w:multiLevelType w:val="hybridMultilevel"/>
    <w:lvl w:ilvl="0">
      <w:lvlJc w:val="left"/>
      <w:lvlText w:val="%1."/>
      <w:numFmt w:val="decimal"/>
      <w:start w:val="13"/>
    </w:lvl>
  </w:abstractNum>
  <w:abstractNum w:abstractNumId="72">
    <w:nsid w:val="51D9C564"/>
    <w:multiLevelType w:val="hybridMultilevel"/>
    <w:lvl w:ilvl="0">
      <w:lvlJc w:val="left"/>
      <w:lvlText w:val="%1."/>
      <w:numFmt w:val="decimal"/>
      <w:start w:val="14"/>
    </w:lvl>
  </w:abstractNum>
  <w:abstractNum w:abstractNumId="73">
    <w:nsid w:val="613EFDC5"/>
    <w:multiLevelType w:val="hybridMultilevel"/>
    <w:lvl w:ilvl="0">
      <w:lvlJc w:val="left"/>
      <w:lvlText w:val="%1."/>
      <w:numFmt w:val="decimal"/>
      <w:start w:val="15"/>
    </w:lvl>
  </w:abstractNum>
  <w:abstractNum w:abstractNumId="74">
    <w:nsid w:val="BF72B14"/>
    <w:multiLevelType w:val="hybridMultilevel"/>
    <w:lvl w:ilvl="0">
      <w:lvlJc w:val="left"/>
      <w:lvlText w:val="%1."/>
      <w:numFmt w:val="decimal"/>
      <w:start w:val="16"/>
    </w:lvl>
  </w:abstractNum>
  <w:abstractNum w:abstractNumId="75">
    <w:nsid w:val="11447B73"/>
    <w:multiLevelType w:val="hybridMultilevel"/>
    <w:lvl w:ilvl="0">
      <w:lvlJc w:val="left"/>
      <w:lvlText w:val="%1."/>
      <w:numFmt w:val="decimal"/>
      <w:start w:val="18"/>
    </w:lvl>
  </w:abstractNum>
  <w:abstractNum w:abstractNumId="76">
    <w:nsid w:val="42963E5A"/>
    <w:multiLevelType w:val="hybridMultilevel"/>
    <w:lvl w:ilvl="0">
      <w:lvlJc w:val="left"/>
      <w:lvlText w:val="%1."/>
      <w:numFmt w:val="decimal"/>
      <w:start w:val="19"/>
    </w:lvl>
  </w:abstractNum>
  <w:abstractNum w:abstractNumId="77">
    <w:nsid w:val="A0382C5"/>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2019-12-11T05:01:25Z</dcterms:created>
  <dcterms:modified xsi:type="dcterms:W3CDTF">2019-12-11T05:01:25Z</dcterms:modified>
</cp:coreProperties>
</file>