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9"/>
          </w:tcPr>
          <w:p>
            <w:pPr>
              <w:jc w:val="center"/>
              <w:ind w:left="311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September 9, 2020</w:t>
            </w:r>
          </w:p>
        </w:tc>
        <w:tc>
          <w:tcPr>
            <w:tcW w:w="3180" w:type="dxa"/>
            <w:vAlign w:val="bottom"/>
          </w:tcPr>
          <w:p>
            <w:pPr>
              <w:spacing w:after="0"/>
              <w:rPr>
                <w:sz w:val="20"/>
                <w:szCs w:val="20"/>
                <w:color w:val="auto"/>
              </w:rPr>
            </w:pPr>
          </w:p>
        </w:tc>
      </w:tr>
      <w:tr>
        <w:trPr>
          <w:trHeight w:val="391"/>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40" w:type="dxa"/>
            <w:vAlign w:val="bottom"/>
            <w:gridSpan w:val="6"/>
          </w:tcPr>
          <w:p>
            <w:pPr>
              <w:jc w:val="center"/>
              <w:ind w:right="1540"/>
              <w:spacing w:after="0"/>
              <w:rPr>
                <w:sz w:val="20"/>
                <w:szCs w:val="20"/>
                <w:color w:val="auto"/>
              </w:rPr>
            </w:pPr>
            <w:r>
              <w:rPr>
                <w:rFonts w:ascii="Times New Roman" w:cs="Times New Roman" w:eastAsia="Times New Roman" w:hAnsi="Times New Roman"/>
                <w:sz w:val="18"/>
                <w:szCs w:val="18"/>
                <w:color w:val="auto"/>
              </w:rPr>
              <w:t>OptimizeRx Corporation</w:t>
            </w:r>
          </w:p>
        </w:tc>
        <w:tc>
          <w:tcPr>
            <w:tcW w:w="3180" w:type="dxa"/>
            <w:vAlign w:val="bottom"/>
          </w:tcPr>
          <w:p>
            <w:pPr>
              <w:spacing w:after="0"/>
              <w:rPr>
                <w:sz w:val="24"/>
                <w:szCs w:val="24"/>
                <w:color w:val="auto"/>
              </w:rPr>
            </w:pPr>
          </w:p>
        </w:tc>
      </w:tr>
      <w:tr>
        <w:trPr>
          <w:trHeight w:val="20"/>
        </w:trPr>
        <w:tc>
          <w:tcPr>
            <w:tcW w:w="37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37"/>
        </w:trPr>
        <w:tc>
          <w:tcPr>
            <w:tcW w:w="3720" w:type="dxa"/>
            <w:vAlign w:val="bottom"/>
          </w:tcPr>
          <w:p>
            <w:pPr>
              <w:spacing w:after="0"/>
              <w:rPr>
                <w:sz w:val="20"/>
                <w:szCs w:val="20"/>
                <w:color w:val="auto"/>
              </w:rPr>
            </w:pPr>
          </w:p>
        </w:tc>
        <w:tc>
          <w:tcPr>
            <w:tcW w:w="4340" w:type="dxa"/>
            <w:vAlign w:val="bottom"/>
            <w:gridSpan w:val="8"/>
          </w:tcPr>
          <w:p>
            <w:pPr>
              <w:jc w:val="center"/>
              <w:ind w:right="5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80" w:type="dxa"/>
            <w:vAlign w:val="bottom"/>
          </w:tcPr>
          <w:p>
            <w:pPr>
              <w:spacing w:after="0"/>
              <w:rPr>
                <w:sz w:val="20"/>
                <w:szCs w:val="20"/>
                <w:color w:val="auto"/>
              </w:rPr>
            </w:pPr>
          </w:p>
        </w:tc>
      </w:tr>
      <w:tr>
        <w:trPr>
          <w:trHeight w:val="439"/>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Nevada</w:t>
            </w:r>
          </w:p>
        </w:tc>
        <w:tc>
          <w:tcPr>
            <w:tcW w:w="28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001-38543</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26-1265381</w:t>
            </w:r>
          </w:p>
        </w:tc>
      </w:tr>
      <w:tr>
        <w:trPr>
          <w:trHeight w:val="234"/>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20" w:type="dxa"/>
            <w:vAlign w:val="bottom"/>
          </w:tcPr>
          <w:p>
            <w:pPr>
              <w:spacing w:after="0"/>
              <w:rPr>
                <w:sz w:val="20"/>
                <w:szCs w:val="20"/>
                <w:color w:val="auto"/>
              </w:rPr>
            </w:pPr>
          </w:p>
        </w:tc>
        <w:tc>
          <w:tcPr>
            <w:tcW w:w="36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180" w:type="dxa"/>
            <w:vAlign w:val="bottom"/>
            <w:tcBorders>
              <w:top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21"/>
        </w:trPr>
        <w:tc>
          <w:tcPr>
            <w:tcW w:w="8060" w:type="dxa"/>
            <w:vAlign w:val="bottom"/>
            <w:gridSpan w:val="9"/>
          </w:tcPr>
          <w:p>
            <w:pPr>
              <w:jc w:val="center"/>
              <w:ind w:right="620"/>
              <w:spacing w:after="0"/>
              <w:rPr>
                <w:sz w:val="20"/>
                <w:szCs w:val="20"/>
                <w:color w:val="auto"/>
              </w:rPr>
            </w:pPr>
            <w:r>
              <w:rPr>
                <w:rFonts w:ascii="Times New Roman" w:cs="Times New Roman" w:eastAsia="Times New Roman" w:hAnsi="Times New Roman"/>
                <w:sz w:val="18"/>
                <w:szCs w:val="18"/>
                <w:color w:val="auto"/>
                <w:w w:val="98"/>
              </w:rPr>
              <w:t>400 Water Street, Suite 200, Rochester, MI</w:t>
            </w:r>
          </w:p>
        </w:tc>
        <w:tc>
          <w:tcPr>
            <w:tcW w:w="318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744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180" w:type="dxa"/>
            <w:vAlign w:val="bottom"/>
            <w:tcBorders>
              <w:top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73"/>
        </w:trPr>
        <w:tc>
          <w:tcPr>
            <w:tcW w:w="8060" w:type="dxa"/>
            <w:vAlign w:val="bottom"/>
            <w:gridSpan w:val="9"/>
          </w:tcPr>
          <w:p>
            <w:pPr>
              <w:jc w:val="center"/>
              <w:ind w:left="3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248.651.6568</w:t>
            </w:r>
          </w:p>
        </w:tc>
        <w:tc>
          <w:tcPr>
            <w:tcW w:w="3180" w:type="dxa"/>
            <w:vAlign w:val="bottom"/>
          </w:tcPr>
          <w:p>
            <w:pPr>
              <w:spacing w:after="0"/>
              <w:rPr>
                <w:sz w:val="24"/>
                <w:szCs w:val="24"/>
                <w:color w:val="auto"/>
              </w:rPr>
            </w:pPr>
          </w:p>
        </w:tc>
      </w:tr>
      <w:tr>
        <w:trPr>
          <w:trHeight w:val="20"/>
        </w:trPr>
        <w:tc>
          <w:tcPr>
            <w:tcW w:w="7020" w:type="dxa"/>
            <w:vAlign w:val="bottom"/>
            <w:gridSpan w:val="5"/>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650"/>
        </w:trPr>
        <w:tc>
          <w:tcPr>
            <w:tcW w:w="8020" w:type="dxa"/>
            <w:vAlign w:val="bottom"/>
            <w:gridSpan w:val="8"/>
          </w:tcPr>
          <w:p>
            <w:pPr>
              <w:jc w:val="center"/>
              <w:ind w:left="3130"/>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tc>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34"/>
        </w:trPr>
        <w:tc>
          <w:tcPr>
            <w:tcW w:w="8060" w:type="dxa"/>
            <w:vAlign w:val="bottom"/>
            <w:gridSpan w:val="9"/>
          </w:tcPr>
          <w:p>
            <w:pPr>
              <w:jc w:val="center"/>
              <w:ind w:left="311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318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2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OPRX</w:t>
            </w:r>
          </w:p>
        </w:tc>
        <w:tc>
          <w:tcPr>
            <w:tcW w:w="1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59"/>
        </w:trPr>
        <w:tc>
          <w:tcPr>
            <w:tcW w:w="3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60" w:type="dxa"/>
            <w:vAlign w:val="bottom"/>
            <w:tcBorders>
              <w:bottom w:val="single" w:sz="8" w:color="auto"/>
            </w:tcBorders>
          </w:tcPr>
          <w:p>
            <w:pPr>
              <w:spacing w:after="0"/>
              <w:rPr>
                <w:sz w:val="22"/>
                <w:szCs w:val="22"/>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109"/>
        </w:trPr>
        <w:tc>
          <w:tcPr>
            <w:tcW w:w="3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33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September 9, 2020, we issued a press release announcing our invitation to participate in two investor conferences being held in September. A copy of the press release is attached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hyperlink w:anchor="page4">
        <w:r>
          <w:rPr>
            <w:rFonts w:ascii="Times New Roman" w:cs="Times New Roman" w:eastAsia="Times New Roman" w:hAnsi="Times New Roman"/>
            <w:sz w:val="18"/>
            <w:szCs w:val="18"/>
            <w:u w:val="single" w:color="auto"/>
            <w:color w:val="0000EE"/>
          </w:rPr>
          <w:t>Press release, dated September 9, 2020</w:t>
        </w:r>
      </w:hyperlink>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9, 2020</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168275</wp:posOffset>
            </wp:positionV>
            <wp:extent cx="3497580" cy="72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975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to Participate at Investor Conferences in September</w:t>
      </w:r>
    </w:p>
    <w:p>
      <w:pPr>
        <w:spacing w:after="0" w:line="117"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ROCHESTER, Mich. – September 9, 2020 – </w:t>
      </w:r>
      <w:r>
        <w:rPr>
          <w:rFonts w:ascii="Times New Roman" w:cs="Times New Roman" w:eastAsia="Times New Roman" w:hAnsi="Times New Roman"/>
          <w:sz w:val="18"/>
          <w:szCs w:val="18"/>
          <w:color w:val="auto"/>
        </w:rPr>
        <w:t>OptimizeRx Corp. (Nasdaq: OPRX), a leading provider of digital health solutions for life science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providers and patients, has been invited to participate in two investor conferences being held in September.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H.C. Wainwright’s 22nd Annual Global Investment Conference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14-16,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 1x1 meetings and live company presentation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date and time: September 16th at 1:00 p.m. EDT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link: click 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contact your H.C. Wainwright institutional sales representative for registration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Lake Street Capital Markets’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Best Ideas Growth (BIG4) Conference</w:t>
      </w:r>
    </w:p>
    <w:p>
      <w:pPr>
        <w:spacing w:after="0"/>
        <w:rPr>
          <w:sz w:val="20"/>
          <w:szCs w:val="20"/>
          <w:color w:val="auto"/>
        </w:rPr>
      </w:pPr>
      <w:r>
        <w:rPr>
          <w:rFonts w:ascii="Times New Roman" w:cs="Times New Roman" w:eastAsia="Times New Roman" w:hAnsi="Times New Roman"/>
          <w:sz w:val="18"/>
          <w:szCs w:val="18"/>
          <w:color w:val="auto"/>
        </w:rPr>
        <w:t>Date: September 17, 2020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 1x1 meetings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contact your Lake Street institutional sales representative for registration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management is scheduled to participate in virtual one-on-one meetings with institutional investors and analysts at both conferences.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Management will discuss how OptimizeRx’s growing digital point-of-care solutions have evolved into ‘must-haves’ for life science companies looking to improve essential communications with physicians and patients.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They will also discuss the company’s recent expansion of its digital health platform from ambulatory and acute care to retail pharmacy, which includes access to a new nationwide network of 10,000 FDA-cleared self-screening Smart Health Stations.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schedule a virtual one-on-one meeting with OptimizeRx, you may submit your request via the links provided upon your registration for the conferences.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questions about OptimizeRx, please contact Ron Both of CMA at (949) 432-7557 or submit your request here.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H.C. Wainwright</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H.C. Wainwright is a full-service investment bank dedicated to providing corporate finance, strategic advisory and related services to public and private companies across multiple sectors and regions. H.C. Wainwright &amp; Co. also provides research and sales and trading services to institutional investors. According to Sagient Research Systems, H.C. Wainwright’s team is ranked as the #1 Placement Agent in terms of aggregate CMPO (confidentially marketed public offering), RD (registered direct offering) and PIPE (private investment in public equity) executed cumulatively since 1998. For more information about H.C. Wainwright, visit www.hcwco.com.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Lake Street Capital Markets</w:t>
      </w:r>
    </w:p>
    <w:p>
      <w:pPr>
        <w:spacing w:after="0" w:line="31"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Lake Street Capital Markets is a research-powered investment bank focused on select, high-growth companies and sectors of the economy. Their research enables institutional investors to understand emerging secular trends and identify innovative companies best positioned to capitalize on them. Lake Street provides companies with access to capital and helps build relationships to drive long-term growth. At the core of everything it does is their commitment to providing informed advice and exceptional service to its clients. For more information about Lake Street, visit www.lakestreetcapitalmarkets.com.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OptimizeRx Corporation (NASDAQ: OPRX) is a digital health company that facilitates communication at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supports the real-time exchange of information, improving provider knowledge and patient engagement, and ultimately leading to healthier outcomes.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(754) 245-7070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malejandra@optimizerx.com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2020-09-09T10:58:27Z</dcterms:created>
  <dcterms:modified xsi:type="dcterms:W3CDTF">2020-09-09T10:58:27Z</dcterms:modified>
</cp:coreProperties>
</file>