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WASHINGTON, D.C. 20549</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Pursuant to Section 13 or 15(d)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Securities Exchange Act of 1934</w:t>
      </w:r>
    </w:p>
    <w:p>
      <w:pPr>
        <w:pStyle w:val="TextBody"/>
        <w:bidi w:val="0"/>
        <w:spacing w:lineRule="auto" w:line="288" w:before="200" w:after="283"/>
        <w:jc w:val="center"/>
        <w:rPr/>
      </w:pPr>
      <w:r>
        <w:rPr>
          <w:rFonts w:ascii="Times New Roman;serif" w:hAnsi="Times New Roman;serif"/>
          <w:b/>
          <w:color w:val="000000"/>
          <w:sz w:val="20"/>
        </w:rPr>
        <w:t>Date of Report (Date of Earliest Event Reported): </w:t>
      </w:r>
      <w:r>
        <w:rPr>
          <w:rFonts w:ascii="Times New Roman;serif" w:hAnsi="Times New Roman;serif"/>
          <w:b w:val="false"/>
          <w:color w:val="000000"/>
          <w:sz w:val="20"/>
        </w:rPr>
        <w:t>November 6, 2025</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6846" w:type="dxa"/>
        <w:jc w:val="left"/>
        <w:tblInd w:w="0" w:type="dxa"/>
        <w:tblLayout w:type="fixed"/>
        <w:tblCellMar>
          <w:top w:w="28" w:type="dxa"/>
          <w:left w:w="28" w:type="dxa"/>
          <w:bottom w:w="28" w:type="dxa"/>
          <w:right w:w="28" w:type="dxa"/>
        </w:tblCellMar>
      </w:tblPr>
      <w:tblGrid>
        <w:gridCol w:w="813"/>
        <w:gridCol w:w="716"/>
        <w:gridCol w:w="720"/>
        <w:gridCol w:w="109"/>
        <w:gridCol w:w="109"/>
        <w:gridCol w:w="109"/>
        <w:gridCol w:w="762"/>
        <w:gridCol w:w="762"/>
        <w:gridCol w:w="770"/>
        <w:gridCol w:w="109"/>
        <w:gridCol w:w="109"/>
        <w:gridCol w:w="109"/>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001-38543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26-1265381</w:t>
            </w:r>
          </w:p>
        </w:tc>
      </w:tr>
      <w:tr>
        <w:trPr/>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p>
      <w:pPr>
        <w:pStyle w:val="TextBody"/>
        <w:bidi w:val="0"/>
        <w:spacing w:lineRule="auto" w:line="288" w:before="200" w:after="283"/>
        <w:jc w:val="center"/>
        <w:rPr/>
      </w:pPr>
      <w:r>
        <w:rPr>
          <w:rFonts w:ascii="Times New Roman;serif" w:hAnsi="Times New Roman;serif"/>
          <w:b/>
          <w:color w:val="000000"/>
          <w:sz w:val="20"/>
        </w:rPr>
        <w:t>260 Charles Street</w:t>
      </w:r>
      <w:r>
        <w:rPr>
          <w:rFonts w:ascii="Times New Roman;serif" w:hAnsi="Times New Roman;serif"/>
          <w:b w:val="false"/>
          <w:color w:val="000000"/>
          <w:sz w:val="20"/>
        </w:rPr>
        <w:t>,</w:t>
      </w:r>
      <w:r>
        <w:rPr>
          <w:color w:val="000000"/>
        </w:rPr>
        <w:t xml:space="preserve"> </w:t>
      </w:r>
      <w:r>
        <w:rPr>
          <w:rFonts w:ascii="Times New Roman;serif" w:hAnsi="Times New Roman;serif"/>
          <w:b/>
          <w:color w:val="000000"/>
          <w:sz w:val="20"/>
        </w:rPr>
        <w:t>Suite 302</w:t>
      </w:r>
    </w:p>
    <w:p>
      <w:pPr>
        <w:pStyle w:val="TextBody"/>
        <w:bidi w:val="0"/>
        <w:spacing w:lineRule="auto" w:line="288" w:before="0" w:after="0"/>
        <w:jc w:val="center"/>
        <w:rPr/>
      </w:pPr>
      <w:r>
        <w:rPr>
          <w:rFonts w:ascii="Times New Roman;serif" w:hAnsi="Times New Roman;serif"/>
          <w:b/>
          <w:color w:val="000000"/>
          <w:sz w:val="20"/>
          <w:u w:val="single"/>
        </w:rPr>
        <w:t>Waltham</w:t>
      </w:r>
      <w:r>
        <w:rPr>
          <w:rFonts w:ascii="Times New Roman;serif" w:hAnsi="Times New Roman;serif"/>
          <w:b/>
          <w:color w:val="000000"/>
          <w:sz w:val="20"/>
        </w:rPr>
        <w:t>,</w:t>
      </w:r>
      <w:r>
        <w:rPr>
          <w:color w:val="000000"/>
          <w:u w:val="single"/>
        </w:rPr>
        <w:t xml:space="preserve"> </w:t>
      </w:r>
      <w:r>
        <w:rPr>
          <w:rFonts w:ascii="Times New Roman;serif" w:hAnsi="Times New Roman;serif"/>
          <w:b/>
          <w:color w:val="000000"/>
          <w:sz w:val="20"/>
          <w:u w:val="single"/>
        </w:rPr>
        <w:t>MA 02453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u w:val="single"/>
        </w:rPr>
        <w:t>248.651.6568</w:t>
      </w:r>
    </w:p>
    <w:p>
      <w:pPr>
        <w:pStyle w:val="TextBody"/>
        <w:bidi w:val="0"/>
        <w:spacing w:lineRule="auto" w:line="288" w:before="200" w:after="283"/>
        <w:jc w:val="center"/>
        <w:rPr>
          <w:color w:val="000000"/>
          <w:u w:val="single"/>
        </w:rPr>
      </w:pPr>
      <w:r>
        <w:rPr>
          <w:color w:val="000000"/>
          <w:u w:val="single"/>
        </w:rPr>
        <w:t>                           </w:t>
      </w:r>
      <w:r>
        <w:rPr>
          <w:rFonts w:ascii="Times New Roman;serif" w:hAnsi="Times New Roman;serif"/>
          <w:b/>
          <w:color w:val="000000"/>
          <w:sz w:val="20"/>
          <w:u w:val="single"/>
        </w:rPr>
        <w:t>Not Applicable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287" w:type="dxa"/>
        <w:jc w:val="left"/>
        <w:tblInd w:w="0" w:type="dxa"/>
        <w:tblLayout w:type="fixed"/>
        <w:tblCellMar>
          <w:top w:w="28" w:type="dxa"/>
          <w:left w:w="28" w:type="dxa"/>
          <w:bottom w:w="28" w:type="dxa"/>
          <w:right w:w="28" w:type="dxa"/>
        </w:tblCellMar>
      </w:tblPr>
      <w:tblGrid>
        <w:gridCol w:w="1035"/>
        <w:gridCol w:w="909"/>
        <w:gridCol w:w="920"/>
        <w:gridCol w:w="109"/>
        <w:gridCol w:w="109"/>
        <w:gridCol w:w="109"/>
        <w:gridCol w:w="314"/>
        <w:gridCol w:w="314"/>
        <w:gridCol w:w="316"/>
        <w:gridCol w:w="109"/>
        <w:gridCol w:w="109"/>
        <w:gridCol w:w="109"/>
        <w:gridCol w:w="1118"/>
        <w:gridCol w:w="1118"/>
        <w:gridCol w:w="1589"/>
      </w:tblGrid>
      <w:tr>
        <w:trPr/>
        <w:tc>
          <w:tcPr>
            <w:tcW w:w="1035"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Trading</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6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OPRX</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right"/>
        <w:rPr/>
      </w:pPr>
      <w:r>
        <w:rPr>
          <w:rFonts w:ascii="Times New Roman;serif" w:hAnsi="Times New Roman;serif"/>
          <w:b w:val="false"/>
          <w:color w:val="000000"/>
          <w:sz w:val="20"/>
        </w:rPr>
        <w:t>Emerging growth company </w:t>
      </w:r>
      <w:r>
        <w:rPr>
          <w:rFonts w:ascii="Wingdings;sans-serif" w:hAnsi="Wingdings;sans-serif"/>
          <w:b w:val="false"/>
          <w:color w:val="000000"/>
          <w:sz w:val="20"/>
        </w:rPr>
        <w:t>o</w:t>
      </w:r>
    </w:p>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On November 6, 2025, OptimizeRx Corporation issued a press release announcing its financial results for the third quarter ended September 30, 2025. A copy of the press release is furnished with this Current Report on Form 8-K as Exhibit 99.1 and is incorporated herein by reference.</w:t>
      </w:r>
    </w:p>
    <w:p>
      <w:pPr>
        <w:pStyle w:val="TextBody"/>
        <w:bidi w:val="0"/>
        <w:spacing w:lineRule="auto" w:line="288" w:before="20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Item 2.02 and Exhibit 99.1 attached hereto are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737"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946"/>
        <w:gridCol w:w="1946"/>
        <w:gridCol w:w="2752"/>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Description</w:t>
            </w:r>
          </w:p>
        </w:tc>
      </w:tr>
      <w:tr>
        <w:trPr/>
        <w:tc>
          <w:tcPr>
            <w:tcW w:w="76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0"/>
              <w:jc w:val="left"/>
              <w:rPr/>
            </w:pPr>
            <w:hyperlink w:anchor="oprxq32025earningsrelease.htm">
              <w:r>
                <w:rPr>
                  <w:rStyle w:val="InternetLink"/>
                  <w:rFonts w:ascii="Times New Roman;serif" w:hAnsi="Times New Roman;serif"/>
                  <w:b w:val="false"/>
                  <w:color w:val="551A8B"/>
                  <w:sz w:val="20"/>
                  <w:u w:val="single"/>
                </w:rPr>
                <w:t>Press release, dated November 6, 2025</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352" w:type="dxa"/>
        <w:jc w:val="left"/>
        <w:tblInd w:w="0" w:type="dxa"/>
        <w:tblLayout w:type="fixed"/>
        <w:tblCellMar>
          <w:top w:w="28" w:type="dxa"/>
          <w:left w:w="28" w:type="dxa"/>
          <w:bottom w:w="28" w:type="dxa"/>
          <w:right w:w="28" w:type="dxa"/>
        </w:tblCellMar>
      </w:tblPr>
      <w:tblGrid>
        <w:gridCol w:w="759"/>
        <w:gridCol w:w="668"/>
        <w:gridCol w:w="672"/>
        <w:gridCol w:w="309"/>
        <w:gridCol w:w="309"/>
        <w:gridCol w:w="309"/>
        <w:gridCol w:w="309"/>
        <w:gridCol w:w="309"/>
        <w:gridCol w:w="309"/>
        <w:gridCol w:w="695"/>
        <w:gridCol w:w="695"/>
        <w:gridCol w:w="1009"/>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OPTIMIZERX CORPORATION</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November 6, 2025</w:t>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Edward Stelmakh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Stelmakh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Financial Officer and </w:t>
              <w:br/>
              <w:t>Chief Strategic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center"/>
        <w:rPr/>
      </w:pPr>
      <w:r>
        <w:rPr/>
        <w:drawing>
          <wp:inline distT="0" distB="0" distL="0" distR="0">
            <wp:extent cx="2457450" cy="4762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457450" cy="476250"/>
                    </a:xfrm>
                    <a:prstGeom prst="rect">
                      <a:avLst/>
                    </a:prstGeom>
                  </pic:spPr>
                </pic:pic>
              </a:graphicData>
            </a:graphic>
          </wp:inline>
        </w:drawing>
      </w:r>
    </w:p>
    <w:p>
      <w:pPr>
        <w:pStyle w:val="TextBody"/>
        <w:bidi w:val="0"/>
        <w:spacing w:lineRule="auto" w:line="240" w:before="1" w:after="1"/>
        <w:jc w:val="center"/>
        <w:rPr>
          <w:rFonts w:ascii="Times New Roman;serif" w:hAnsi="Times New Roman;serif"/>
          <w:b/>
          <w:color w:val="000000"/>
          <w:sz w:val="32"/>
        </w:rPr>
      </w:pPr>
      <w:r>
        <w:rPr>
          <w:rFonts w:ascii="Times New Roman;serif" w:hAnsi="Times New Roman;serif"/>
          <w:b/>
          <w:color w:val="000000"/>
          <w:sz w:val="32"/>
        </w:rPr>
        <w:t>OptimizeRx Reports Third Quarter 2025 Financial Results and Increases Fiscal Year 2025 Guidance</w:t>
      </w:r>
    </w:p>
    <w:p>
      <w:pPr>
        <w:pStyle w:val="TextBody"/>
        <w:bidi w:val="0"/>
        <w:spacing w:lineRule="auto" w:line="288" w:before="240" w:after="283"/>
        <w:ind w:left="0" w:right="0" w:hanging="360"/>
        <w:jc w:val="center"/>
        <w:rPr/>
      </w:pPr>
      <w:r>
        <w:rPr>
          <w:rFonts w:ascii="Times New Roman;serif" w:hAnsi="Times New Roman;serif"/>
          <w:b w:val="false"/>
          <w:color w:val="000000"/>
          <w:sz w:val="24"/>
        </w:rPr>
        <w:t>-</w:t>
      </w:r>
      <w:r>
        <w:rPr>
          <w:rFonts w:ascii="Times New Roman;serif" w:hAnsi="Times New Roman;serif"/>
          <w:b w:val="false"/>
          <w:color w:val="000000"/>
          <w:sz w:val="20"/>
        </w:rPr>
        <w:t>Q3 revenue of $26.1 million, increased 22% year-over-year</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-Q3 gross profit increased 30% year-over-year to $17.5 million</w:t>
      </w:r>
    </w:p>
    <w:p>
      <w:pPr>
        <w:pStyle w:val="TextBody"/>
        <w:bidi w:val="0"/>
        <w:spacing w:lineRule="auto" w:line="288" w:before="0" w:after="0"/>
        <w:ind w:left="0" w:right="0" w:hanging="270"/>
        <w:jc w:val="center"/>
        <w:rPr>
          <w:rFonts w:ascii="Times New Roman;serif" w:hAnsi="Times New Roman;serif"/>
          <w:b w:val="false"/>
          <w:color w:val="000000"/>
          <w:sz w:val="20"/>
        </w:rPr>
      </w:pPr>
      <w:r>
        <w:rPr>
          <w:rFonts w:ascii="Times New Roman;serif" w:hAnsi="Times New Roman;serif"/>
          <w:b w:val="false"/>
          <w:color w:val="000000"/>
          <w:sz w:val="20"/>
        </w:rPr>
        <w:t>-Increases full year 2025 guidance to a revenue range between $105 million and $109 million and adjusted EBITDA range between $16 million and $19 million</w:t>
      </w:r>
    </w:p>
    <w:p>
      <w:pPr>
        <w:pStyle w:val="TextBody"/>
        <w:bidi w:val="0"/>
        <w:spacing w:lineRule="auto" w:line="288" w:before="0" w:after="0"/>
        <w:ind w:left="0" w:right="0" w:hanging="270"/>
        <w:jc w:val="center"/>
        <w:rPr/>
      </w:pPr>
      <w:r>
        <w:rPr>
          <w:rFonts w:ascii="Arial;sans-serif" w:hAnsi="Arial;sans-serif"/>
          <w:b w:val="false"/>
          <w:color w:val="000000"/>
          <w:sz w:val="22"/>
        </w:rPr>
        <w:t>-</w:t>
      </w:r>
      <w:r>
        <w:rPr>
          <w:rFonts w:ascii="Times New Roman;serif" w:hAnsi="Times New Roman;serif"/>
          <w:b w:val="false"/>
          <w:color w:val="000000"/>
          <w:sz w:val="20"/>
        </w:rPr>
        <w:t>Introduces 2026 guidance with a revenue range between $118 million and $124 million and adjusted EBITDA range between $19 million and $22 million</w:t>
      </w:r>
    </w:p>
    <w:p>
      <w:pPr>
        <w:pStyle w:val="TextBody"/>
        <w:bidi w:val="0"/>
        <w:spacing w:lineRule="auto" w:line="319" w:before="0" w:after="0"/>
        <w:ind w:left="0" w:right="0" w:hanging="270"/>
        <w:jc w:val="center"/>
        <w:rPr/>
      </w:pPr>
      <w:r>
        <w:rPr>
          <w:rFonts w:ascii="Arial;sans-serif" w:hAnsi="Arial;sans-serif"/>
          <w:b w:val="false"/>
          <w:color w:val="000000"/>
          <w:sz w:val="20"/>
        </w:rPr>
        <w:t>-</w:t>
      </w:r>
      <w:r>
        <w:rPr>
          <w:color w:val="000000"/>
        </w:rPr>
        <w:t xml:space="preserve"> </w:t>
      </w:r>
      <w:r>
        <w:rPr>
          <w:rFonts w:ascii="Times New Roman;serif" w:hAnsi="Times New Roman;serif"/>
          <w:b w:val="false"/>
          <w:color w:val="000000"/>
          <w:sz w:val="20"/>
        </w:rPr>
        <w:t>Paid off an incremental $2 million in principal from term loan subsequent to the end of Q3</w:t>
      </w:r>
    </w:p>
    <w:p>
      <w:pPr>
        <w:pStyle w:val="TextBody"/>
        <w:bidi w:val="0"/>
        <w:spacing w:lineRule="auto" w:line="288" w:before="240" w:after="283"/>
        <w:jc w:val="both"/>
        <w:rPr/>
      </w:pPr>
      <w:r>
        <w:rPr>
          <w:rFonts w:ascii="Times New Roman;serif" w:hAnsi="Times New Roman;serif"/>
          <w:b/>
          <w:color w:val="000000"/>
          <w:sz w:val="20"/>
        </w:rPr>
        <w:t>WALTHAM, Mass. – November 6, 2025 –</w:t>
      </w:r>
      <w:r>
        <w:rPr>
          <w:color w:val="000000"/>
        </w:rPr>
        <w:t xml:space="preserve"> </w:t>
      </w:r>
      <w:r>
        <w:rPr>
          <w:rFonts w:ascii="Times New Roman;serif" w:hAnsi="Times New Roman;serif"/>
          <w:b w:val="false"/>
          <w:color w:val="000000"/>
          <w:sz w:val="20"/>
        </w:rPr>
        <w:t>OptimizeRx Corp. (the “Company”) (Nasdaq: OPRX), a leading provider of healthcare technology solutions helping life sciences companies reach and engage healthcare professionals (HCPs) and patients, today reported results for the three months ended September 30, 2025. Quarterly comparisons are to the same year-ago period.</w:t>
      </w:r>
    </w:p>
    <w:p>
      <w:pPr>
        <w:pStyle w:val="TextBody"/>
        <w:bidi w:val="0"/>
        <w:spacing w:lineRule="auto" w:line="288" w:before="240" w:after="283"/>
        <w:jc w:val="left"/>
        <w:rPr/>
      </w:pPr>
      <w:r>
        <w:rPr>
          <w:rFonts w:ascii="Times New Roman;serif" w:hAnsi="Times New Roman;serif"/>
          <w:b/>
          <w:color w:val="000000"/>
          <w:sz w:val="20"/>
          <w:shd w:fill="FFFFFF" w:val="clear"/>
        </w:rPr>
        <w:t>Financi</w:t>
      </w:r>
      <w:r>
        <w:rPr>
          <w:rFonts w:ascii="Times New Roman;serif" w:hAnsi="Times New Roman;serif"/>
          <w:b/>
          <w:color w:val="000000"/>
          <w:sz w:val="20"/>
        </w:rPr>
        <w:t>al Highlights</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Revenue in the third quarter of 2025 increased 22% to $26.1 million, as compared to $21.3 million in the same year ago period</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Gross profit in the third quarter of 2025 increased 30% year-over-year to $17.5 million from $13.4 million during the third quarter of 2024</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GAAP net income totaled $0.8 million, or $0.04 per basic and diluted share in the third quarter of 2025, as compared to GAAP net loss of $(9.1) million, or $(0.50) per basic and diluted share during the third quarter of 2024</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Non-GAAP net income in the third quarter totaled $3.9 million, or $0.20 per diluted share, as compared to non-GAAP net income of $2.3 million, or $0.12 per diluted share during the third quarter of 2024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Adjusted EBITDA for the third quarter of 2025 increased to $5.1 million compared to $2.7 million in the same year ago period (see *</w:t>
      </w:r>
      <w:r>
        <w:rPr>
          <w:rFonts w:ascii="Times New Roman;serif" w:hAnsi="Times New Roman;serif"/>
          <w:b w:val="false"/>
          <w:i/>
          <w:color w:val="000000"/>
          <w:sz w:val="20"/>
        </w:rPr>
        <w:t>Non-GAAP Measures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0"/>
        <w:ind w:left="0" w:right="0" w:hanging="270"/>
        <w:jc w:val="both"/>
        <w:rPr/>
      </w:pPr>
      <w:r>
        <w:rPr>
          <w:color w:val="000000"/>
        </w:rPr>
        <w:t>•</w:t>
      </w:r>
      <w:r>
        <w:rPr>
          <w:rFonts w:ascii="Times New Roman;serif" w:hAnsi="Times New Roman;serif"/>
          <w:b w:val="false"/>
          <w:color w:val="000000"/>
          <w:sz w:val="20"/>
        </w:rPr>
        <w:t>Cash, cash equivalents and short-term investments totaled $19.5 million as of September 30, 2025, as compared to $13.4 million as of December 31, 2024</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Stephen L. Silvestro, OptimizeRx CEO commented, “Year-to-date results reflect strong, profitable growth that continues to outperform expectations. Contracted revenue has shown significant year-over-year gains, with early momentum extending into 2026 and setting the stage for sustained strength ahead. This performance stems from our unwavering focus on execution, our commitment to delivering exceptional customer outcomes, the power of our market-leading patient identification technologies, and the expanding partnerships across our network. Together, these drivers are creating durable value for our shareholders. As demonstrated in our third-quarter results, we are steadily advancing toward becoming a sustainable Rule of 40 company. Given this momentum and the visibility we have into the remainder of the year, we are raising our full-year outlook and are introducing initial 2026 guidance.”</w:t>
      </w:r>
    </w:p>
    <w:p>
      <w:pPr>
        <w:pStyle w:val="TextBody"/>
        <w:bidi w:val="0"/>
        <w:spacing w:before="0" w:after="0"/>
        <w:jc w:val="left"/>
        <w:rPr/>
      </w:pPr>
      <w:r>
        <w:rPr/>
      </w:r>
    </w:p>
    <w:p>
      <w:pPr>
        <w:pStyle w:val="TextBody"/>
        <w:bidi w:val="0"/>
        <w:spacing w:before="1" w:after="1"/>
        <w:jc w:val="both"/>
        <w:rPr/>
      </w:pPr>
      <w:r>
        <w:rPr/>
      </w:r>
    </w:p>
    <w:p>
      <w:pPr>
        <w:pStyle w:val="TextBody"/>
        <w:bidi w:val="0"/>
        <w:spacing w:before="1" w:after="1"/>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50520"/>
                <wp:effectExtent l="0" t="0" r="0" b="0"/>
                <wp:wrapNone/>
                <wp:docPr id="5"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9280" w:type="dxa"/>
        <w:jc w:val="left"/>
        <w:tblInd w:w="0" w:type="dxa"/>
        <w:tblLayout w:type="fixed"/>
        <w:tblCellMar>
          <w:top w:w="28" w:type="dxa"/>
          <w:left w:w="28" w:type="dxa"/>
          <w:bottom w:w="28" w:type="dxa"/>
          <w:right w:w="28" w:type="dxa"/>
        </w:tblCellMar>
      </w:tblPr>
      <w:tblGrid>
        <w:gridCol w:w="2276"/>
        <w:gridCol w:w="2001"/>
        <w:gridCol w:w="2007"/>
        <w:gridCol w:w="246"/>
        <w:gridCol w:w="720"/>
        <w:gridCol w:w="317"/>
        <w:gridCol w:w="126"/>
        <w:gridCol w:w="126"/>
        <w:gridCol w:w="126"/>
        <w:gridCol w:w="246"/>
        <w:gridCol w:w="720"/>
        <w:gridCol w:w="369"/>
      </w:tblGrid>
      <w:tr>
        <w:trPr/>
        <w:tc>
          <w:tcPr>
            <w:tcW w:w="2276" w:type="dxa"/>
            <w:tcBorders/>
            <w:vAlign w:val="center"/>
          </w:tcPr>
          <w:p>
            <w:pPr>
              <w:pStyle w:val="TableContents"/>
              <w:bidi w:val="0"/>
              <w:spacing w:before="0" w:after="283"/>
              <w:jc w:val="left"/>
              <w:rPr>
                <w:sz w:val="4"/>
                <w:szCs w:val="4"/>
              </w:rPr>
            </w:pPr>
            <w:r>
              <w:rPr>
                <w:sz w:val="4"/>
                <w:szCs w:val="4"/>
              </w:rPr>
            </w:r>
          </w:p>
        </w:tc>
        <w:tc>
          <w:tcPr>
            <w:tcW w:w="2001" w:type="dxa"/>
            <w:tcBorders/>
            <w:vAlign w:val="center"/>
          </w:tcPr>
          <w:p>
            <w:pPr>
              <w:pStyle w:val="TableContents"/>
              <w:bidi w:val="0"/>
              <w:spacing w:before="0" w:after="283"/>
              <w:jc w:val="left"/>
              <w:rPr>
                <w:sz w:val="4"/>
                <w:szCs w:val="4"/>
              </w:rPr>
            </w:pPr>
            <w:r>
              <w:rPr>
                <w:sz w:val="4"/>
                <w:szCs w:val="4"/>
              </w:rPr>
            </w:r>
          </w:p>
        </w:tc>
        <w:tc>
          <w:tcPr>
            <w:tcW w:w="200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Rolling Twelve Months Ended</w:t>
              <w:br/>
              <w:t>September 30,</w:t>
            </w:r>
          </w:p>
        </w:tc>
      </w:tr>
      <w:tr>
        <w:trPr/>
        <w:tc>
          <w:tcPr>
            <w:tcW w:w="6284" w:type="dxa"/>
            <w:gridSpan w:val="3"/>
            <w:tcBorders/>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Key Performance Indicators (KPIs)**</w:t>
            </w:r>
          </w:p>
        </w:tc>
        <w:tc>
          <w:tcPr>
            <w:tcW w:w="128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ind w:left="0" w:right="0" w:hanging="180"/>
              <w:jc w:val="center"/>
              <w:rPr>
                <w:rFonts w:ascii="Times New Roman;serif" w:hAnsi="Times New Roman;serif"/>
                <w:b/>
                <w:color w:val="000000"/>
                <w:sz w:val="20"/>
              </w:rPr>
            </w:pPr>
            <w:r>
              <w:rPr>
                <w:rFonts w:ascii="Times New Roman;serif" w:hAnsi="Times New Roman;serif"/>
                <w:b/>
                <w:color w:val="000000"/>
                <w:sz w:val="20"/>
              </w:rPr>
              <w:t>(in thousands, except percentages)</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Average revenue per top 20 pharmaceutical manufacturer</w:t>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3,073 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2,874 </w:t>
            </w:r>
          </w:p>
        </w:tc>
        <w:tc>
          <w:tcPr>
            <w:tcW w:w="36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Percent of total revenue attributable to top 20 pharmaceutical manufacturers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17"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69" w:type="dxa"/>
            <w:tcBorders/>
            <w:shd w:fill="FFFF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 retention</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31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369" w:type="dxa"/>
            <w:tcBorders/>
            <w:shd w:fill="CCEEFF" w:val="clear"/>
            <w:tcMar>
              <w:top w:w="0" w:type="dxa"/>
              <w:left w:w="0" w:type="dxa"/>
              <w:bottom w:w="0" w:type="dxa"/>
              <w:right w:w="0" w:type="dxa"/>
            </w:tcMar>
            <w:vAlign w:val="center"/>
          </w:tcPr>
          <w:p>
            <w:pPr>
              <w:pStyle w:val="TableContents"/>
              <w:bidi w:val="0"/>
              <w:spacing w:lineRule="auto" w:line="319"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628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per average full-time employee</w:t>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9" w:before="0" w:after="0"/>
        <w:jc w:val="left"/>
        <w:rPr>
          <w:rFonts w:ascii="Times New Roman;serif" w:hAnsi="Times New Roman;serif"/>
          <w:b/>
          <w:color w:val="000000"/>
          <w:sz w:val="20"/>
        </w:rPr>
      </w:pPr>
      <w:r>
        <w:rPr>
          <w:rFonts w:ascii="Times New Roman;serif" w:hAnsi="Times New Roman;serif"/>
          <w:b/>
          <w:color w:val="000000"/>
          <w:sz w:val="20"/>
        </w:rPr>
        <w:t>2025 Financial Outlook</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The Company is increasing its fiscal year 2025 guidance and expects revenue to be between $105 million and $109 million with Adjusted EBITDA to be between $16 million and $19 million.</w:t>
      </w:r>
    </w:p>
    <w:p>
      <w:pPr>
        <w:pStyle w:val="TextBody"/>
        <w:bidi w:val="0"/>
        <w:spacing w:before="0" w:after="0"/>
        <w:jc w:val="both"/>
        <w:rPr/>
      </w:pPr>
      <w:r>
        <w:rPr/>
      </w:r>
    </w:p>
    <w:p>
      <w:pPr>
        <w:pStyle w:val="TextBody"/>
        <w:bidi w:val="0"/>
        <w:spacing w:lineRule="auto" w:line="319" w:before="0" w:after="0"/>
        <w:jc w:val="both"/>
        <w:rPr>
          <w:rFonts w:ascii="Times New Roman;serif" w:hAnsi="Times New Roman;serif"/>
          <w:b w:val="false"/>
          <w:color w:val="000000"/>
          <w:sz w:val="20"/>
        </w:rPr>
      </w:pPr>
      <w:r>
        <w:rPr>
          <w:rFonts w:ascii="Times New Roman;serif" w:hAnsi="Times New Roman;serif"/>
          <w:b w:val="false"/>
          <w:color w:val="000000"/>
          <w:sz w:val="20"/>
        </w:rPr>
        <w:t>The Company is also introducing fiscal year 2026 guidance at this time and is expecting revenue to be between $118 million and $124 million with Adjusted EBITDA to be between $19 million and $22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Conference Call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Date:            Thursday, November 6, 2025</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Time:            4:30 p.m. Eastern Time (1:30 p.m. Pacific Time)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Toll Free:        1-844-825-9789</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International:        1-412-317-5180</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Conference ID:        10203796</w:t>
      </w:r>
    </w:p>
    <w:p>
      <w:pPr>
        <w:pStyle w:val="TextBody"/>
        <w:bidi w:val="0"/>
        <w:spacing w:lineRule="auto" w:line="268" w:before="0" w:after="0"/>
        <w:jc w:val="left"/>
        <w:rPr/>
      </w:pPr>
      <w:r>
        <w:rPr>
          <w:rFonts w:ascii="Times New Roman;serif" w:hAnsi="Times New Roman;serif"/>
          <w:b/>
          <w:color w:val="000000"/>
          <w:sz w:val="20"/>
        </w:rPr>
        <w:t>Call Me</w:t>
      </w:r>
      <w:r>
        <w:rPr>
          <w:rFonts w:ascii="Times New Roman;serif" w:hAnsi="Times New Roman;serif"/>
          <w:b w:val="false"/>
          <w:color w:val="000000"/>
          <w:sz w:val="20"/>
        </w:rPr>
        <w:t>:        https://callme.viavid.com/?$Y2FsbG1lPXRydWUmcGFzc2NvZGU9JmluZm89Y29tcGFueSZyPXRydWUmYj0xNg==</w:t>
      </w:r>
    </w:p>
    <w:p>
      <w:pPr>
        <w:pStyle w:val="TextBody"/>
        <w:bidi w:val="0"/>
        <w:spacing w:lineRule="auto" w:line="268" w:before="0" w:after="0"/>
        <w:jc w:val="left"/>
        <w:rPr/>
      </w:pPr>
      <w:r>
        <w:rPr>
          <w:rFonts w:ascii="Times New Roman;serif" w:hAnsi="Times New Roman;serif"/>
          <w:b/>
          <w:color w:val="000000"/>
          <w:sz w:val="20"/>
        </w:rPr>
        <w:t>Webcast</w:t>
      </w:r>
      <w:r>
        <w:rPr>
          <w:rFonts w:ascii="Times New Roman;serif" w:hAnsi="Times New Roman;serif"/>
          <w:b w:val="false"/>
          <w:color w:val="000000"/>
          <w:sz w:val="20"/>
        </w:rPr>
        <w:t>:         https://viavid.webcasts.com/starthere.jsp?ei=1738663&amp;tp_key=cbe79a5b8d</w:t>
      </w:r>
    </w:p>
    <w:p>
      <w:pPr>
        <w:pStyle w:val="TextBody"/>
        <w:bidi w:val="0"/>
        <w:spacing w:lineRule="auto" w:line="288" w:before="0" w:after="0"/>
        <w:jc w:val="left"/>
        <w:rPr/>
      </w:pPr>
      <w:r>
        <w:rPr>
          <w:rFonts w:ascii="Times New Roman;serif" w:hAnsi="Times New Roman;serif"/>
          <w:b/>
          <w:color w:val="000000"/>
          <w:sz w:val="20"/>
        </w:rPr>
        <w:t>Call Me Passcode</w:t>
      </w:r>
      <w:r>
        <w:rPr>
          <w:rFonts w:ascii="Times New Roman;serif" w:hAnsi="Times New Roman;serif"/>
          <w:b w:val="false"/>
          <w:color w:val="000000"/>
          <w:sz w:val="20"/>
        </w:rPr>
        <w:t>:     1758869</w:t>
      </w:r>
    </w:p>
    <w:p>
      <w:pPr>
        <w:pStyle w:val="TextBody"/>
        <w:bidi w:val="0"/>
        <w:spacing w:lineRule="auto" w:line="288" w:before="0" w:after="0"/>
        <w:jc w:val="left"/>
        <w:rPr/>
      </w:pPr>
      <w:r>
        <w:rPr>
          <w:rFonts w:ascii="Times New Roman;serif" w:hAnsi="Times New Roman;serif"/>
          <w:b/>
          <w:color w:val="000000"/>
          <w:sz w:val="20"/>
        </w:rPr>
        <w:t>Webcast Replay:</w:t>
      </w:r>
      <w:r>
        <w:rPr>
          <w:color w:val="000000"/>
        </w:rPr>
        <w:t xml:space="preserve">     </w:t>
      </w:r>
      <w:r>
        <w:rPr>
          <w:rFonts w:ascii="Times New Roman;serif" w:hAnsi="Times New Roman;serif"/>
          <w:b w:val="false"/>
          <w:color w:val="000000"/>
          <w:sz w:val="20"/>
        </w:rPr>
        <w:t>The archived webcast will be on the investor relations section of the OptimizeRx website.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Individual Meeting Invitation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an effort to increase relations with institutional investors, OptimizeRx management has dedicated time to hosting individual meetings with portfolio managers and analysts. If you are interested in scheduling a meeting with OptimizeRx management, please contact: adsilva@optimizerx.com or shalper@lifesciadvisors.com.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*Non-GAAP Measures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financial measures prepared in accordance with generally accepted accounting principles (GAAP), this earnings release also contains non-GAAP financial measures. The reasons why we believe these measures provide useful information to investors and, for historical periods, a reconciliation of these measures to the most directly comparable GAAP measures are included in the supplemental tables that follow.</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Although the Company provides guidance for Adjusted EBITDA, a non-GAAP financial measure, it is not able to provide guidance to the most directly comparable GAAP measure. Reconciliations for forward-looking figures would require unreasonable effort at this time because of the uncertainty and variability of the nature and amount of certain components of various necessary GAAP components, including, for example, those related to compensation, acquisition expenses, other income, amortization or others that may arise during the year, and the Company’s management believes such reconciliations would imply a degree of precision that would be confusing or misleading to investors. For the same reasons, the Company is unable to address the probable significance of the unavailable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**Definition of Key Performance Indicators </w:t>
      </w:r>
    </w:p>
    <w:p>
      <w:pPr>
        <w:pStyle w:val="TextBody"/>
        <w:bidi w:val="0"/>
        <w:spacing w:lineRule="auto" w:line="288" w:before="240" w:after="283"/>
        <w:jc w:val="both"/>
        <w:rPr/>
      </w:pPr>
      <w:r>
        <w:rPr>
          <w:rFonts w:ascii="Times New Roman;serif" w:hAnsi="Times New Roman;serif"/>
          <w:b/>
          <w:color w:val="000000"/>
          <w:sz w:val="20"/>
        </w:rPr>
        <w:t xml:space="preserve">Top 20 pharmaceutical manufacturers: </w:t>
      </w:r>
      <w:r>
        <w:rPr>
          <w:rFonts w:ascii="Times New Roman;serif" w:hAnsi="Times New Roman;serif"/>
          <w:b w:val="false"/>
          <w:color w:val="000000"/>
          <w:sz w:val="20"/>
        </w:rPr>
        <w:t>We have updated the definition of “top 20 pharmaceutical manufacturers” in our key performance indicators to be based upon Fierce Pharma’s most updated list of “The top 20 pharma companies by 2024 revenue”. We previously used “The top 20 pharma companies by 2023 revenue”. As a result of this change, prior periods have been restated for comparative purposes.</w:t>
      </w:r>
    </w:p>
    <w:p>
      <w:pPr>
        <w:pStyle w:val="TextBody"/>
        <w:bidi w:val="0"/>
        <w:spacing w:lineRule="auto" w:line="288" w:before="240" w:after="283"/>
        <w:jc w:val="both"/>
        <w:rPr/>
      </w:pPr>
      <w:r>
        <w:rPr>
          <w:rFonts w:ascii="Times New Roman;serif" w:hAnsi="Times New Roman;serif"/>
          <w:b/>
          <w:color w:val="000000"/>
          <w:sz w:val="20"/>
        </w:rPr>
        <w:t>Net revenue retention</w:t>
      </w:r>
      <w:r>
        <w:rPr>
          <w:rFonts w:ascii="Times New Roman;serif" w:hAnsi="Times New Roman;serif"/>
          <w:b w:val="false"/>
          <w:color w:val="000000"/>
          <w:sz w:val="20"/>
        </w:rPr>
        <w:t>: Net revenue retention is a comparison of revenue generated from all clients in the previous period to total revenue generated from the same clients in the following year (i.e., excludes new client relationships for the most recent year).</w:t>
      </w:r>
    </w:p>
    <w:p>
      <w:pPr>
        <w:pStyle w:val="TextBody"/>
        <w:bidi w:val="0"/>
        <w:spacing w:lineRule="auto" w:line="288" w:before="240" w:after="283"/>
        <w:jc w:val="both"/>
        <w:rPr/>
      </w:pPr>
      <w:r>
        <w:rPr>
          <w:rFonts w:ascii="Times New Roman;serif" w:hAnsi="Times New Roman;serif"/>
          <w:b/>
          <w:color w:val="000000"/>
          <w:sz w:val="20"/>
        </w:rPr>
        <w:t>Revenue per average full-time employee:</w:t>
      </w:r>
      <w:r>
        <w:rPr>
          <w:color w:val="000000"/>
        </w:rPr>
        <w:t xml:space="preserve"> </w:t>
      </w:r>
      <w:r>
        <w:rPr>
          <w:rFonts w:ascii="Times New Roman;serif" w:hAnsi="Times New Roman;serif"/>
          <w:b w:val="false"/>
          <w:color w:val="000000"/>
          <w:sz w:val="20"/>
        </w:rPr>
        <w:t>We define revenue per average full-time employee (FTE) as total revenue over the last 12 months (LTM) divided by the average number of employees over the LTM, which is calculated by taking our total number of FTEs at the end of the prior year period by our total FTE headcount at the end of the most recent period.</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About OptimizeRx</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OptimizeRx is a leading healthcare technology company that’s redefining how life science brands connect with patients and healthcare providers. Our platform combines innovative AI-driven tools like the Dynamic Audience Activation Platform (DAAP) and Micro-Neighborhood Targeting (MNT) to deliver timely, relevant, and hyper-local engagement. By bridging the gap between HCP and DTC strategies, we empower brands to create synchronized marketing solutions that drive faster treatment decisions and improved patient outcomes.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commitment to privacy-safe, patient-centric technology ensures that every interaction is designed to make a meaningful impact, delivering life-changing therapies to the right patients at the right time. Headquartered in Waltham, Massachusetts, OptimizeRx partners with some of the world’s leading pharmaceutical and life sciences companies to transform the healthcare landscape and create a healthier future for all.</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For more information, follow the Company on X, LinkedIn or visit www.optimizerx.com.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Important Cautions Regarding Forward-Looking Statements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This press release contains forward-looking statements within the meaning of the Private Securities Litigation Reform Act of 1995. Words such as “anticipates”, “believes”, “estimates”, “expects”, “forecasts”, “intends”, “plans”, “projects”, “targets”, “designed”, “could”, “may”, “should”, “will” or other similar words and expressions are intended to identify these forward-looking statements. All statements that reflect the Company’s expectations, assumptions, projections, beliefs or opinions about the future, other than statements of historical fact, are forward-looking statements, including, without limitation, statements relating to the Company’s future performance, expected revenues, expected Adjusted EBITDA, plans to grow shareholder value creation, plans to continue the Company’s growth and transformation, plans to position the Company to become a “Rule of 40” company, plans to pay down debt at an accelerated rate, momentum extending into 2026, setting the stage for sustained strength in 2026 and beyond, and other statements relating to future performance, plans, and expectations. These forward-looking statements are based on the Company’s current expectations and involve assumptions regarding the Company’s business, the economy, and other future conditions that may never materialize or may prove to be incorrect. Forward-looking statements are inherently subject to risks and uncertainties, some of which cannot be predicted, or quantified. Actual results and the timing of events could differ materially from those anticipated in such forward-looking statements as a result of various risks and uncertainties including, but not limited to, the effect of government regulation, seasonal trends, dependence on a concentrated group of customers, cybersecurity incidents that could disrupt operations, the ability to keep pace with growing and evolving technology, the ability to maintain contracts with electronic prescription platforms and electronic health records networks, competition, and other factors discussed in the Company’s Annual Report on Form 10-K for the fiscal year ended December 31, 2024, its subsequent Quarterly Reports on Form 10-Q, and in other filings the Company has made and may make with the Securities and Exchange Commission in the future. One should not place undue reliance on these forward-looking statements, which speak only as of the date on which they were made. The Company undertakes no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50520"/>
                <wp:effectExtent l="0" t="0" r="0" b="0"/>
                <wp:wrapNone/>
                <wp:docPr id="7" name="Frame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obligation to update such statements to reflect events that occur or circumstances that exist after the date on which they were made, except as may be required by law.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OptimizeRx Contact</w:t>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Andy D’Silva, Chief Business Officer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adsilva@optimizerx.com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Investor Relations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Steven Halper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LifeSci Advisors, LLC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shalper@lifesciadvisors.com </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50520"/>
                <wp:effectExtent l="0" t="0" r="0" b="0"/>
                <wp:wrapNone/>
                <wp:docPr id="8" name="Frame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BALANCE SHEETS </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3002"/>
        <w:gridCol w:w="2297"/>
        <w:gridCol w:w="2304"/>
        <w:gridCol w:w="212"/>
        <w:gridCol w:w="799"/>
        <w:gridCol w:w="118"/>
        <w:gridCol w:w="109"/>
        <w:gridCol w:w="109"/>
        <w:gridCol w:w="109"/>
        <w:gridCol w:w="206"/>
        <w:gridCol w:w="773"/>
        <w:gridCol w:w="167"/>
      </w:tblGrid>
      <w:tr>
        <w:trPr/>
        <w:tc>
          <w:tcPr>
            <w:tcW w:w="3002" w:type="dxa"/>
            <w:tcBorders/>
            <w:vAlign w:val="center"/>
          </w:tcPr>
          <w:p>
            <w:pPr>
              <w:pStyle w:val="TableContents"/>
              <w:bidi w:val="0"/>
              <w:spacing w:before="0" w:after="283"/>
              <w:jc w:val="left"/>
              <w:rPr>
                <w:sz w:val="4"/>
                <w:szCs w:val="4"/>
              </w:rPr>
            </w:pPr>
            <w:r>
              <w:rPr>
                <w:sz w:val="4"/>
                <w:szCs w:val="4"/>
              </w:rPr>
            </w:r>
          </w:p>
        </w:tc>
        <w:tc>
          <w:tcPr>
            <w:tcW w:w="2297"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7603"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ASSETS</w:t>
            </w:r>
          </w:p>
        </w:tc>
        <w:tc>
          <w:tcPr>
            <w:tcW w:w="1129" w:type="dxa"/>
            <w:gridSpan w:val="3"/>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val="false"/>
                <w:color w:val="000000"/>
                <w:sz w:val="18"/>
              </w:rPr>
            </w:pPr>
            <w:r>
              <w:rPr>
                <w:rFonts w:ascii="Times New Roman;serif" w:hAnsi="Times New Roman;serif"/>
                <w:b w:val="false"/>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Cash and cash equivalents </w:t>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19,519 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13,380 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of allowance for credit losses of $260 and $335 at September 30, 2025 and December 31, 2024, respectively</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32,227 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38,212 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receivable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2,827 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2,379 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56,320 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53,971 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70,869 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Patent rights,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5,517 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Technology assets,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7,382 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8,180 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Tradename and customer relationships, net</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30,042 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31,819 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right of use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Security deposits and other assets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assets </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113,882 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117,047 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ASSETS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170,321 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18"/>
              </w:rPr>
            </w:pPr>
            <w:r>
              <w:rPr>
                <w:rFonts w:ascii="Times New Roman;serif" w:hAnsi="Times New Roman;serif"/>
                <w:b/>
                <w:color w:val="000000"/>
                <w:sz w:val="18"/>
              </w:rPr>
              <w:t xml:space="preserve">LIABILITIES AND STOCKHOLDERS’ EQUITY </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Current liabilities </w:t>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long-term debt</w:t>
            </w:r>
          </w:p>
        </w:tc>
        <w:tc>
          <w:tcPr>
            <w:tcW w:w="212"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3,300 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2,000 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2,037 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10,198 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8,486 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Revenue share payable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2,329 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Taxes payable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318 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lease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Deferred revenue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current liabilities </w:t>
            </w:r>
          </w:p>
        </w:tc>
        <w:tc>
          <w:tcPr>
            <w:tcW w:w="10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18,466 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18,654 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Non-current liabilities</w:t>
            </w:r>
          </w:p>
        </w:tc>
        <w:tc>
          <w:tcPr>
            <w:tcW w:w="11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24,801 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30,816 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net of current portion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300 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liabilities, net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4,491 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48,058 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54,170 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Stockholders’ equity </w:t>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Preferred stock, $0.001 par value, 10,000,000 shares authorized, none issued and outstanding at September 30, 2025 or December 31, 2024</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166,666,667 shares authorized, 20,333,839 and 20,194,697 shares issued at September 30, 2025 and December 31, 2024, respectively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Treasury stock, $0.001 par value, 1,741,397 shares held at September 30, 2025 and December 31, 2024.</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paid-in-capital</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206,501 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201,348 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Accumulated deficit </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(84,256)</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(84,368)</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stockholders’ equity </w:t>
            </w:r>
          </w:p>
        </w:tc>
        <w:tc>
          <w:tcPr>
            <w:tcW w:w="10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122,263 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116,998 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03"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LIABILITIES AND STOCKHOLDERS’ EQUITY </w:t>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170,321 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18"/>
              </w:rPr>
            </w:pPr>
            <w:r>
              <w:rPr>
                <w:rFonts w:ascii="Times New Roman;serif" w:hAnsi="Times New Roman;serif"/>
                <w:b w:val="false"/>
                <w:color w:val="000000"/>
                <w:sz w:val="18"/>
              </w:rPr>
              <w:t>171,168 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50520"/>
                <wp:effectExtent l="0" t="0" r="0" b="0"/>
                <wp:wrapNone/>
                <wp:docPr id="9" name="Frame8"/>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OPERATIONS </w:t>
      </w:r>
    </w:p>
    <w:p>
      <w:pPr>
        <w:pStyle w:val="TextBody"/>
        <w:bidi w:val="0"/>
        <w:spacing w:lineRule="auto" w:line="319" w:before="0" w:after="0"/>
        <w:jc w:val="center"/>
        <w:rPr>
          <w:rFonts w:ascii="Times New Roman;serif" w:hAnsi="Times New Roman;serif"/>
          <w:b/>
          <w:color w:val="000000"/>
          <w:sz w:val="18"/>
        </w:rPr>
      </w:pPr>
      <w:r>
        <w:rPr>
          <w:rFonts w:ascii="Times New Roman;serif" w:hAnsi="Times New Roman;serif"/>
          <w:b/>
          <w:color w:val="000000"/>
          <w:sz w:val="18"/>
        </w:rPr>
        <w:t>(in thousands, except share and per share data, 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634"/>
        <w:gridCol w:w="1382"/>
        <w:gridCol w:w="1389"/>
        <w:gridCol w:w="244"/>
        <w:gridCol w:w="837"/>
        <w:gridCol w:w="111"/>
        <w:gridCol w:w="111"/>
        <w:gridCol w:w="111"/>
        <w:gridCol w:w="111"/>
        <w:gridCol w:w="244"/>
        <w:gridCol w:w="837"/>
        <w:gridCol w:w="111"/>
        <w:gridCol w:w="109"/>
        <w:gridCol w:w="109"/>
        <w:gridCol w:w="109"/>
        <w:gridCol w:w="244"/>
        <w:gridCol w:w="837"/>
        <w:gridCol w:w="109"/>
        <w:gridCol w:w="109"/>
        <w:gridCol w:w="109"/>
        <w:gridCol w:w="109"/>
        <w:gridCol w:w="240"/>
        <w:gridCol w:w="841"/>
        <w:gridCol w:w="158"/>
      </w:tblGrid>
      <w:tr>
        <w:trPr/>
        <w:tc>
          <w:tcPr>
            <w:tcW w:w="163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7"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4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26,067 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21,309 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59,811 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revenues, exclusive of depreciation and amortization presented separately below</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22,456 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17,516 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13,447 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49,495 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37,355 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14,386 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43,971 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15,466 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22,009 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54,695 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from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(8,562)</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(17,340)</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(1,154)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(1,524)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(4,597)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expenses, net</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(1,001)</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(1,379)</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(3,645)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(4,253)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provision for income taxes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1,049 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(9,941)</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(21,593)</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basic</w:t>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18,576,199 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18,519,665 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number of shares outstanding – diluted</w:t>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19,459,877 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18,323,542 </w:t>
            </w:r>
          </w:p>
        </w:tc>
        <w:tc>
          <w:tcPr>
            <w:tcW w:w="11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19,021,905 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18,250,775 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basic</w:t>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1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per share – diluted</w:t>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0.04 </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(0.50)</w:t>
            </w:r>
          </w:p>
        </w:tc>
        <w:tc>
          <w:tcPr>
            <w:tcW w:w="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5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0520"/>
                <wp:effectExtent l="0" t="0" r="0" b="0"/>
                <wp:wrapNone/>
                <wp:docPr id="10" name="Frame9"/>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unaudited)</w:t>
      </w:r>
    </w:p>
    <w:tbl>
      <w:tblPr>
        <w:tblW w:w="9774" w:type="dxa"/>
        <w:jc w:val="left"/>
        <w:tblInd w:w="0" w:type="dxa"/>
        <w:tblLayout w:type="fixed"/>
        <w:tblCellMar>
          <w:top w:w="28" w:type="dxa"/>
          <w:left w:w="28" w:type="dxa"/>
          <w:bottom w:w="28" w:type="dxa"/>
          <w:right w:w="28" w:type="dxa"/>
        </w:tblCellMar>
      </w:tblPr>
      <w:tblGrid>
        <w:gridCol w:w="2624"/>
        <w:gridCol w:w="2304"/>
        <w:gridCol w:w="2317"/>
        <w:gridCol w:w="211"/>
        <w:gridCol w:w="721"/>
        <w:gridCol w:w="109"/>
        <w:gridCol w:w="109"/>
        <w:gridCol w:w="109"/>
        <w:gridCol w:w="109"/>
        <w:gridCol w:w="211"/>
        <w:gridCol w:w="796"/>
        <w:gridCol w:w="154"/>
      </w:tblGrid>
      <w:tr>
        <w:trPr/>
        <w:tc>
          <w:tcPr>
            <w:tcW w:w="2624" w:type="dxa"/>
            <w:tcBorders/>
            <w:vAlign w:val="center"/>
          </w:tcPr>
          <w:p>
            <w:pPr>
              <w:pStyle w:val="TableContents"/>
              <w:bidi w:val="0"/>
              <w:spacing w:before="0" w:after="283"/>
              <w:jc w:val="left"/>
              <w:rPr>
                <w:sz w:val="4"/>
                <w:szCs w:val="4"/>
              </w:rPr>
            </w:pPr>
            <w:r>
              <w:rPr>
                <w:sz w:val="4"/>
                <w:szCs w:val="4"/>
              </w:rPr>
            </w:r>
          </w:p>
        </w:tc>
        <w:tc>
          <w:tcPr>
            <w:tcW w:w="2304"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r>
      <w:tr>
        <w:trPr/>
        <w:tc>
          <w:tcPr>
            <w:tcW w:w="7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Revenue share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Taxes receivable and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4,691 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software development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employee withholding taxes related to the vesting of restricted stock units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long-term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(5,350)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(2,087)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NET INCREASE IN CASH AND CASH EQUIVALENTS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13,852 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CASH AND CASH EQUIVALENTS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16,126 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color w:val="000000"/>
                <w:sz w:val="20"/>
              </w:rPr>
            </w:pPr>
            <w:r>
              <w:rPr>
                <w:rFonts w:ascii="Times New Roman;serif" w:hAnsi="Times New Roman;serif"/>
                <w:b/>
                <w:color w:val="000000"/>
                <w:sz w:val="20"/>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interest</w:t>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4,081 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4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income taxes</w:t>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19" w:before="0" w:after="283"/>
              <w:jc w:val="right"/>
              <w:rPr>
                <w:color w:val="000000"/>
              </w:rPr>
            </w:pPr>
            <w:r>
              <w:rPr>
                <w:color w:val="000000"/>
              </w:rPr>
              <w:t>— </w:t>
            </w:r>
          </w:p>
        </w:tc>
        <w:tc>
          <w:tcPr>
            <w:tcW w:w="154"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19"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50520"/>
                <wp:effectExtent l="0" t="0" r="0" b="0"/>
                <wp:wrapNone/>
                <wp:docPr id="11" name="Frame10"/>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OPTIMIZERX CORPORATION</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w:t>
      </w:r>
    </w:p>
    <w:p>
      <w:pPr>
        <w:pStyle w:val="TextBody"/>
        <w:bidi w:val="0"/>
        <w:spacing w:lineRule="auto" w:line="319"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data, unaudited)</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This earnings release includes certain financial measures not derived in accordance with generally accepted accounting principles (GAAP). 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shareholder activist related fees, CEO search fees, other income, as well as other items that management believes are not related to the Company’s ongoing performance.</w:t>
      </w:r>
    </w:p>
    <w:p>
      <w:pPr>
        <w:pStyle w:val="TextBody"/>
        <w:bidi w:val="0"/>
        <w:spacing w:before="0" w:after="0"/>
        <w:jc w:val="center"/>
        <w:rPr/>
      </w:pPr>
      <w:r>
        <w:rPr/>
      </w:r>
    </w:p>
    <w:tbl>
      <w:tblPr>
        <w:tblW w:w="9639" w:type="dxa"/>
        <w:jc w:val="center"/>
        <w:tblInd w:w="0" w:type="dxa"/>
        <w:tblLayout w:type="fixed"/>
        <w:tblCellMar>
          <w:top w:w="28" w:type="dxa"/>
          <w:left w:w="28" w:type="dxa"/>
          <w:bottom w:w="28" w:type="dxa"/>
          <w:right w:w="28" w:type="dxa"/>
        </w:tblCellMar>
      </w:tblPr>
      <w:tblGrid>
        <w:gridCol w:w="1162"/>
        <w:gridCol w:w="1019"/>
        <w:gridCol w:w="1028"/>
        <w:gridCol w:w="347"/>
        <w:gridCol w:w="766"/>
        <w:gridCol w:w="179"/>
        <w:gridCol w:w="179"/>
        <w:gridCol w:w="179"/>
        <w:gridCol w:w="179"/>
        <w:gridCol w:w="347"/>
        <w:gridCol w:w="375"/>
        <w:gridCol w:w="315"/>
        <w:gridCol w:w="109"/>
        <w:gridCol w:w="109"/>
        <w:gridCol w:w="109"/>
        <w:gridCol w:w="330"/>
        <w:gridCol w:w="730"/>
        <w:gridCol w:w="170"/>
        <w:gridCol w:w="170"/>
        <w:gridCol w:w="170"/>
        <w:gridCol w:w="170"/>
        <w:gridCol w:w="330"/>
        <w:gridCol w:w="456"/>
        <w:gridCol w:w="339"/>
        <w:gridCol w:w="109"/>
        <w:gridCol w:w="109"/>
        <w:gridCol w:w="154"/>
      </w:tblGrid>
      <w:tr>
        <w:trPr/>
        <w:tc>
          <w:tcPr>
            <w:tcW w:w="1162"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6"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5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w:t>
            </w:r>
          </w:p>
        </w:tc>
        <w:tc>
          <w:tcPr>
            <w:tcW w:w="1292"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785</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547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expenses</w:t>
            </w:r>
          </w:p>
        </w:tc>
        <w:tc>
          <w:tcPr>
            <w:tcW w:w="1292"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w:t>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3,927</w:t>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9,960</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Non-GAAP net income per share</w:t>
            </w:r>
          </w:p>
        </w:tc>
        <w:tc>
          <w:tcPr>
            <w:tcW w:w="12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4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0.20</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0.52</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w:t>
            </w:r>
          </w:p>
        </w:tc>
        <w:tc>
          <w:tcPr>
            <w:tcW w:w="12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292"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19,459,877</w:t>
            </w:r>
          </w:p>
        </w:tc>
        <w:tc>
          <w:tcPr>
            <w:tcW w:w="5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18,400,125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19,021,905</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double" w:sz="6" w:space="0" w:color="000000"/>
            </w:tcBorders>
            <w:shd w:fill="FFFFFF" w:val="clear"/>
            <w:tcMar>
              <w:top w:w="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18,397,699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center"/>
        <w:rPr/>
      </w:pPr>
      <w:r>
        <w:rPr/>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50520"/>
                <wp:effectExtent l="0" t="0" r="0" b="0"/>
                <wp:wrapNone/>
                <wp:docPr id="12"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tbl>
      <w:tblPr>
        <w:tblW w:w="8069" w:type="dxa"/>
        <w:jc w:val="left"/>
        <w:tblInd w:w="0" w:type="dxa"/>
        <w:tblLayout w:type="fixed"/>
        <w:tblCellMar>
          <w:top w:w="28" w:type="dxa"/>
          <w:left w:w="28" w:type="dxa"/>
          <w:bottom w:w="28" w:type="dxa"/>
          <w:right w:w="28" w:type="dxa"/>
        </w:tblCellMar>
      </w:tblPr>
      <w:tblGrid>
        <w:gridCol w:w="977"/>
        <w:gridCol w:w="857"/>
        <w:gridCol w:w="865"/>
        <w:gridCol w:w="251"/>
        <w:gridCol w:w="556"/>
        <w:gridCol w:w="130"/>
        <w:gridCol w:w="130"/>
        <w:gridCol w:w="130"/>
        <w:gridCol w:w="130"/>
        <w:gridCol w:w="251"/>
        <w:gridCol w:w="825"/>
        <w:gridCol w:w="130"/>
        <w:gridCol w:w="109"/>
        <w:gridCol w:w="109"/>
        <w:gridCol w:w="109"/>
        <w:gridCol w:w="228"/>
        <w:gridCol w:w="547"/>
        <w:gridCol w:w="129"/>
        <w:gridCol w:w="117"/>
        <w:gridCol w:w="117"/>
        <w:gridCol w:w="117"/>
        <w:gridCol w:w="228"/>
        <w:gridCol w:w="861"/>
        <w:gridCol w:w="166"/>
      </w:tblGrid>
      <w:tr>
        <w:trPr/>
        <w:tc>
          <w:tcPr>
            <w:tcW w:w="97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0" w:type="dxa"/>
            <w:gridSpan w:val="9"/>
            <w:tcBorders/>
            <w:tcMar>
              <w:top w:w="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0"/>
              </w:rPr>
            </w:pPr>
            <w:r>
              <w:rPr>
                <w:rFonts w:ascii="Times New Roman;serif" w:hAnsi="Times New Roman;serif"/>
                <w:b/>
                <w:color w:val="000000"/>
                <w:sz w:val="20"/>
              </w:rPr>
              <w:t>For the Nine Months Ended</w:t>
              <w:br/>
              <w:t>September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2025</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9" w:before="0" w:after="283"/>
              <w:jc w:val="center"/>
              <w:rPr>
                <w:rFonts w:ascii="Times New Roman;serif" w:hAnsi="Times New Roman;serif"/>
                <w:b/>
                <w:color w:val="000000"/>
                <w:sz w:val="22"/>
              </w:rPr>
            </w:pPr>
            <w:r>
              <w:rPr>
                <w:rFonts w:ascii="Times New Roman;serif" w:hAnsi="Times New Roman;serif"/>
                <w:b/>
                <w:color w:val="000000"/>
                <w:sz w:val="22"/>
              </w:rPr>
              <w:t>2024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(9,124)</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(20,032)</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1,080</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3,249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3,235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(633)</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(1,561)</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1,956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5,002</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8,530</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7,489</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expenses</w:t>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275</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724</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expenses</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 activist related fees</w:t>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CEO search fees</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225</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color w:val="000000"/>
              </w:rPr>
            </w:pPr>
            <w:r>
              <w:rPr>
                <w:color w:val="000000"/>
              </w:rPr>
              <w:t>—</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1,063</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1,417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3,784</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4,367</w:t>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5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6"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5,086</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5"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2,690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12,326</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7" w:type="dxa"/>
            <w:gridSpan w:val="2"/>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319" w:before="0" w:after="283"/>
              <w:jc w:val="right"/>
              <w:rPr>
                <w:rFonts w:ascii="Times New Roman;serif" w:hAnsi="Times New Roman;serif"/>
                <w:b w:val="false"/>
                <w:color w:val="000000"/>
                <w:sz w:val="20"/>
              </w:rPr>
            </w:pPr>
            <w:r>
              <w:rPr>
                <w:rFonts w:ascii="Times New Roman;serif" w:hAnsi="Times New Roman;serif"/>
                <w:b w:val="false"/>
                <w:color w:val="000000"/>
                <w:sz w:val="20"/>
              </w:rPr>
              <w:t>2,882</w:t>
            </w:r>
          </w:p>
        </w:tc>
      </w:tr>
    </w:tbl>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center"/>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3223</Words>
  <Characters>18881</Characters>
  <CharactersWithSpaces>21810</CharactersWithSpaces>
  <Paragraphs>651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