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$0.001 PER SHARE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68401U 105</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407 Sixth Street, Rochester, MI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1.</w:t>
            </w:r>
          </w:p>
        </w:tc>
        <w:tc>
          <w:tcPr>
            <w:tcW w:w="4720" w:type="dxa"/>
            <w:vAlign w:val="bottom"/>
          </w:tcPr>
          <w:p>
            <w:pPr>
              <w:ind w:left="380"/>
              <w:spacing w:after="0"/>
              <w:rPr>
                <w:sz w:val="20"/>
                <w:szCs w:val="20"/>
                <w:color w:val="auto"/>
              </w:rPr>
            </w:pPr>
            <w:r>
              <w:rPr>
                <w:rFonts w:ascii="Arial" w:cs="Arial" w:eastAsia="Arial" w:hAnsi="Arial"/>
                <w:sz w:val="18"/>
                <w:szCs w:val="18"/>
                <w:color w:val="auto"/>
              </w:rPr>
              <w:t>Names of Reporting Persons:</w:t>
            </w:r>
          </w:p>
        </w:tc>
        <w:tc>
          <w:tcPr>
            <w:tcW w:w="6160" w:type="dxa"/>
            <w:vAlign w:val="bottom"/>
          </w:tcPr>
          <w:p>
            <w:pPr>
              <w:ind w:left="180"/>
              <w:spacing w:after="0"/>
              <w:rPr>
                <w:sz w:val="20"/>
                <w:szCs w:val="20"/>
                <w:color w:val="auto"/>
              </w:rPr>
            </w:pPr>
            <w:r>
              <w:rPr>
                <w:rFonts w:ascii="Arial" w:cs="Arial" w:eastAsia="Arial" w:hAnsi="Arial"/>
                <w:sz w:val="18"/>
                <w:szCs w:val="18"/>
                <w:b w:val="1"/>
                <w:bCs w:val="1"/>
                <w:color w:val="auto"/>
              </w:rPr>
              <w:t>David Harrell</w:t>
            </w:r>
          </w:p>
        </w:tc>
      </w:tr>
      <w:tr>
        <w:trPr>
          <w:trHeight w:val="237"/>
        </w:trPr>
        <w:tc>
          <w:tcPr>
            <w:tcW w:w="5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5"/>
              </w:rPr>
              <w:t>I.R.S. Identification Nos. of above persons (entities only):</w:t>
            </w:r>
          </w:p>
        </w:tc>
        <w:tc>
          <w:tcPr>
            <w:tcW w:w="616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220" w:hanging="294"/>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20" w:hanging="294"/>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37" w:lineRule="exact"/>
        <w:rPr>
          <w:rFonts w:ascii="Arial" w:cs="Arial" w:eastAsia="Arial" w:hAnsi="Arial"/>
          <w:sz w:val="18"/>
          <w:szCs w:val="18"/>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4840" w:type="dxa"/>
            <w:vAlign w:val="bottom"/>
          </w:tcPr>
          <w:p>
            <w:pPr>
              <w:ind w:left="340"/>
              <w:spacing w:after="0"/>
              <w:rPr>
                <w:sz w:val="20"/>
                <w:szCs w:val="20"/>
                <w:color w:val="auto"/>
              </w:rPr>
            </w:pPr>
            <w:r>
              <w:rPr>
                <w:rFonts w:ascii="Arial" w:cs="Arial" w:eastAsia="Arial" w:hAnsi="Arial"/>
                <w:sz w:val="18"/>
                <w:szCs w:val="18"/>
                <w:color w:val="auto"/>
              </w:rPr>
              <w:t>Source of Funds (See Instruction):</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PF</w:t>
            </w:r>
          </w:p>
        </w:tc>
        <w:tc>
          <w:tcPr>
            <w:tcW w:w="40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Arial" w:cs="Arial" w:eastAsia="Arial" w:hAnsi="Arial"/>
                <w:sz w:val="18"/>
                <w:szCs w:val="18"/>
                <w:b w:val="1"/>
                <w:bCs w:val="1"/>
                <w:color w:val="auto"/>
                <w:w w:val="93"/>
              </w:rPr>
              <w:t>[</w:t>
            </w:r>
          </w:p>
        </w:tc>
        <w:tc>
          <w:tcPr>
            <w:tcW w:w="4080" w:type="dxa"/>
            <w:vAlign w:val="bottom"/>
          </w:tcPr>
          <w:p>
            <w:pPr>
              <w:jc w:val="right"/>
              <w:ind w:right="3730"/>
              <w:spacing w:after="0"/>
              <w:rPr>
                <w:sz w:val="20"/>
                <w:szCs w:val="20"/>
                <w:color w:val="auto"/>
              </w:rPr>
            </w:pPr>
            <w:r>
              <w:rPr>
                <w:rFonts w:ascii="Arial" w:cs="Arial" w:eastAsia="Arial" w:hAnsi="Arial"/>
                <w:sz w:val="18"/>
                <w:szCs w:val="18"/>
                <w:b w:val="1"/>
                <w:bCs w:val="1"/>
                <w:color w:val="auto"/>
              </w:rPr>
              <w:t>]</w:t>
            </w:r>
          </w:p>
        </w:tc>
      </w:tr>
      <w:tr>
        <w:trPr>
          <w:trHeight w:val="223"/>
        </w:trPr>
        <w:tc>
          <w:tcPr>
            <w:tcW w:w="58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4840" w:type="dxa"/>
            <w:vAlign w:val="bottom"/>
          </w:tcPr>
          <w:p>
            <w:pPr>
              <w:ind w:left="34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Nevada</w:t>
            </w:r>
          </w:p>
        </w:tc>
        <w:tc>
          <w:tcPr>
            <w:tcW w:w="4080" w:type="dxa"/>
            <w:vAlign w:val="bottom"/>
          </w:tcPr>
          <w:p>
            <w:pPr>
              <w:spacing w:after="0"/>
              <w:rPr>
                <w:sz w:val="24"/>
                <w:szCs w:val="24"/>
                <w:color w:val="auto"/>
              </w:rPr>
            </w:pPr>
          </w:p>
        </w:tc>
      </w:tr>
      <w:tr>
        <w:trPr>
          <w:trHeight w:val="223"/>
        </w:trPr>
        <w:tc>
          <w:tcPr>
            <w:tcW w:w="542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w w:val="91"/>
              </w:rPr>
              <w:t>Number of Shares Beneficially by Owned by Each Reporting Person With:</w:t>
            </w:r>
          </w:p>
        </w:tc>
        <w:tc>
          <w:tcPr>
            <w:tcW w:w="19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4840" w:type="dxa"/>
            <w:vAlign w:val="bottom"/>
          </w:tcPr>
          <w:p>
            <w:pPr>
              <w:ind w:left="340"/>
              <w:spacing w:after="0"/>
              <w:rPr>
                <w:sz w:val="20"/>
                <w:szCs w:val="20"/>
                <w:color w:val="auto"/>
              </w:rPr>
            </w:pPr>
            <w:r>
              <w:rPr>
                <w:rFonts w:ascii="Arial" w:cs="Arial" w:eastAsia="Arial" w:hAnsi="Arial"/>
                <w:sz w:val="18"/>
                <w:szCs w:val="18"/>
                <w:color w:val="auto"/>
              </w:rPr>
              <w:t>Sole Voting Power:</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3,536,250 SHARES</w:t>
            </w:r>
          </w:p>
        </w:tc>
        <w:tc>
          <w:tcPr>
            <w:tcW w:w="40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840" w:type="dxa"/>
            <w:vAlign w:val="bottom"/>
          </w:tcPr>
          <w:p>
            <w:pPr>
              <w:ind w:left="340"/>
              <w:spacing w:after="0"/>
              <w:rPr>
                <w:sz w:val="20"/>
                <w:szCs w:val="20"/>
                <w:color w:val="auto"/>
              </w:rPr>
            </w:pPr>
            <w:r>
              <w:rPr>
                <w:rFonts w:ascii="Arial" w:cs="Arial" w:eastAsia="Arial" w:hAnsi="Arial"/>
                <w:sz w:val="18"/>
                <w:szCs w:val="18"/>
                <w:color w:val="auto"/>
              </w:rPr>
              <w:t>Shared Voting Power:</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N/A</w:t>
            </w:r>
          </w:p>
        </w:tc>
        <w:tc>
          <w:tcPr>
            <w:tcW w:w="40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4840" w:type="dxa"/>
            <w:vAlign w:val="bottom"/>
          </w:tcPr>
          <w:p>
            <w:pPr>
              <w:ind w:left="340"/>
              <w:spacing w:after="0"/>
              <w:rPr>
                <w:sz w:val="20"/>
                <w:szCs w:val="20"/>
                <w:color w:val="auto"/>
              </w:rPr>
            </w:pPr>
            <w:r>
              <w:rPr>
                <w:rFonts w:ascii="Arial" w:cs="Arial" w:eastAsia="Arial" w:hAnsi="Arial"/>
                <w:sz w:val="18"/>
                <w:szCs w:val="18"/>
                <w:color w:val="auto"/>
              </w:rPr>
              <w:t>Sole Dispositive Power:</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3,536,250 SHARES</w:t>
            </w:r>
          </w:p>
        </w:tc>
        <w:tc>
          <w:tcPr>
            <w:tcW w:w="40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4840" w:type="dxa"/>
            <w:vAlign w:val="bottom"/>
          </w:tcPr>
          <w:p>
            <w:pPr>
              <w:ind w:left="340"/>
              <w:spacing w:after="0"/>
              <w:rPr>
                <w:sz w:val="20"/>
                <w:szCs w:val="20"/>
                <w:color w:val="auto"/>
              </w:rPr>
            </w:pPr>
            <w:r>
              <w:rPr>
                <w:rFonts w:ascii="Arial" w:cs="Arial" w:eastAsia="Arial" w:hAnsi="Arial"/>
                <w:sz w:val="18"/>
                <w:szCs w:val="18"/>
                <w:color w:val="auto"/>
              </w:rPr>
              <w:t>Shared Dispositive Power:</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N/A</w:t>
            </w:r>
          </w:p>
        </w:tc>
        <w:tc>
          <w:tcPr>
            <w:tcW w:w="4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3,536,250 SHARES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8"/>
          <w:szCs w:val="18"/>
          <w:b w:val="1"/>
          <w:bCs w:val="1"/>
          <w:color w:val="auto"/>
        </w:rPr>
        <w:t>26%</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tabs>
          <w:tab w:leader="none" w:pos="1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Statement on Schedule 13D relates to the common stock, par value $0.001 per share (the “Shares”), of OPTIMIZERx Corp, a Nevada Corporation (the "Issuer"), and is being filed by David Harrell (the “Reporting Person”). The Issuer's current principal executive offices are located at 407 Sixth Street, Rochester, MI 48307.</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56" w:lineRule="exact"/>
        <w:rPr>
          <w:sz w:val="20"/>
          <w:szCs w:val="20"/>
          <w:color w:val="auto"/>
        </w:rPr>
      </w:pPr>
    </w:p>
    <w:p>
      <w:pPr>
        <w:ind w:firstLine="8"/>
        <w:spacing w:after="0" w:line="277" w:lineRule="auto"/>
        <w:tabs>
          <w:tab w:leader="none" w:pos="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(c) and (f). This Statement is being filed by David Harrell (the “Reporting Person”). The business address of the Reporting Person is 407 Sixth Street, Rochester, MI 48307. David Harrell is currently the Chairman of the Board of OPTIMIZERx Corp.</w:t>
      </w:r>
    </w:p>
    <w:p>
      <w:pPr>
        <w:spacing w:after="0" w:line="200" w:lineRule="exact"/>
        <w:rPr>
          <w:sz w:val="20"/>
          <w:szCs w:val="20"/>
          <w:color w:val="auto"/>
        </w:rPr>
      </w:pPr>
    </w:p>
    <w:p>
      <w:pPr>
        <w:spacing w:after="0" w:line="214" w:lineRule="exact"/>
        <w:rPr>
          <w:sz w:val="20"/>
          <w:szCs w:val="20"/>
          <w:color w:val="auto"/>
        </w:rPr>
      </w:pPr>
    </w:p>
    <w:p>
      <w:pPr>
        <w:jc w:val="both"/>
        <w:ind w:firstLine="8"/>
        <w:spacing w:after="0" w:line="259"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(e). During the previous five (5) years, the Reporting Person (i) has not been convicted in any criminal proceeding (excluding traffic violations or similar misdemeanors) and (ii) has not been party to a civil proceeding of any of a judicial or administrative body of competent jurisdiction such that, as a result of such proceeding, was or is subject to a judgment, decree or final order enjoining future violations of, or prohibiting or mandating activity subject to, federal or state securities laws or finding any violation with respect to such laws.</w:t>
      </w:r>
    </w:p>
    <w:p>
      <w:pPr>
        <w:spacing w:after="0" w:line="21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Shares to which this statement relates were purchased by David Harrell with his personal funds.</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this Schedule 13D is to report the Beneficial Ownership by the Reporting Person of 3,536,250 shares or 26% of the Issuer’s issued and outstanding common stock as of September 13,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below, the Reporting Person does not have any current plans or proposals which would relate to or would result in:</w:t>
      </w:r>
    </w:p>
    <w:p>
      <w:pPr>
        <w:spacing w:after="0" w:line="25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extraordinary corporate transaction, such as a merger, reorganization or liquidation, involving the Issuer or any of its subsidiaries;</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sale or transfer of a material amount of the assets of the Issuer or any of its subsidiaries;</w:t>
      </w:r>
    </w:p>
    <w:p>
      <w:pPr>
        <w:spacing w:after="0" w:line="252" w:lineRule="exact"/>
        <w:rPr>
          <w:rFonts w:ascii="Arial" w:cs="Arial" w:eastAsia="Arial" w:hAnsi="Arial"/>
          <w:sz w:val="18"/>
          <w:szCs w:val="18"/>
          <w:color w:val="auto"/>
        </w:rPr>
      </w:pPr>
    </w:p>
    <w:p>
      <w:pPr>
        <w:ind w:firstLine="8"/>
        <w:spacing w:after="0" w:line="277"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52"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ind w:firstLine="8"/>
        <w:spacing w:after="0" w:line="277"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acquisition of control of the Issuer by any person;</w:t>
      </w:r>
    </w:p>
    <w:p>
      <w:pPr>
        <w:spacing w:after="0" w:line="197" w:lineRule="exact"/>
        <w:rPr>
          <w:rFonts w:ascii="Arial" w:cs="Arial" w:eastAsia="Arial" w:hAnsi="Arial"/>
          <w:sz w:val="18"/>
          <w:szCs w:val="18"/>
          <w:color w:val="auto"/>
        </w:rPr>
      </w:pPr>
    </w:p>
    <w:p>
      <w:pPr>
        <w:ind w:firstLine="8"/>
        <w:spacing w:after="0" w:line="277"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Act; or</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56" w:lineRule="exact"/>
        <w:rPr>
          <w:sz w:val="20"/>
          <w:szCs w:val="20"/>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Reporting Person is currently the beneficial owner of 3,536,250 shares of Common Stock of the Issuer, representing approximately 26% of the Issuer's common stock (based upon 13,608,754 outstanding shares of common stock as of September 13, 2010.)</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has sole voting and dispositive power over the Shares identified in response to Item 5(a) above.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response by Reporting Person to Item 4, above.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described in this Schedule 13D, the Reporting Person has no contracts, arrangements, understandings or relationships with any other person with respect to any securities of the Issuer.</w:t>
      </w:r>
    </w:p>
    <w:p>
      <w:pPr>
        <w:spacing w:after="0" w:line="19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sectPr>
      <w:pgSz w:w="11900" w:h="16838" w:orient="portrait"/>
      <w:cols w:equalWidth="0" w:num="1">
        <w:col w:w="11060"/>
      </w:cols>
      <w:pgMar w:left="240" w:top="51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lvl w:ilvl="1">
      <w:lvlJc w:val="left"/>
      <w:lvlText w:val="(%2)"/>
      <w:numFmt w:val="lowerLetter"/>
      <w:start w:val="1"/>
    </w:lvl>
  </w:abstractNum>
  <w:abstractNum w:abstractNumId="1">
    <w:nsid w:val="238E1F29"/>
    <w:multiLevelType w:val="hybridMultilevel"/>
    <w:lvl w:ilvl="0">
      <w:lvlJc w:val="left"/>
      <w:lvlText w:val="%1."/>
      <w:numFmt w:val="decimal"/>
      <w:start w:val="1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2019-12-11T07:20:08Z</dcterms:created>
  <dcterms:modified xsi:type="dcterms:W3CDTF">2019-12-11T07:20:08Z</dcterms:modified>
</cp:coreProperties>
</file>