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Atterbury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Whetstone Capital Advisors, LLC, 2001 Shawnee Mission Pkwy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Mission Woods, KS, 66205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(913) 951-2700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51" w:lineRule="exact"/>
        <w:rPr>
          <w:sz w:val="20"/>
          <w:szCs w:val="20"/>
          <w:color w:val="auto"/>
        </w:rPr>
      </w:pPr>
    </w:p>
    <w:p>
      <w:pPr>
        <w:ind w:left="112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2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KANSAS</w:t>
      </w:r>
    </w:p>
    <w:p>
      <w:pPr>
        <w:sectPr>
          <w:pgSz w:w="11900" w:h="16889" w:orient="portrait"/>
          <w:cols w:equalWidth="0" w:num="1">
            <w:col w:w="10099"/>
          </w:cols>
          <w:pgMar w:left="360" w:top="126" w:right="1440"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40"/>
        <w:spacing w:after="0" w:line="22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Voting Power</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9</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1,508,303.00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89"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43"/>
                <w:szCs w:val="43"/>
                <w:color w:val="auto"/>
                <w:w w:val="97"/>
                <w:vertAlign w:val="subscript"/>
              </w:rPr>
              <w:t>7</w:t>
            </w:r>
            <w:r>
              <w:rPr>
                <w:rFonts w:ascii="Times New Roman" w:cs="Times New Roman" w:eastAsia="Times New Roman" w:hAnsi="Times New Roman"/>
                <w:sz w:val="22"/>
                <w:szCs w:val="22"/>
                <w:color w:val="auto"/>
                <w:w w:val="97"/>
              </w:rPr>
              <w:t xml:space="preserve">  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26"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1,508,303.00</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1,508,303.00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1,508,303.00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OptimizeRx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MASSACHUSETTS , 02453.</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Amended No 2. to the Schedule 13D (this "Amendment") that relates to the Common Stock, par value $0.001</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"Common Stock") of OptimizeRx Corporation, a Nevada corporation (the "Issuer"). The address of the Issuer's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principal executive offices is 260 Charles Street, Suite 302, Waltham, MA 02453. This Amendment amends and restates the Schedule 13D filed by the Reporting Persons on February 5, 2025, as subsequently amended on March</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10, 2025 (together,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Amendment is being filed by Whetstone Capital Advisors, LLC ("WCA") and Mr. David Atterbury (together,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5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addresses of the Reporting Persons are as follows: 2001 Shawnee Mission Pkwy Mission Woods, KS 66205</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WCA is a Kansas limited liability company and Mr. David Atterbury is the manager of WCA. WCA serves as the</w:t>
      </w:r>
    </w:p>
    <w:p>
      <w:pPr>
        <w:spacing w:after="0" w:line="14" w:lineRule="exact"/>
        <w:rPr>
          <w:rFonts w:ascii="Times New Roman" w:cs="Times New Roman" w:eastAsia="Times New Roman" w:hAnsi="Times New Roman"/>
          <w:sz w:val="39"/>
          <w:szCs w:val="39"/>
          <w:color w:val="auto"/>
          <w:vertAlign w:val="subscript"/>
        </w:rPr>
      </w:pPr>
    </w:p>
    <w:p>
      <w:pPr>
        <w:ind w:left="920" w:right="8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investment advisor to certain private investment funds (the "Funds"), which hold Common Stock of the Issuer, and may direct the vote and disposition of the Common Stock held by the Funds. As the manager of WCA, Mr. Atterbury may direct the vote and disposition of the Common Stock held by the Funds.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During the last five years, neither the Reporting Persons (or a controlling entity thereof) nor any executive officer or</w:t>
      </w:r>
    </w:p>
    <w:p>
      <w:pPr>
        <w:spacing w:after="0" w:line="14" w:lineRule="exact"/>
        <w:rPr>
          <w:rFonts w:ascii="Times New Roman" w:cs="Times New Roman" w:eastAsia="Times New Roman" w:hAnsi="Times New Roman"/>
          <w:sz w:val="42"/>
          <w:szCs w:val="42"/>
          <w:color w:val="auto"/>
          <w:vertAlign w:val="subscript"/>
        </w:rPr>
      </w:pPr>
    </w:p>
    <w:p>
      <w:pPr>
        <w:ind w:left="920" w:right="16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neither the Reporting Persons (or a controlling entity thereof) nor any executive officer or</w:t>
      </w:r>
    </w:p>
    <w:p>
      <w:pPr>
        <w:spacing w:after="0" w:line="14" w:lineRule="exact"/>
        <w:rPr>
          <w:rFonts w:ascii="Times New Roman" w:cs="Times New Roman" w:eastAsia="Times New Roman" w:hAnsi="Times New Roman"/>
          <w:sz w:val="22"/>
          <w:szCs w:val="22"/>
          <w:color w:val="auto"/>
        </w:rPr>
      </w:pPr>
    </w:p>
    <w:p>
      <w:pPr>
        <w:ind w:left="920" w:right="36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a party to a civil proceeding of a judicial or administrative body of competent jurisdiction.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Item 2(c) above for the place of organization of WCA. Mr. Atterbury is a citizen of the United States of America.</w:t>
      </w:r>
    </w:p>
    <w:p>
      <w:pPr>
        <w:spacing w:after="0" w:line="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20"/>
        <w:spacing w:after="0" w:line="259" w:lineRule="auto"/>
        <w:rPr>
          <w:sz w:val="20"/>
          <w:szCs w:val="20"/>
          <w:color w:val="auto"/>
        </w:rPr>
      </w:pPr>
      <w:r>
        <w:rPr>
          <w:rFonts w:ascii="Times New Roman" w:cs="Times New Roman" w:eastAsia="Times New Roman" w:hAnsi="Times New Roman"/>
          <w:sz w:val="21"/>
          <w:szCs w:val="21"/>
          <w:color w:val="auto"/>
        </w:rPr>
        <w:t>The Common Stock reported herein as being beneficially owned by the Reporting Persons was purchased using working capital of the Funds. An aggregate of approximately $7,557,310 (excluding brokerage commissions) was used to purchase the Common Stock reported as beneficially owned by the Reporting Persons in this Schedule 13D.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838" w:orient="portrait"/>
          <w:cols w:equalWidth="0" w:num="1">
            <w:col w:w="11160"/>
          </w:cols>
          <w:pgMar w:left="360" w:top="102" w:right="379" w:bottom="0" w:gutter="0" w:footer="0" w:header="0"/>
        </w:sectPr>
      </w:pPr>
    </w:p>
    <w:bookmarkStart w:id="3" w:name="page4"/>
    <w:bookmarkEnd w:id="3"/>
    <w:p>
      <w:pPr>
        <w:ind w:left="920" w:right="40"/>
        <w:spacing w:after="0" w:line="232" w:lineRule="auto"/>
        <w:rPr>
          <w:sz w:val="20"/>
          <w:szCs w:val="20"/>
          <w:color w:val="auto"/>
        </w:rPr>
      </w:pPr>
      <w:r>
        <w:rPr>
          <w:rFonts w:ascii="Times New Roman" w:cs="Times New Roman" w:eastAsia="Times New Roman" w:hAnsi="Times New Roman"/>
          <w:sz w:val="22"/>
          <w:szCs w:val="22"/>
          <w:color w:val="auto"/>
        </w:rPr>
        <w:t>This Amendment hereby amends and supplements Item 4 of the Schedule 13D by inserting the following: On April 18, 2025, WCA submitted to the Issuer a conditional withdrawal of its notice of intent to nominate two candidates for election to the Board at the Issuer's 2025 annual meeting of stockholders (the "Conditional Withdrawal"). The Conditional Withdrawal became effective on the same day, following the Issuer's issuance of a press release announcing its intention to appoint a new independent director to its Board prior to the end of 2025. The Conditional Withdrawal followed discussions held between WCA and the Issuer, and was in connection with a number of actions announced by the Issuer regarding Board refreshment and future strategy. The Reporting Persons intend to review their investments in the Issuer on a continuing basis. Depending on various factors, including, without limitation, the Issuer's financial position and strategic direction, the outcome of the discussions and matters referenced above, actions taken by the Issuer's management or Board, price levels of the Common Stock, liquidity requirements and other investment opportunities available to the Reporting Persons, conditions in the securities market and general economic and industry conditions, the Reporting Persons may in the future take actions with respect to their investment position in the Issuer as they deem appropriate, including, without limitation, purchasing additional shares of Common Stock or other instruments that are based upon or relate to the value of the Common Stock or the Issuer in the open market or otherwise, selling some or all of the securities reported herein, and/or engaging in hedging or similar transactions with respect to the shares of Common Stock.</w:t>
      </w:r>
    </w:p>
    <w:p>
      <w:pPr>
        <w:spacing w:after="0" w:line="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pages to this Schedule 13D for the aggregate number of shares of Common Stock and percentage of the Common Stock beneficially owned by each of the Reporting Persons. The percentages reported</w:t>
      </w:r>
    </w:p>
    <w:p>
      <w:pPr>
        <w:spacing w:after="0" w:line="1" w:lineRule="exact"/>
        <w:rPr>
          <w:sz w:val="20"/>
          <w:szCs w:val="20"/>
          <w:color w:val="auto"/>
        </w:rPr>
      </w:pPr>
    </w:p>
    <w:p>
      <w:pPr>
        <w:ind w:left="920" w:right="140" w:hanging="912"/>
        <w:spacing w:after="0" w:line="235"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this Schedule 13D were calculated based upon the 18,490,385 shares of Common Stock issued and outstanding as of March 11, 2025, as reported in the Issuer's Annual Report on Form 10-K filed with the Securities and Exchange Commission (the "SEC") on March 20, 2025.</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w:t>
      </w:r>
    </w:p>
    <w:p>
      <w:pPr>
        <w:spacing w:after="0" w:line="14" w:lineRule="exact"/>
        <w:rPr>
          <w:rFonts w:ascii="Times New Roman" w:cs="Times New Roman" w:eastAsia="Times New Roman" w:hAnsi="Times New Roman"/>
          <w:sz w:val="22"/>
          <w:szCs w:val="22"/>
          <w:color w:val="auto"/>
        </w:rPr>
      </w:pPr>
    </w:p>
    <w:p>
      <w:pPr>
        <w:ind w:left="920" w:right="56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right="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There were no transactions effected by the Reporting Persons in the Common Stock of the Issuer during the past sixty (60) days.</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Funds and the Reporting Persons, no other person is known to have the right to receive, or the power to direct the receipt of, dividends from or proceeds from the sale, of the Common Stock.</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36" w:lineRule="auto"/>
        <w:rPr>
          <w:sz w:val="20"/>
          <w:szCs w:val="20"/>
          <w:color w:val="auto"/>
        </w:rPr>
      </w:pPr>
      <w:r>
        <w:rPr>
          <w:rFonts w:ascii="Times New Roman" w:cs="Times New Roman" w:eastAsia="Times New Roman" w:hAnsi="Times New Roman"/>
          <w:sz w:val="22"/>
          <w:szCs w:val="22"/>
          <w:color w:val="auto"/>
        </w:rPr>
        <w:t>There are no contracts, arrangements, understandings or relationships (legal or otherwise) among any Reporting Person or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David Atterbury, Manager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David Atterbury</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2025-04-21T13:50:53Z</dcterms:created>
  <dcterms:modified xsi:type="dcterms:W3CDTF">2025-04-21T13:50:53Z</dcterms:modified>
</cp:coreProperties>
</file>