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03848-10k_optimizerx.htm"/>
      <w:bookmarkStart w:id="1" w:name="ksea020384810k_optimizerx"/>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001-38543</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OptimizeRx Corporation</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5050" w:type="dxa"/>
        <w:jc w:val="left"/>
        <w:tblInd w:w="0" w:type="dxa"/>
        <w:tblLayout w:type="fixed"/>
        <w:tblCellMar>
          <w:top w:w="0" w:type="dxa"/>
          <w:left w:w="0" w:type="dxa"/>
          <w:bottom w:w="28" w:type="dxa"/>
          <w:right w:w="0" w:type="dxa"/>
        </w:tblCellMar>
      </w:tblPr>
      <w:tblGrid>
        <w:gridCol w:w="3215"/>
        <w:gridCol w:w="60"/>
        <w:gridCol w:w="1775"/>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26-1265381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 of</w:t>
              <w:br/>
              <w:t>incorporation or organization)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(I.R.S. Employer </w:t>
              <w:br/>
              <w:t>Identification No.)</w:t>
            </w:r>
          </w:p>
        </w:tc>
      </w:tr>
      <w:tr>
        <w:trPr/>
        <w:tc>
          <w:tcPr>
            <w:tcW w:w="32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260 Charles Street Suite 302</w:t>
              <w:br/>
              <w:t>Waltham, MA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02453</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w:t>
      </w:r>
      <w:r>
        <w:rPr>
          <w:rFonts w:ascii="Times New Roman;Times;Serif" w:hAnsi="Times New Roman;Times;Serif"/>
          <w:b/>
          <w:i w:val="false"/>
          <w:caps w:val="false"/>
          <w:smallCaps w:val="false"/>
          <w:sz w:val="20"/>
        </w:rPr>
        <w:t xml:space="preserve">248-651-6568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2750"/>
        <w:gridCol w:w="60"/>
        <w:gridCol w:w="1415"/>
        <w:gridCol w:w="60"/>
        <w:gridCol w:w="3710"/>
      </w:tblGrid>
      <w:tr>
        <w:trPr/>
        <w:tc>
          <w:tcPr>
            <w:tcW w:w="27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12(g) of the Exchange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230"/>
        <w:gridCol w:w="1820"/>
        <w:gridCol w:w="23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$235,326,034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date.18,183,914 common shares as of April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registrant’s definitive proxy statement, in connection with its 2024 Annual Meeting of Shareholders, to be filed with the Securities and Exchange Commission within 120 days after December 31, 2023, are incorporated by reference into PART III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10200" w:type="dxa"/>
        <w:jc w:val="left"/>
        <w:tblInd w:w="0" w:type="dxa"/>
        <w:tblLayout w:type="fixed"/>
        <w:tblCellMar>
          <w:top w:w="0" w:type="dxa"/>
          <w:left w:w="0" w:type="dxa"/>
          <w:bottom w:w="0" w:type="dxa"/>
          <w:right w:w="0" w:type="dxa"/>
        </w:tblCellMar>
      </w:tblPr>
      <w:tblGrid>
        <w:gridCol w:w="725"/>
        <w:gridCol w:w="9050"/>
        <w:gridCol w:w="425"/>
      </w:tblGrid>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200" w:type="dxa"/>
            <w:gridSpan w:val="3"/>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w:t>
              </w:r>
            </w:hyperlink>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w:t>
            </w:r>
          </w:p>
        </w:tc>
        <w:tc>
          <w:tcPr>
            <w:tcW w:w="905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sz w:val="20"/>
                </w:rPr>
                <w:t>Business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1A.</w:t>
            </w:r>
          </w:p>
        </w:tc>
        <w:tc>
          <w:tcPr>
            <w:tcW w:w="9050" w:type="dxa"/>
            <w:tcBorders/>
            <w:vAlign w:val="center"/>
          </w:tcPr>
          <w:p>
            <w:pPr>
              <w:pStyle w:val="TableContents"/>
              <w:bidi w:val="0"/>
              <w:spacing w:before="0" w:after="283"/>
              <w:jc w:val="both"/>
              <w:rPr/>
            </w:pPr>
            <w:hyperlink w:anchor="a_003">
              <w:r>
                <w:rPr>
                  <w:rStyle w:val="InternetLink"/>
                  <w:rFonts w:ascii="Times New Roman;Times;Serif" w:hAnsi="Times New Roman;Times;Serif"/>
                  <w:sz w:val="20"/>
                </w:rPr>
                <w:t>Risk Factors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1B.</w:t>
            </w:r>
          </w:p>
        </w:tc>
        <w:tc>
          <w:tcPr>
            <w:tcW w:w="905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Unresolved Staff Comments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1C.</w:t>
            </w:r>
          </w:p>
        </w:tc>
        <w:tc>
          <w:tcPr>
            <w:tcW w:w="9050" w:type="dxa"/>
            <w:tcBorders/>
            <w:vAlign w:val="center"/>
          </w:tcPr>
          <w:p>
            <w:pPr>
              <w:pStyle w:val="TableContents"/>
              <w:bidi w:val="0"/>
              <w:spacing w:before="0" w:after="283"/>
              <w:jc w:val="both"/>
              <w:rPr/>
            </w:pPr>
            <w:hyperlink w:anchor="a_005">
              <w:r>
                <w:rPr>
                  <w:rStyle w:val="InternetLink"/>
                  <w:rFonts w:ascii="Times New Roman;Times;Serif" w:hAnsi="Times New Roman;Times;Serif"/>
                  <w:sz w:val="20"/>
                </w:rPr>
                <w:t>Cybersecurity</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2.</w:t>
            </w:r>
          </w:p>
        </w:tc>
        <w:tc>
          <w:tcPr>
            <w:tcW w:w="905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sz w:val="20"/>
                </w:rPr>
                <w:t>Properties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3.</w:t>
            </w:r>
          </w:p>
        </w:tc>
        <w:tc>
          <w:tcPr>
            <w:tcW w:w="9050" w:type="dxa"/>
            <w:tcBorders/>
            <w:vAlign w:val="center"/>
          </w:tcPr>
          <w:p>
            <w:pPr>
              <w:pStyle w:val="TableContents"/>
              <w:bidi w:val="0"/>
              <w:spacing w:before="0" w:after="283"/>
              <w:jc w:val="both"/>
              <w:rPr/>
            </w:pPr>
            <w:hyperlink w:anchor="a_007">
              <w:r>
                <w:rPr>
                  <w:rStyle w:val="InternetLink"/>
                  <w:rFonts w:ascii="Times New Roman;Times;Serif" w:hAnsi="Times New Roman;Times;Serif"/>
                  <w:sz w:val="20"/>
                </w:rPr>
                <w:t>Legal Proceedings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w:t>
            </w:r>
          </w:p>
        </w:tc>
        <w:tc>
          <w:tcPr>
            <w:tcW w:w="9050"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sz w:val="20"/>
                </w:rPr>
                <w:t>Mine Safety Disclosures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4.1</w:t>
            </w:r>
          </w:p>
        </w:tc>
        <w:tc>
          <w:tcPr>
            <w:tcW w:w="9050" w:type="dxa"/>
            <w:tcBorders/>
            <w:vAlign w:val="center"/>
          </w:tcPr>
          <w:p>
            <w:pPr>
              <w:pStyle w:val="TableContents"/>
              <w:bidi w:val="0"/>
              <w:spacing w:before="0" w:after="283"/>
              <w:jc w:val="both"/>
              <w:rPr/>
            </w:pPr>
            <w:hyperlink w:anchor="a_009">
              <w:r>
                <w:rPr>
                  <w:rStyle w:val="InternetLink"/>
                  <w:rFonts w:ascii="Times New Roman;Times;Serif" w:hAnsi="Times New Roman;Times;Serif"/>
                  <w:sz w:val="20"/>
                </w:rPr>
                <w:t>Information about Our Executive Officers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0200" w:type="dxa"/>
            <w:gridSpan w:val="3"/>
            <w:tcBorders/>
            <w:vAlign w:val="center"/>
          </w:tcPr>
          <w:p>
            <w:pPr>
              <w:pStyle w:val="TableContents"/>
              <w:bidi w:val="0"/>
              <w:spacing w:before="0" w:after="283"/>
              <w:jc w:val="center"/>
              <w:rPr/>
            </w:pPr>
            <w:hyperlink w:anchor="a_010">
              <w:r>
                <w:rPr>
                  <w:rStyle w:val="InternetLink"/>
                  <w:rFonts w:ascii="Times New Roman;Times;Serif" w:hAnsi="Times New Roman;Times;Serif"/>
                  <w:sz w:val="20"/>
                </w:rPr>
                <w:t>PART II</w:t>
              </w:r>
            </w:hyperlink>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5.</w:t>
            </w:r>
          </w:p>
        </w:tc>
        <w:tc>
          <w:tcPr>
            <w:tcW w:w="9050" w:type="dxa"/>
            <w:tcBorders/>
            <w:vAlign w:val="center"/>
          </w:tcPr>
          <w:p>
            <w:pPr>
              <w:pStyle w:val="TableContents"/>
              <w:bidi w:val="0"/>
              <w:spacing w:before="0" w:after="283"/>
              <w:jc w:val="both"/>
              <w:rPr/>
            </w:pPr>
            <w:hyperlink w:anchor="a_011">
              <w:r>
                <w:rPr>
                  <w:rStyle w:val="InternetLink"/>
                  <w:rFonts w:ascii="Times New Roman;Times;Serif" w:hAnsi="Times New Roman;Times;Serif"/>
                  <w:sz w:val="20"/>
                </w:rPr>
                <w:t>Market for Registrant’s Common Equity, Related Stockholder Matters and Issuer Purchases of Equity Securities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6.</w:t>
            </w:r>
          </w:p>
        </w:tc>
        <w:tc>
          <w:tcPr>
            <w:tcW w:w="9050"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sz w:val="20"/>
                </w:rPr>
                <w:t>Reserved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7.</w:t>
            </w:r>
          </w:p>
        </w:tc>
        <w:tc>
          <w:tcPr>
            <w:tcW w:w="9050" w:type="dxa"/>
            <w:tcBorders/>
            <w:vAlign w:val="center"/>
          </w:tcPr>
          <w:p>
            <w:pPr>
              <w:pStyle w:val="TableContents"/>
              <w:bidi w:val="0"/>
              <w:spacing w:before="0" w:after="283"/>
              <w:jc w:val="both"/>
              <w:rPr/>
            </w:pPr>
            <w:hyperlink w:anchor="a_013">
              <w:r>
                <w:rPr>
                  <w:rStyle w:val="InternetLink"/>
                  <w:rFonts w:ascii="Times New Roman;Times;Serif" w:hAnsi="Times New Roman;Times;Serif"/>
                  <w:sz w:val="20"/>
                </w:rPr>
                <w:t>Management’s Discussion and Analysis of Financial Condition and Results of Operations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7A.</w:t>
            </w:r>
          </w:p>
        </w:tc>
        <w:tc>
          <w:tcPr>
            <w:tcW w:w="9050"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sz w:val="20"/>
                </w:rPr>
                <w:t>Quantitative and Qualitative Disclosures about Market Risk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8.</w:t>
            </w:r>
          </w:p>
        </w:tc>
        <w:tc>
          <w:tcPr>
            <w:tcW w:w="9050" w:type="dxa"/>
            <w:tcBorders/>
            <w:vAlign w:val="center"/>
          </w:tcPr>
          <w:p>
            <w:pPr>
              <w:pStyle w:val="TableContents"/>
              <w:bidi w:val="0"/>
              <w:spacing w:before="0" w:after="283"/>
              <w:jc w:val="both"/>
              <w:rPr/>
            </w:pPr>
            <w:hyperlink w:anchor="a_015">
              <w:r>
                <w:rPr>
                  <w:rStyle w:val="InternetLink"/>
                  <w:rFonts w:ascii="Times New Roman;Times;Serif" w:hAnsi="Times New Roman;Times;Serif"/>
                  <w:sz w:val="20"/>
                </w:rPr>
                <w:t>Financial Statements and Supplementary Data</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w:t>
            </w:r>
          </w:p>
        </w:tc>
        <w:tc>
          <w:tcPr>
            <w:tcW w:w="9050"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sz w:val="20"/>
                </w:rPr>
                <w:t>Changes In and Disagreements With Accountants on Accounting and Financial Disclosure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9A.</w:t>
            </w:r>
          </w:p>
        </w:tc>
        <w:tc>
          <w:tcPr>
            <w:tcW w:w="9050" w:type="dxa"/>
            <w:tcBorders/>
            <w:vAlign w:val="center"/>
          </w:tcPr>
          <w:p>
            <w:pPr>
              <w:pStyle w:val="TableContents"/>
              <w:bidi w:val="0"/>
              <w:spacing w:before="0" w:after="283"/>
              <w:jc w:val="both"/>
              <w:rPr/>
            </w:pPr>
            <w:hyperlink w:anchor="a_017">
              <w:r>
                <w:rPr>
                  <w:rStyle w:val="InternetLink"/>
                  <w:rFonts w:ascii="Times New Roman;Times;Serif" w:hAnsi="Times New Roman;Times;Serif"/>
                  <w:sz w:val="20"/>
                </w:rPr>
                <w:t>Controls and Procedures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9B.</w:t>
            </w:r>
          </w:p>
        </w:tc>
        <w:tc>
          <w:tcPr>
            <w:tcW w:w="905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sz w:val="20"/>
                </w:rPr>
                <w:t>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9C</w:t>
            </w:r>
          </w:p>
        </w:tc>
        <w:tc>
          <w:tcPr>
            <w:tcW w:w="9050" w:type="dxa"/>
            <w:tcBorders/>
            <w:vAlign w:val="center"/>
          </w:tcPr>
          <w:p>
            <w:pPr>
              <w:pStyle w:val="TableContents"/>
              <w:bidi w:val="0"/>
              <w:spacing w:before="0" w:after="283"/>
              <w:jc w:val="both"/>
              <w:rPr/>
            </w:pPr>
            <w:hyperlink w:anchor="a_019">
              <w:r>
                <w:rPr>
                  <w:rStyle w:val="InternetLink"/>
                  <w:rFonts w:ascii="Times New Roman;Times;Serif" w:hAnsi="Times New Roman;Times;Serif"/>
                  <w:sz w:val="20"/>
                </w:rPr>
                <w:t>Disclosure Regarding Foreign Jurisdictions that Prevent Inspections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0200" w:type="dxa"/>
            <w:gridSpan w:val="3"/>
            <w:tcBorders/>
            <w:vAlign w:val="center"/>
          </w:tcPr>
          <w:p>
            <w:pPr>
              <w:pStyle w:val="TableContents"/>
              <w:bidi w:val="0"/>
              <w:spacing w:before="0" w:after="283"/>
              <w:jc w:val="center"/>
              <w:rPr/>
            </w:pPr>
            <w:hyperlink w:anchor="a_020">
              <w:r>
                <w:rPr>
                  <w:rStyle w:val="InternetLink"/>
                  <w:rFonts w:ascii="Times New Roman;Times;Serif" w:hAnsi="Times New Roman;Times;Serif"/>
                  <w:sz w:val="20"/>
                </w:rPr>
                <w:t>PART III</w:t>
              </w:r>
            </w:hyperlink>
          </w:p>
        </w:tc>
      </w:tr>
      <w:tr>
        <w:trPr/>
        <w:tc>
          <w:tcPr>
            <w:tcW w:w="10200" w:type="dxa"/>
            <w:gridSpan w:val="3"/>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10.</w:t>
            </w:r>
          </w:p>
        </w:tc>
        <w:tc>
          <w:tcPr>
            <w:tcW w:w="9050" w:type="dxa"/>
            <w:tcBorders/>
            <w:vAlign w:val="center"/>
          </w:tcPr>
          <w:p>
            <w:pPr>
              <w:pStyle w:val="TableContents"/>
              <w:bidi w:val="0"/>
              <w:spacing w:before="0" w:after="283"/>
              <w:jc w:val="both"/>
              <w:rPr/>
            </w:pPr>
            <w:hyperlink w:anchor="a_021">
              <w:r>
                <w:rPr>
                  <w:rStyle w:val="InternetLink"/>
                  <w:rFonts w:ascii="Times New Roman;Times;Serif" w:hAnsi="Times New Roman;Times;Serif"/>
                  <w:sz w:val="20"/>
                </w:rPr>
                <w:t>Directors, Executive Officers and Corporate Governance</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11.</w:t>
            </w:r>
          </w:p>
        </w:tc>
        <w:tc>
          <w:tcPr>
            <w:tcW w:w="9050" w:type="dxa"/>
            <w:tcBorders/>
            <w:shd w:fill="CCEEFF" w:val="clear"/>
            <w:vAlign w:val="center"/>
          </w:tcPr>
          <w:p>
            <w:pPr>
              <w:pStyle w:val="TableContents"/>
              <w:bidi w:val="0"/>
              <w:spacing w:before="0" w:after="283"/>
              <w:jc w:val="both"/>
              <w:rPr/>
            </w:pPr>
            <w:hyperlink w:anchor="a_022">
              <w:r>
                <w:rPr>
                  <w:rStyle w:val="InternetLink"/>
                  <w:rFonts w:ascii="Times New Roman;Times;Serif" w:hAnsi="Times New Roman;Times;Serif"/>
                  <w:sz w:val="20"/>
                </w:rPr>
                <w:t>Executive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12.</w:t>
            </w:r>
          </w:p>
        </w:tc>
        <w:tc>
          <w:tcPr>
            <w:tcW w:w="9050" w:type="dxa"/>
            <w:tcBorders/>
            <w:vAlign w:val="center"/>
          </w:tcPr>
          <w:p>
            <w:pPr>
              <w:pStyle w:val="TableContents"/>
              <w:bidi w:val="0"/>
              <w:spacing w:before="0" w:after="283"/>
              <w:jc w:val="both"/>
              <w:rPr/>
            </w:pPr>
            <w:hyperlink w:anchor="a_023">
              <w:r>
                <w:rPr>
                  <w:rStyle w:val="InternetLink"/>
                  <w:rFonts w:ascii="Times New Roman;Times;Serif" w:hAnsi="Times New Roman;Times;Serif"/>
                  <w:sz w:val="20"/>
                </w:rPr>
                <w:t>Security Ownership of Certain Beneficial Owners and Management and Related Stockholder Matters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13.</w:t>
            </w:r>
          </w:p>
        </w:tc>
        <w:tc>
          <w:tcPr>
            <w:tcW w:w="9050" w:type="dxa"/>
            <w:tcBorders/>
            <w:shd w:fill="CCEEFF" w:val="clear"/>
            <w:vAlign w:val="center"/>
          </w:tcPr>
          <w:p>
            <w:pPr>
              <w:pStyle w:val="TableContents"/>
              <w:bidi w:val="0"/>
              <w:spacing w:before="0" w:after="283"/>
              <w:jc w:val="both"/>
              <w:rPr/>
            </w:pPr>
            <w:hyperlink w:anchor="a_024">
              <w:r>
                <w:rPr>
                  <w:rStyle w:val="InternetLink"/>
                  <w:rFonts w:ascii="Times New Roman;Times;Serif" w:hAnsi="Times New Roman;Times;Serif"/>
                  <w:sz w:val="20"/>
                </w:rPr>
                <w:t>Certain Relationships and Related Transactions, and Director Independence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14.</w:t>
            </w:r>
          </w:p>
        </w:tc>
        <w:tc>
          <w:tcPr>
            <w:tcW w:w="9050" w:type="dxa"/>
            <w:tcBorders/>
            <w:vAlign w:val="center"/>
          </w:tcPr>
          <w:p>
            <w:pPr>
              <w:pStyle w:val="TableContents"/>
              <w:bidi w:val="0"/>
              <w:spacing w:before="0" w:after="283"/>
              <w:jc w:val="both"/>
              <w:rPr/>
            </w:pPr>
            <w:hyperlink w:anchor="a_025">
              <w:r>
                <w:rPr>
                  <w:rStyle w:val="InternetLink"/>
                  <w:rFonts w:ascii="Times New Roman;Times;Serif" w:hAnsi="Times New Roman;Times;Serif"/>
                  <w:sz w:val="20"/>
                </w:rPr>
                <w:t>Principal Accountant Fees and Services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0200" w:type="dxa"/>
            <w:gridSpan w:val="3"/>
            <w:tcBorders/>
            <w:vAlign w:val="center"/>
          </w:tcPr>
          <w:p>
            <w:pPr>
              <w:pStyle w:val="TableContents"/>
              <w:bidi w:val="0"/>
              <w:spacing w:before="0" w:after="283"/>
              <w:jc w:val="center"/>
              <w:rPr/>
            </w:pPr>
            <w:hyperlink w:anchor="a_026">
              <w:r>
                <w:rPr>
                  <w:rStyle w:val="InternetLink"/>
                  <w:rFonts w:ascii="Times New Roman;Times;Serif" w:hAnsi="Times New Roman;Times;Serif"/>
                  <w:sz w:val="20"/>
                </w:rPr>
                <w:t>PART IV</w:t>
              </w:r>
            </w:hyperlink>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15.</w:t>
            </w:r>
          </w:p>
        </w:tc>
        <w:tc>
          <w:tcPr>
            <w:tcW w:w="9050" w:type="dxa"/>
            <w:tcBorders/>
            <w:vAlign w:val="center"/>
          </w:tcPr>
          <w:p>
            <w:pPr>
              <w:pStyle w:val="TableContents"/>
              <w:bidi w:val="0"/>
              <w:spacing w:before="0" w:after="283"/>
              <w:jc w:val="both"/>
              <w:rPr/>
            </w:pPr>
            <w:hyperlink w:anchor="a_027">
              <w:r>
                <w:rPr>
                  <w:rStyle w:val="InternetLink"/>
                  <w:rFonts w:ascii="Times New Roman;Times;Serif" w:hAnsi="Times New Roman;Times;Serif"/>
                  <w:sz w:val="20"/>
                </w:rPr>
                <w:t>Exhibits and Financial Statement Schedules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16.</w:t>
            </w:r>
          </w:p>
        </w:tc>
        <w:tc>
          <w:tcPr>
            <w:tcW w:w="9050" w:type="dxa"/>
            <w:tcBorders/>
            <w:shd w:fill="CCEEFF" w:val="clear"/>
            <w:vAlign w:val="center"/>
          </w:tcPr>
          <w:p>
            <w:pPr>
              <w:pStyle w:val="TableContents"/>
              <w:bidi w:val="0"/>
              <w:spacing w:before="0" w:after="283"/>
              <w:jc w:val="both"/>
              <w:rPr/>
            </w:pPr>
            <w:hyperlink w:anchor="a_028">
              <w:r>
                <w:rPr>
                  <w:rStyle w:val="InternetLink"/>
                  <w:rFonts w:ascii="Times New Roman;Times;Serif" w:hAnsi="Times New Roman;Times;Serif"/>
                  <w:sz w:val="20"/>
                </w:rPr>
                <w:t>Form 10-K Summary</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a_001"/>
      <w:bookmarkEnd w:id="2"/>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or the context otherwise requires, when used in this Annual Report on Form 10-K, the terms “we,” “our,” “us,” “OptimizeRx,” or the “Company” refer to OptimizeRx Corporation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is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organized in September 2008. We conduct our operations through our wholly-owned subsidiaries, Healthy Offers, Inc. (d/b/a Medicx Health or “Medicx Health”), a Nevada corporation, CareSpeak Communications, Inc., a New Jersey corporation, CareSpeak Communications, d.o.o., a controlled foreign corporation incorporated in Croatia, and Cyberdiet, a controlled foreign corporation incorporated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Artificial Intelligence (AI) powered Dynamic Audience and Activation Platform (“DAAP”), expanding on previous iterations of the RWD.AI technology. which uses sophisticated machine-learning algorithms to find the best audiences in the correct channels at the right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sciences organizations face a challenging commercial landscape. In recent years, they have met increased competition, shrinking market sizes, and inconsistent access to patients and healthcare professionals - their most important customers. 81% of new drug approvals are specialty medications, leading to more complex diagnosis criteria, increased utilization management by healthcare payors, and lengthy wait times for patients to begin treatment after care decisions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life sciences organizations have increasingly turned to technology solutions to support their commercial strategies. Spending on digital solutions to facilitate greater access to their end markets accounts for one-third of their collective commercial spend in the United States of approximately $30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significant opportunity exists to address the unmet needs of life sciences organizations as they relate to digital solutions, including omnichannel access to health care professionals, for complex commercial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Company Highlights</w:t>
      </w:r>
    </w:p>
    <w:p>
      <w:pPr>
        <w:pStyle w:val="TextBody"/>
        <w:bidi w:val="0"/>
        <w:spacing w:before="0" w:after="0"/>
        <w:ind w:left="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20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1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 increased to $71.5 million in 2023, a 15% increase over 2022.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increased to $42.9 million in 2023 from $39.0 million in 2022 with corresponding gross margins of 60.0% and 62.4%,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Meaningfully increased our DAAP footprint. With 2023 having 24 DAAP deals compared to only six deals in 2022.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Acquired Medicx Health, a leading healthcare consumer-focused omnichannel marketing and analytics company that significantly expands our footprint with consumers and patients.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Refocused operations on core solutions to streamline efficiencies and better position the Company to capitalize on synergies with Medicx Health, focusing on Audience Development, Audience Activation and Media Execution, and Financial Messaging.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original solution was Financial Messaging - the delivery of treatment-specific financial support information for patients distributed directly to healthcare prescribers through a combination of our proprietary technology and a network of electronic health record (EHR) and electronic prescribing (ERx) platforms. Over time, the demand for different types of communication and marketing solutions among life sciences organizations, healthcare providers, and patients led us to expand upon our initial solution to increase the variety of health-related information we deliver, as well as the platforms, technology, and audiences through and to which we deliver. Today, we offer diverse tech-enabled marketing solutions through our AI-generated DAAP, which enables customers to execute traditional marketing campaigns on our proprietary digital point-of-care network, as well as dynamic marketing campaigns that optimize audiences in real time to increase the value of treatment information for healthcare professionals and patients in response to clinical care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solutions, available individually or through our DAAP, can be summarized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Audience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AI-generated dynamic audience creation using predictive analytics via machine learning methods applied to real-world data (RWD) to assist healthcare providers (HCPs) in identifying patients who may be qualified for specific therapies, raise awareness of patient access pathways, and identify early indicators of non-adherence among patient populations. This solution has a “patient-first” focus, helping manufacturers identify which HCPs to engage by first identifying if they currently care for qualified patients, based on where they are in their care journey and disease state. These AI models provide our clients with the most relevant targets and fuel the deployment of programs across our other solutions.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Creation of consumer audiences using our privacy-safe and HIPAA-compliant Micro-Neighborhood Targeting® technology available for traditional media execution through major programmatic Demand-Side Platforms (DSPs)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Audience Activation and Media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HCP media execution delivering awareness (brand, therapeutic support, affordability, HUB, limited distribution, and patient support program) messaging via our HCP omnichannel network including digital point-of-care banners within clinical workflow applications, such as EHR systems and ERx platforms, programmatic social media, and programmatic display.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Consumer audience media execution delivering consumer awareness via our consumer omnichannel network including programmatic display, programmatic connected television (CTV)/over-the-top (OTT), programmatic social media, addressable television (ATV), digital out-of-home (OOH), programmatic audio (podcasts, apps, radio), and email/direct mail.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Messaging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Financial Messaging solution providing prescribers visibility to branded copay offers directly within their EHR systems and/or ERx platforms. It allows prescribers to print, digitally send directly to patients via SMS, and/or digitally send copay offer details electronically to the dispensing pharmacy. Our solution addresses the fact that many healthcare systems and prescribers are looking for an easier, more effective way to increase affordable access to their prescribed branded medications.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sales team of over 20 people, marketing our solutions to new and existing clients. Our sales team drives awareness of the increased value of our technology stack as an AI tech-enabled marketing platform. Accordingly, our sales efforts are not directed merely at selling individual solutions, but more broadly towards selling enterprise platform engagements with access to our full set of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teams work closely together to cultivate customer relationships. We use a number of methods to market and promote our solutions, including digital advertising, industry events, trade shows, conferences, media coverage, social media and email. In 2023, we enhanced our RWD.AI platform solution to become the premier platform to devise and execute Next-Best-Action marketing strategies within healthcare professional audiences and branded the platform as DAAP.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growth and provide maximum security, scalability, and flexibility, all of our systems, including from acquisitions, are now hosted and integrated in the cloud. Our technology development and systems management core team is in the U.S. and in Croatia, with contractors in India and Ukraine to provide bench depth, rich skills experience, and business economies. The teams are organized into Centers of Excellence focused on Product Domains, Quality Assurance, Information Security, Data Warehousing and Business Intelligence, Platform Services, and Internal Systems Support. Systems enhancements in 2023 included upgrades and documentation of processes and procedures and security implementation for ongoing cybersecurity, Sarbanes Oxley, HIPAA, and customer security assessments, and in achieving enterprise HITRUST recertification.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face competition from numerous other companies, both in attracting users and in generating revenue from advertisers and sponsors. We compete for users with online services and websites that provide savings on medications and healthcare products. Our messaging offerings compete for pharmaceutical budgets with a variety of other forms of advertising and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compete broadly in the highly competitive pharmaceutical and life sciences digital marketing industry that is dominated by large well-known companies with established names, solid market niches, and wide arrays of product offerings and marketing networks. Many of our competitors have greater financial, technical, product development, marketing and other resources than we do. These companies may be better known than we are and have more customers or users than we do. As a result, many of these companies may respond more quickly to new or emerging technologies and standards and changes in customer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companies may be able to invest more resources in research and development, strategic acquisitions, and sales and marketing. We generally compete on the basis of several factors, including size of our network, quality of our service, our ability to target specific customer needs, and to a lesser extent, price. For more information on risks relating to our competition, see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created intellectual property or obtained intellectual property through commercial relationships and in connection with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patents important to our business, and we expect to continue to file patent applications to protect our research and development investments in new products. As of December 31, 2023, we held five patents and two pending patent applications, including foreign counterpart patents and foreign applications. For the United States, patents may last 20 years from the date of the patent’s filing, subject to term adjustments made by the patent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own registered trademarks in the United States and other countries. As of December 31, 2023, OPTIMIZERx, OPTIMIZEMD, CareSpeak, DIETWATCH, Innovate4Outcomes, SPRx, SPx, RMDY, Specialty Express, TELAREP, Medicx, Micro-Neighborhood, and Geomedical Targeting are our registered trademarks. We also have several pending trademark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licenses to intellectual property for the use and sale of certain of our solutions. In addition, we obtain other intellectual property rights and/or licenses used in connection with our business when practical and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and, in particular, our customers and partners are subject to U.S. federal, state and local laws and regulations, including those governing fraud, abuse, privacy and security. Many of these laws and regulations are complicated and how they might apply to us, our customers, our partners, or the specific services and relationships we have with our customers and partners are not always well-defined.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116 full-time employees and 1 part-time employee in the U.S, as well as 19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on an as-needed basis. We consider our relationship with our employees to be good and have not experienced any work stoppages.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providing a supportive and respectful environment to our employees where everyone feels valued, and we celebrate both the differences and similarities among our people. We also believe that diversity in all areas, including cultural background, experience and thought, is essential to bettering a professional environment and in making our Company stronger. Our Diversity, Equity, Inclusion &amp; Belonging Committee (DEI&amp;B) is actively engaged in improving our culture, hiring practices and training. In 2023, we upheld the Parity Pledge – a commitment made in 2021 to interview and consider at least one qualified woman and one underrepresented minority for every open role, VP or higher. In addition, the DEI&amp;B Committee sponsored quarterly events in 2023, including “Historic Women Inventors”, “Mental Health Awareness”, “Step Challenge”, and “Affinity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recruiting, retaining, and incentivizing a highly qualified, diverse workforce as the success of our Company is dependent on the skills, experience, and efforts of our employees.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 employees through the granting of stock-based awards and cash-based performance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Securities Exchange Act of 1934, as amended (the “Exchange Act”), and in accordance therewith, we file reports, proxy and information statements and other information with the Securities and Exchange Commission (the “SEC”). You can read our SEC filings over the Internet at the SEC’s website at www.sec.gov. Our filings with the SEC are also available free of charge through the investor relations section of our website at www.optimizerx.com.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accessible through the websites and social media channels referred to above is not incorporated by reference in, or otherwise a part of, this Annual Report, and any references to these websites and social media channels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historically experienced losses, if we are unable to achieve profitability, our financial condition and company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2021, we have historically incurred losses as a result of investing in future growth. We incurred losses in 2023 as a result of our increased spending to build the organization to support expected future growth – both through additional new hires, as well as through acquisitions.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 trends in the pharmaceutical brand marketing industry could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Developing and implementing new and updated applications, features and services for our solutions may be more difficult than expected, may take longer and cost more than expected and may not result in sufficient increases in revenue to justify the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for our solutions may adversely affect our relationships with our customers and harm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solutions are implemented, our customers use our support organization to resolve technical issues relating to our solutions. In addition, we also believe that our success in selling our solutions is highly dependent on our business reputation and on favorable recommendations from our existing customers. Any failure to maintain high-quality customer support, or a market perception that we do not maintain high-quality support, could harm our reputation, adversely affect our ability to maintain existing customers or sell our solutions to existing and prospective customers, and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respond quickly enough to accommodate short-term increases in customer demand for support services. Increased customer demand for these services, without corresponding revenues, could also increase costs and adversely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concentrated group of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pharmaceutical industry is dominated by large companies with multiple brands, our revenue is concentrated in a relatively small number of companies. We have approximately 100 pharmaceutical manufacturers as customers, and our revenues are concentrated in these customers. Loss of one or more of our larger customers could have a negative impact on our operating results. Our top five customers represented approximately 44% of revenue for the year ended December 31, 2023. In each of 2023 and 2022, we had one customer that each represented over 10% of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our contracts with electronic prescription platforms, our business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upon our contracts with leading electronic prescribing (“ERx”) platforms and electronic health record (“EHR”) systems to generate a portion of the revenues received from our customers. Such arrangements subject us to a number of risks,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ERx and EHR partners may experience financial, regulatory or operational difficulties, which may impair their ability to focus on and fulfill their contract obligations to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Legal disputes or disagreements, including the ownership of intellectual property, may occur with one or more of our ERx and EHR partners and may lead to lengthy and expensive litigation or arbitration;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changes in an ERx and EHR partner’s business strategy may adversely affect a partner’s willingness or ability to satisfy obligations under any such arrangement;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ERx and EHR partner could terminate the partnership arrangement, which could negatively impact our ability to sell our solutions and achieve revenues;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failure of an ERx or EHR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36.4% and 31.8% of our revenue through our largest partner in 2023 and 2022, respectively. As such, the inability to maintain these relationships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agreements with ERx and EHR channel partners are subject to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our ERx and EHR channel partners provide for revenue-sharing payments to them based on the revenue we generate through their platforms and systems. These payments are subject to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new customers or retain and expand existing customers, our business and future prospects may be materially and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pricing model to attract and retain such customers. If we fail to attract new customers or fail to maintain or expand existing relationships in a cost-effective manner, our business and future prospects may be materially and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we are or may become subject to numerous state, federal and foreign laws, requirements and regulations governing the collection, use, disclosure, retention, and security of personal information, including health-related information.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we have contracted as a business associate of our Covered Entity customers and, as such, may be regulated by HIPAA and have contractual obligations under such agreements, including to enter into business associate agreements with our third-party vendors. We, and our Covered Entity customers might face significant contractual liability pursuant to such business associate agreements if the business associate breaches the agreement or causes the Covered Entity to fail to comply with HIPAA.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competitive, continually evolving and, in some cases, subject to rapid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we participate, we expect that competitors will continue to enter these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the healthcare industry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 is derived from pharmaceutical manufacturers and could be affected by changes affecting the broader healthcare industry, including decreased spending in the industry overall.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reductions in expenditures by healthcare industry participants could result from,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 regulation or private initiatives that affect the manner in which healthcare industry participants interact with consumers and the general public;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 regulation prohibiting the use of coupons by patients covered by federally funded health insurance programs;</w:t>
            </w:r>
          </w:p>
        </w:tc>
      </w:tr>
    </w:tbl>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Consolidation of healthcare industry participants;</w:t>
            </w:r>
          </w:p>
        </w:tc>
      </w:tr>
    </w:tbl>
    <w:p>
      <w:pPr>
        <w:pStyle w:val="TextBody"/>
        <w:bidi w:val="0"/>
        <w:spacing w:before="0" w:after="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Reductions in governmental funding for healthcare; and</w:t>
            </w:r>
          </w:p>
        </w:tc>
      </w:tr>
    </w:tbl>
    <w:p>
      <w:pPr>
        <w:pStyle w:val="TextBody"/>
        <w:bidi w:val="0"/>
        <w:spacing w:before="0" w:after="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changes in business or economic conditions affecting healthcare industry participants.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general expenditures by industry participants remain the same or increase, developments in the healthcare industry may result in reduced spending in some or all of the specific market segments that we serve now or may serve in the future. For example, use of our solutions and services could be affected by:</w:t>
      </w:r>
    </w:p>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decrease in the number of new drugs or medical devices coming to market; and</w:t>
            </w:r>
          </w:p>
        </w:tc>
      </w:tr>
    </w:tbl>
    <w:p>
      <w:pPr>
        <w:pStyle w:val="TextBody"/>
        <w:bidi w:val="0"/>
        <w:spacing w:before="0" w:after="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decrease in marketing expenditures by pharmaceutical or medical device companies.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has changed significantly in recent years and we expect that significant changes will continue to occur. However, the timing and impact of developments in the healthcare industry are difficult to predict. We cannot assure you that the demands for our solutions and services will continue to exist at current levels or that we will have adequate technical, financial and marketing resources to react to changes in the healthcare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growth, our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identify suitable acquisition candidates, complete acquisitions or integrate acquisitions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 activities may disrupt our ongoing business and may involve increased expenses, and we may not realize the financial and strategic goals contemplated at the time of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acquired, and may in the future acquire, companies, businesses, products, services and technologies. Acquisitions involve significant risks and uncertainties,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ongoing business may be disrupted, an acquisition may involve increased expenses, and our management’s attention may be diverted by acquisition, transition, or integration activities;</w:t>
            </w:r>
          </w:p>
        </w:tc>
      </w:tr>
    </w:tbl>
    <w:p>
      <w:pPr>
        <w:pStyle w:val="TextBody"/>
        <w:bidi w:val="0"/>
        <w:spacing w:before="0" w:after="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4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not further our business strategy as we expected,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not realize any synergies or other anticipated benefits of an acquisition or such synergies or benefits may take longer than anticipated to be realized;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overpay for our investments, or otherwise not realize the financial returns contemplated at the time of the acquisition;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integration with acquired operations or technology may be more costly or difficult than expected and such integration may not be successful;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be unable to retain the key employees, customers and other channel partners of the acquired operation;</w:t>
            </w:r>
          </w:p>
        </w:tc>
      </w:tr>
    </w:tbl>
    <w:p>
      <w:pPr>
        <w:pStyle w:val="TextBody"/>
        <w:bidi w:val="0"/>
        <w:spacing w:before="0" w:after="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4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not realize the anticipated increases in our revenues from an acquisition; and</w:t>
            </w:r>
          </w:p>
        </w:tc>
      </w:tr>
    </w:tbl>
    <w:p>
      <w:pPr>
        <w:pStyle w:val="TextBody"/>
        <w:bidi w:val="0"/>
        <w:spacing w:before="0" w:after="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4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use of cash to pay for acquisitions may limit other potential uses of our cash.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charges for goodwill or other intangible assets may be increased as we shift our focus away from our non-core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we evaluate goodwill and long-lived assets to determine if impairment has occurred. Additionally, interim reviews are performed whenever events or changes to the business could indicate possible impairment. Any future impairment of our goodwill or long-lived assets could require us to record an impairment charge, which would negatively impact our results of operations. For example, our strategic shift away from non-core business resulted in an impairment of one or more of our long-lived assets. See Part II, Item 7. “Management’s Discussion and Analysis of Financial Condition and Results of Operations - Results of Operation of the Years Ended December 31, 2023 and 2022 -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conditions could adversely change and our earnings could decline resulting in charges to impair intangible assets, such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various acquisitions, the consolidated balance sheet at December 31, 2023 contains goodwill of approximately $78.4 million and intangible assets, net of approximately $49.4 million. We evaluate on an ongoing basis whether facts and circumstances indicate any impairment to the carrying value of indefinite-lived intangible assets such as goodwill. As circumstances after an acquisition can change, we may not realize the value of these intangible assets. During the year ended December 31, 2023, we recorded impairment charges, related to certain intangible assets, of approximately $6.7 million. Any future impairment charges related to our goodwill or long-lived assets could require us to record additional impairment charges, which would negatively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in our Credit Agreement could adversely affect our business, financial condition, results of operations, ability to make distributions,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Agreement 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transactions with affiliates and burdensome agreements. These covenants could affect our ability to operate our business, increase the amount of interest expense we ultimately pay pursuant to the Credit Agreement, and may limit our ability to take advantage of potential business opportunities as they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restrictions contained in our Credit Agreement,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 elect to terminate their commitments, cease making further loans, require cash collateralization of letters of credit, cause their loans to become due and payable in full, foreclose against any assets securing the debt under our Credit Agreement and force us and our subsidiaries into bankruptcy or liquidation. If the payment of our debt is accelerated, our assets may be insufficient to repay such debt in full, and the holders of our stock could experience a partial or total loss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debt and funding other obligations requires a significant amount of cash, and our ability to generate sufficient cash depends on many factors, some of which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on and refinance our indebtedness and to fund our operations and capital expenditures depends on our ability to generate cash flow and secure financing in the future. Our ability to generate future cash flow depends, among other things, on future operating performance, general economic conditions, competition, and legislative and regulatory factors affecting our operations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an adverse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growth may suffer if we are unable to attract and retain members of our senior management team and other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 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events may affect our business and our customer base and have a material adverse impact on our sales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be affected by the conditions in the global capital markets and the economy generally, both in the U.S. and elsewhere in the world. The war between Russia and Ukraine as well as the conflict between Israel and Hamas have caused uncertainty in the credit markets and could cause our customers and potential customers to postpone or reduce spending on technology products or services or put downward pressure on prices, which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subject to economic, political, regulatory and other risks arising from our international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pStyle w:val="TextBody"/>
        <w:bidi w:val="0"/>
        <w:spacing w:before="0" w:after="0"/>
        <w:ind w:left="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difficulties and costs associated with staffing and managing foreign operations;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natural or man-made disasters, political, social and economic instability, including wars, terrorism and political unrest, outbreak of disease, boycotts, curtailment of trade, and other business restrictions;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compliance with United States laws, such as the Foreign Corrupt Practices Act, export controls and economic sanctions, and local laws prohibiting corrupt payments to government officials;</w:t>
            </w:r>
          </w:p>
        </w:tc>
      </w:tr>
    </w:tbl>
    <w:p>
      <w:pPr>
        <w:pStyle w:val="TextBody"/>
        <w:bidi w:val="0"/>
        <w:spacing w:before="0" w:after="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unexpected changes in regulatory requirements;</w:t>
            </w:r>
          </w:p>
        </w:tc>
      </w:tr>
    </w:tbl>
    <w:p>
      <w:pPr>
        <w:pStyle w:val="TextBody"/>
        <w:bidi w:val="0"/>
        <w:spacing w:before="0" w:after="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favorable foreign intellectual property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fluctuations in currency exchange rates, which could impact expenses of our international operations and expose us to foreign currency exchange rate risk;</w:t>
            </w:r>
          </w:p>
        </w:tc>
      </w:tr>
    </w:tbl>
    <w:p>
      <w:pPr>
        <w:pStyle w:val="TextBody"/>
        <w:bidi w:val="0"/>
        <w:spacing w:before="0" w:after="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 repatriation and other restrictions on the transfer of funds;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differing payment processing systems as well as use and acceptance of electronic payment methods, such as payment cards;</w:t>
            </w:r>
          </w:p>
        </w:tc>
      </w:tr>
    </w:tbl>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and different sources of competition; and</w:t>
            </w:r>
          </w:p>
        </w:tc>
      </w:tr>
    </w:tbl>
    <w:p>
      <w:pPr>
        <w:pStyle w:val="TextBody"/>
        <w:bidi w:val="0"/>
        <w:spacing w:before="0" w:after="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different and more stringent user protection, data protection, privacy and other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manage any of these risks successfully could harm our international operations and our overall business, as well as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in the future be adversely affected by health epidemics and pandemics, including COVID-19, which may significantly harm our business, prospects, financial condition and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health epidemics and other outbreaks, including the global outbreak of the novel coronavirus and the disease caused by it, COVID-19. During 2020, the spread of the novel coronavirus led to disruption and volatility in the global capital markets. If such disruption and volatility recurs, there could be an increase to our cost of capital and an adverse effect on our ability to access the capital markets. In addition, efforts to contain the COVID-19 pandemic led to implementing numerous measures to try to contain the virus, such as travel bans and restrictions, quarantines, stay-at-home or shelter-in-place orders, and business shutdowns.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Inflation, Interest Rates, and Other Adverse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the current interest rate environment, and other adverse economic conditions may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inflation has increased throughout the U.S. economy.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macroeconomic effects such as changes in interest rates and other measures taken by central banks and other policy makers could have a negative effect on overall economic activity that could reduce our customers’ demand for our products and serves. Changing interest rates may have unpredictable effects on markets, 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demand could impact our business, collection of accounts receivable and our expected cash flow generation, which may adversely impact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in part, on our intellectual property. If we are not able to protect our proprietary rights or if those rights are invalidated or circumvented, our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could disrupt business operations, result in the loss of critical and confidential information, and adversely impact our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 increased cybersecurity protection and remediation costs, which in turn could adversely affect our competitiveness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support our technology to further scale our operations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will suffer if our network systems fail or become unavailable.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market for our common stock is not maintained, shareholders may be unable to sell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need to raise additional capital to grow our business and may not be able to do so on favorable terms, if at 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capital in the future, including to expand our operations and pursue our growth strategies, to respond to competitive pressures, or to meet capital needs in response to operating losses or unanticipated working capital requirements. Our inability to raise additional capital on acceptable terms in the future may limit our ability to continue to operate our business and further expand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highly volatile and could fluctuate widely in price in response to various factors, many of which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is subject to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Technological innovations or new solutions and services by us or our competitors;</w:t>
            </w:r>
          </w:p>
        </w:tc>
      </w:tr>
    </w:tbl>
    <w:p>
      <w:pPr>
        <w:pStyle w:val="TextBody"/>
        <w:bidi w:val="0"/>
        <w:spacing w:before="0" w:after="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 regulation of our solutions and services;</w:t>
            </w:r>
          </w:p>
        </w:tc>
      </w:tr>
    </w:tbl>
    <w:p>
      <w:pPr>
        <w:pStyle w:val="TextBody"/>
        <w:bidi w:val="0"/>
        <w:spacing w:before="0" w:after="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establishment of partnerships with other healthcare companies;</w:t>
            </w:r>
          </w:p>
        </w:tc>
      </w:tr>
    </w:tbl>
    <w:p>
      <w:pPr>
        <w:pStyle w:val="TextBody"/>
        <w:bidi w:val="0"/>
        <w:spacing w:before="0" w:after="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Intellectual property disputes;</w:t>
            </w:r>
          </w:p>
        </w:tc>
      </w:tr>
    </w:tbl>
    <w:p>
      <w:pPr>
        <w:pStyle w:val="TextBody"/>
        <w:bidi w:val="0"/>
        <w:spacing w:before="0" w:after="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Additions or departures of key personnel;</w:t>
            </w:r>
          </w:p>
        </w:tc>
      </w:tr>
    </w:tbl>
    <w:p>
      <w:pPr>
        <w:pStyle w:val="TextBody"/>
        <w:bidi w:val="0"/>
        <w:spacing w:before="0" w:after="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of our common stock;</w:t>
            </w:r>
          </w:p>
        </w:tc>
      </w:tr>
    </w:tbl>
    <w:p>
      <w:pPr>
        <w:pStyle w:val="TextBody"/>
        <w:bidi w:val="0"/>
        <w:spacing w:before="0" w:after="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execute our business plan;</w:t>
            </w:r>
          </w:p>
        </w:tc>
      </w:tr>
    </w:tbl>
    <w:p>
      <w:pPr>
        <w:pStyle w:val="TextBody"/>
        <w:bidi w:val="0"/>
        <w:spacing w:before="0" w:after="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results below or exceeding expectations;</w:t>
            </w:r>
          </w:p>
        </w:tc>
      </w:tr>
    </w:tbl>
    <w:p>
      <w:pPr>
        <w:pStyle w:val="TextBody"/>
        <w:bidi w:val="0"/>
        <w:spacing w:before="0" w:after="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operating and financial performance and prospects;</w:t>
            </w:r>
          </w:p>
        </w:tc>
      </w:tr>
    </w:tbl>
    <w:p>
      <w:pPr>
        <w:pStyle w:val="TextBody"/>
        <w:bidi w:val="0"/>
        <w:spacing w:before="0" w:after="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Loss or addition of any strategic relationship;</w:t>
            </w:r>
          </w:p>
        </w:tc>
      </w:tr>
    </w:tbl>
    <w:p>
      <w:pPr>
        <w:pStyle w:val="TextBody"/>
        <w:bidi w:val="0"/>
        <w:spacing w:before="0" w:after="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financial, domestic, international, economic, industry and other market trends or conditions; and</w:t>
            </w:r>
          </w:p>
        </w:tc>
      </w:tr>
    </w:tbl>
    <w:p>
      <w:pPr>
        <w:pStyle w:val="TextBody"/>
        <w:bidi w:val="0"/>
        <w:spacing w:before="0" w:after="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Period-to-period fluctuations in our financial results.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 and any return on investment may be limited to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may make it more difficult for a third party to acquire control of us, even if the change in control would be beneficial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Nevada corporation. Anti-takeover provisions in Nevada law and our charter and bylaws could make it more difficult for a third party to acquire control of us. These provisions could adversely affect the market price of the common stock and could reduce the amount that shareholders might receive if the Company is sold. For example, our charter provides that the board of directors may issue preferred stock without shareholder approval. In addition, our bylaws provide that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Failure to remediate the material weakness or any other material weaknesses that we identify in the future could result in material misstatements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PHI (collectively, “Information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security program’s basis is a comprehensive set of policies and procedures covering various information security domains (collectively, “Information Security Policies”),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Access control,</w:t>
            </w:r>
          </w:p>
        </w:tc>
      </w:tr>
    </w:tbl>
    <w:p>
      <w:pPr>
        <w:pStyle w:val="TextBody"/>
        <w:bidi w:val="0"/>
        <w:spacing w:before="0" w:after="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Endpoint protection,</w:t>
            </w:r>
          </w:p>
        </w:tc>
      </w:tr>
    </w:tbl>
    <w:p>
      <w:pPr>
        <w:pStyle w:val="TextBody"/>
        <w:bidi w:val="0"/>
        <w:spacing w:before="0" w:after="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Third-party oversight,</w:t>
            </w:r>
          </w:p>
        </w:tc>
      </w:tr>
    </w:tbl>
    <w:p>
      <w:pPr>
        <w:pStyle w:val="TextBody"/>
        <w:bidi w:val="0"/>
        <w:spacing w:before="0" w:after="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Education, training, and awareness,</w:t>
            </w:r>
          </w:p>
        </w:tc>
      </w:tr>
    </w:tbl>
    <w:p>
      <w:pPr>
        <w:pStyle w:val="TextBody"/>
        <w:bidi w:val="0"/>
        <w:spacing w:before="0" w:after="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Network security,</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management,</w:t>
            </w:r>
          </w:p>
        </w:tc>
      </w:tr>
    </w:tbl>
    <w:p>
      <w:pPr>
        <w:pStyle w:val="TextBody"/>
        <w:bidi w:val="0"/>
        <w:spacing w:before="0" w:after="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Incident response,</w:t>
            </w:r>
          </w:p>
        </w:tc>
      </w:tr>
    </w:tbl>
    <w:p>
      <w:pPr>
        <w:pStyle w:val="TextBody"/>
        <w:bidi w:val="0"/>
        <w:spacing w:before="0" w:after="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continuity and disaster recovery,</w:t>
            </w:r>
          </w:p>
        </w:tc>
      </w:tr>
    </w:tbl>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Data protection and privacy, and</w:t>
            </w:r>
          </w:p>
        </w:tc>
      </w:tr>
    </w:tbl>
    <w:p>
      <w:pPr>
        <w:pStyle w:val="TextBody"/>
        <w:bidi w:val="0"/>
        <w:spacing w:before="0" w:after="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security domains.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 management process is based on a standard methodology, and risks are identified based on:</w:t>
      </w:r>
    </w:p>
    <w:p>
      <w:pPr>
        <w:pStyle w:val="TextBody"/>
        <w:bidi w:val="0"/>
        <w:spacing w:before="0" w:after="0"/>
        <w:ind w:left="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risk assessments,</w:t>
            </w:r>
          </w:p>
        </w:tc>
      </w:tr>
    </w:tbl>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on past incidents,</w:t>
            </w:r>
          </w:p>
        </w:tc>
      </w:tr>
    </w:tbl>
    <w:p>
      <w:pPr>
        <w:pStyle w:val="TextBody"/>
        <w:bidi w:val="0"/>
        <w:spacing w:before="0" w:after="0"/>
        <w:jc w:val="left"/>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Internal audits,</w:t>
            </w:r>
          </w:p>
        </w:tc>
      </w:tr>
    </w:tbl>
    <w:p>
      <w:pPr>
        <w:pStyle w:val="TextBody"/>
        <w:bidi w:val="0"/>
        <w:spacing w:before="0" w:after="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penetration tests, and</w:t>
            </w:r>
          </w:p>
        </w:tc>
      </w:tr>
    </w:tbl>
    <w:p>
      <w:pPr>
        <w:pStyle w:val="TextBody"/>
        <w:bidi w:val="0"/>
        <w:spacing w:before="0" w:after="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security assessments.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risks are documented in a central Risk Register and tracked for mitigation and other treatment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security program is audited annually against a well-known security framework, by an accredited third party. We currently carry a HITRUST certification, which is a security assessment that targets the healthcare industry and HIPAA compliance. We are currently working towards a SOC 2 audit and assessment, which has more general applicability and covers the trust services criteria of security, confidentiality, privacy, accessibility, and processing integrity.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stored and processed certain PHI on behalf of customers. From a cybersecurity perspective, this data was stored on secure AWS managed servers in the contiguous United States and encrypted at rest and in transit. End users did not have permission to access PHI unless the end user’s account had the proper end user role permissions (ie HCPs or hub service providers). These end user roles were assigned according to the customer’s needs to see the information. At all times, such information was segregated so that one customer could not access records containing PHI that were associated with another customer. In late 2023, we discontinued PHI processing; however, certain PHI remains stored on the secure AWS managed servers to the extent information needs to be accessed by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external audits and assessments identify and evaluate material risks from cybersecurity threats against our overall business objectives on a periodic basis and form the basis of internal reports, which can be shared with the management team, the Audit Committee of the Board of Directors, and the Board of Directors to evaluate our overall enterprise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The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VP of Information Security is responsible for implementing Information Security Policies on a day-to-day basis along with the Security Team (as defined in the Information Security Policies), which includes the VP of Information Security, the Chief Product Officer, the VP of Data Engineering and Platform Services, and the VP of Technology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third-party service providers to perform a variety of functions throughout our business, including, but not limited to infrastructure support and maintenance, CRM, contract management,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technical errors and omissions insurance which includes a cyber incident endorsement of up to $20 million with a premium of $60,700.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material incidents to report through the date of this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risks from cybersecurity threats that may materially affect the Company, see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oversight function includes cybersecurity risk management. The Board of Directors has tasked the Audit Committee with overseeing the Company’s cybersecurity risk management processes and with determining which threats are likely to impact the Company’s strategy,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assessment and management processes are implemented and maintained by our VP of Information Security and the Security Team. For strategic decisions regarding cybersecurity, the VP of Information Security consults with the Chief Product Officer, the Chief Financial Officer, the General Counsel and Chief Compliance Officer, and the VP of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VP of Information Security is responsible for hiring appropriate personnel, performing vendor risk assessments, and communicating information security priorities to relevant personnel, so that we can build cybersecurity risk considerations into our business practices. The VP of Information Security also plans related budgets, designs cybersecurity processes, and reviews security assessments and related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three members with skills and experience in information security and cybersecurity through their experience as current and former executives of digital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own any real estate. As of December 31, 2023, we have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in Waltham, Massachusetts expires July 31, 2026, and has a monthly rent with escalating payments of $5,778 to $6,848. The lease in Clarkston, Michigan expires November 30, 2025, with a three-year renewal option through 2028, and has a monthly rent of $2,445. The lease in Scottsdale, Arizona expires April 30, 2025, and has a monthly rent with escalating payments of $9,304 to $9,727. The Company entered into a lease for new office space in Zagreb, Croatia on July 1, 2023, which expires on June 30, 2029, but which grants the tenant the option to terminate the lease with 30-day notice before each lease anniversary and has a monthly rent of approximately $3,038. The former lease in Zagreb, Croatia, with a monthly rent of approximately $1,883 was terminated effective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4.1 Information About Our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names, ages, and positions of our executive officers as of April 15, 2024.</w:t>
      </w:r>
    </w:p>
    <w:p>
      <w:pPr>
        <w:pStyle w:val="TextBody"/>
        <w:bidi w:val="0"/>
        <w:spacing w:before="0" w:after="0"/>
        <w:ind w:left="0" w:right="0" w:hanging="0"/>
        <w:jc w:val="both"/>
        <w:rPr>
          <w:caps w:val="false"/>
          <w:smallCaps w:val="false"/>
        </w:rPr>
      </w:pPr>
      <w:r>
        <w:rPr>
          <w:caps w:val="false"/>
          <w:smallCaps w:val="false"/>
        </w:rPr>
        <w:t> </w:t>
      </w:r>
    </w:p>
    <w:tbl>
      <w:tblPr>
        <w:tblW w:w="6465" w:type="dxa"/>
        <w:jc w:val="left"/>
        <w:tblInd w:w="0" w:type="dxa"/>
        <w:tblLayout w:type="fixed"/>
        <w:tblCellMar>
          <w:top w:w="0" w:type="dxa"/>
          <w:left w:w="0" w:type="dxa"/>
          <w:bottom w:w="28" w:type="dxa"/>
          <w:right w:w="0" w:type="dxa"/>
        </w:tblCellMar>
      </w:tblPr>
      <w:tblGrid>
        <w:gridCol w:w="1730"/>
        <w:gridCol w:w="60"/>
        <w:gridCol w:w="350"/>
        <w:gridCol w:w="60"/>
        <w:gridCol w:w="4265"/>
      </w:tblGrid>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2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 and Offices Held</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Febbo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L. Silvestro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tcMar>
              <w:bottom w:w="0" w:type="dxa"/>
            </w:tcMar>
            <w:vAlign w:val="center"/>
          </w:tcPr>
          <w:p>
            <w:pPr>
              <w:pStyle w:val="TableContents"/>
              <w:bidi w:val="0"/>
              <w:spacing w:before="0" w:after="283"/>
              <w:jc w:val="left"/>
              <w:rPr/>
            </w:pPr>
            <w:r>
              <w:rPr/>
              <w:t> </w:t>
            </w:r>
          </w:p>
        </w:tc>
        <w:tc>
          <w:tcPr>
            <w:tcW w:w="42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Marion Odence-Ford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Chief Compliance Officer</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Stelmakh</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60" w:type="dxa"/>
            <w:tcBorders/>
            <w:tcMar>
              <w:bottom w:w="0" w:type="dxa"/>
            </w:tcMar>
            <w:vAlign w:val="center"/>
          </w:tcPr>
          <w:p>
            <w:pPr>
              <w:pStyle w:val="TableContents"/>
              <w:bidi w:val="0"/>
              <w:spacing w:before="0" w:after="283"/>
              <w:jc w:val="left"/>
              <w:rPr/>
            </w:pPr>
            <w:r>
              <w:rPr/>
              <w:t> </w:t>
            </w:r>
          </w:p>
        </w:tc>
        <w:tc>
          <w:tcPr>
            <w:tcW w:w="42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Chief Operations Officer</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 Besch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Product Officer</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Theresa Greco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42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Commercial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brief description of the background and business experience of each of our current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LifeMD Inc, a publicly traded provider of virtual primary care that offers telemedicine, laboratory and pharmacy services and specialized treatment across more than 200 conditions, and as a director of Augmedix, Inc., a publicly traded provider of automated medical documentation and data services. Previously, Mr. Febbo served as a director of Modular Medical, a publicly traded development stage medical device company focused on the design, development and eventual commercialization of an innovative insulin pump. In addition, Mr. Febbo has been a board member of the United Nations Association of Greater Boston, a resource for the citizens of Greater Boston on the broad agenda of critical global issues addressed by the UN and its agencies, since 2004.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L. Silvestro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Silvestro was appointed the Company’s President as of October 2023. He joined the Company as Chief Commercial Officer in April 2019.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Marion Odence-Ford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Odence-Ford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Stelmakh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Stelmakh joined the Company as Chief Financial Officer and Chief Operating Officer in October 2021. Prior to joining the Company, Mr. Stelmakh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 Besch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Besch joined the Company in May 2021 as SVP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 a company which helps members and payers reduce prescription drug costs through a combination of clinical technology, transparency, member engagement and concierge support. Dr. Besch holds a PharmD and MBA from Creighton University and practiced as a pharmacist for the Walgreens Boots Alliance corporation from 2007 through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Theresa Greco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Greco joined the Company in October 2023 as the Company’s Chief Commercial Officer with the Company’s acquisition of Healthy Offers, Inc. (“Medicx Health”), where Ms. Greco served as its President since August 2022.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 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1" w:name="a_010"/>
      <w:bookmarkEnd w:id="11"/>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5. Market for Registrant’s Common Equity and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under the symbol “OPRX” on the Nasdaq Capital Market. At April 12, 2024, there were approximately 8,453 shareholders of record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information regarding our equity compensation plans, see PART III, 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we announced that our Board of Directors had authorized the repurchase of up to $15 million of our outstanding common stock. Under this program, share repurchases may be made from time to time depending on market conditions, share price and availability and other factors at our discretion. During the quarter ended December 31, 2023, no shares were repurchased under the program. As of December 31, 2023, $7,488,116 of shares were available for repurchase under the program. This stock repurchase authorization expired on March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revenue was generated primarily through the facilitation of various types of messages to health care providers via their EHR systems and ERx platforms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evolved to provide Audience Development and Audience Creation and Media Execution across numerous different messaging types that leverage our technology platform and media distribution channels. In addition, the October 2023 acquisition of Medicx Health provided the Company with a significant footprint for direct-to-consumer healthcare marketing. 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virtual communication solutions such as our AI-powered DAAP, expanding on previous iterations of the RWD.AI technology, which uses sophisticated machine-learning algorithms to find the best audiences in the correct channels at the right time. Our strategy for driving revenue growth is also expected to work in tandem with our efforts to increase margin and profitability as revenue drivers such as DAAP have inherently higher margins than most other messaging solutions we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 Our top five customers represented approximately 44% and 39% of our revenue for the years ended December 31, 2023 and December 31, 2022, respectively. In each of 2023 and 2022, we had one customer that each represented more than 10% of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the economy may negatively affect the growth of our business and our results of operations. For example, macroeconomic events including rising inflation and the U.S. Federal Reserve raising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Average revenue per top 20 pharmaceutical manufacturer. </w:t>
      </w:r>
      <w:r>
        <w:rPr>
          <w:rFonts w:ascii="Times New Roman;Times;Serif" w:hAnsi="Times New Roman;Times;Serif"/>
          <w:b w:val="false"/>
          <w:i w:val="false"/>
          <w:caps w:val="false"/>
          <w:smallCaps w:val="false"/>
          <w:sz w:val="20"/>
        </w:rPr>
        <w:t>Average revenue per top 20 pharmaceutical manufacturer is calculated by taking the total revenue the company recognized through pharmaceutical manufacturers listed in Fierce Pharma’s “The top 20 pharma companies by 2022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2023 as compared to 2022 is primarily the result of stronger DAAP related revenue streams and the Company’s October 2023 acquisition of Medicx Health, which added to 2023 revenues and was not included in the 2022 amounts.</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5465"/>
        <w:gridCol w:w="60"/>
        <w:gridCol w:w="140"/>
        <w:gridCol w:w="980"/>
        <w:gridCol w:w="60"/>
        <w:gridCol w:w="60"/>
        <w:gridCol w:w="140"/>
        <w:gridCol w:w="980"/>
        <w:gridCol w:w="7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Twelve Months Ended</w:t>
              <w:br/>
              <w:t>December 31</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revenue per top 20 pharmaceutical manufacturer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2,136,746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Percent of top 20 pharmaceutical manufacturers that are customers. </w:t>
      </w:r>
      <w:r>
        <w:rPr>
          <w:rFonts w:ascii="Times New Roman;Times;Serif" w:hAnsi="Times New Roman;Times;Serif"/>
          <w:b w:val="false"/>
          <w:i w:val="false"/>
          <w:caps w:val="false"/>
          <w:smallCaps w:val="false"/>
          <w:sz w:val="20"/>
        </w:rPr>
        <w:t>Percent of top 20 pharmaceutical manufacturers that are customers is calculated by taking the number of revenue generating customers that are pharmaceutical manufacturers listed in Fierce Pharma’s “The top 20 pharma companies by 2022 revenue” over the last 12 months, which is then divided by 20 - 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w:t>
      </w:r>
    </w:p>
    <w:p>
      <w:pPr>
        <w:pStyle w:val="TextBody"/>
        <w:bidi w:val="0"/>
        <w:spacing w:before="0" w:after="0"/>
        <w:ind w:left="0" w:right="0" w:hanging="0"/>
        <w:jc w:val="both"/>
        <w:rPr>
          <w:caps w:val="false"/>
          <w:smallCaps w:val="false"/>
        </w:rPr>
      </w:pPr>
      <w:r>
        <w:rPr>
          <w:caps w:val="false"/>
          <w:smallCaps w:val="false"/>
        </w:rPr>
        <w:t> </w:t>
      </w:r>
    </w:p>
    <w:tbl>
      <w:tblPr>
        <w:tblW w:w="8907" w:type="dxa"/>
        <w:jc w:val="left"/>
        <w:tblInd w:w="0" w:type="dxa"/>
        <w:tblLayout w:type="fixed"/>
        <w:tblCellMar>
          <w:top w:w="0" w:type="dxa"/>
          <w:left w:w="0" w:type="dxa"/>
          <w:bottom w:w="0" w:type="dxa"/>
          <w:right w:w="0" w:type="dxa"/>
        </w:tblCellMar>
      </w:tblPr>
      <w:tblGrid>
        <w:gridCol w:w="6290"/>
        <w:gridCol w:w="60"/>
        <w:gridCol w:w="152"/>
        <w:gridCol w:w="660"/>
        <w:gridCol w:w="545"/>
        <w:gridCol w:w="152"/>
        <w:gridCol w:w="152"/>
        <w:gridCol w:w="666"/>
        <w:gridCol w:w="23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Twelve Months Ended</w:t>
              <w:br/>
              <w:t>December 31</w:t>
            </w:r>
          </w:p>
        </w:tc>
        <w:tc>
          <w:tcPr>
            <w:tcW w:w="23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54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3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 of top 20 pharmaceutical manufacturers that are customers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5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 of total revenue attributable to top 20 pharmaceutical manufacturers.</w:t>
      </w:r>
      <w:r>
        <w:rPr>
          <w:rFonts w:ascii="Times New Roman;Times;Serif" w:hAnsi="Times New Roman;Times;Serif"/>
          <w:b w:val="false"/>
          <w:i w:val="false"/>
          <w:caps w:val="false"/>
          <w:smallCaps w:val="false"/>
          <w:sz w:val="20"/>
        </w:rPr>
        <w:t xml:space="preserve"> Percent of total revenue attributable to top 20 pharmaceutical manufacturers is calculated by taking the total revenue the company recognized through pharmaceutical manufacturers listed in Fierce Pharma’s “The top 20 pharma companies by 2022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stayed relatively consistent year over year.</w:t>
      </w:r>
    </w:p>
    <w:p>
      <w:pPr>
        <w:pStyle w:val="TextBody"/>
        <w:bidi w:val="0"/>
        <w:spacing w:before="0" w:after="0"/>
        <w:ind w:left="0" w:right="0" w:hanging="0"/>
        <w:jc w:val="both"/>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7160"/>
        <w:gridCol w:w="60"/>
        <w:gridCol w:w="152"/>
        <w:gridCol w:w="660"/>
        <w:gridCol w:w="545"/>
        <w:gridCol w:w="152"/>
        <w:gridCol w:w="152"/>
        <w:gridCol w:w="666"/>
        <w:gridCol w:w="23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Twelve Months Ended</w:t>
              <w:br/>
              <w:t>December 31</w:t>
            </w:r>
          </w:p>
        </w:tc>
        <w:tc>
          <w:tcPr>
            <w:tcW w:w="23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54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3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 of total revenue attributable to top 20 pharmaceutical manufacturers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5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xml:space="preserve"> 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2023 increased due to stronger DAAP related revenue streams from existing clients and the Company’s 2023 acquisition of Medicx Health.</w:t>
      </w:r>
    </w:p>
    <w:p>
      <w:pPr>
        <w:pStyle w:val="TextBody"/>
        <w:bidi w:val="0"/>
        <w:spacing w:before="0" w:after="0"/>
        <w:ind w:left="0" w:right="0" w:hanging="0"/>
        <w:jc w:val="both"/>
        <w:rPr>
          <w:caps w:val="false"/>
          <w:smallCaps w:val="false"/>
        </w:rPr>
      </w:pPr>
      <w:r>
        <w:rPr>
          <w:caps w:val="false"/>
          <w:smallCaps w:val="false"/>
        </w:rPr>
        <w:t> </w:t>
      </w:r>
    </w:p>
    <w:tbl>
      <w:tblPr>
        <w:tblW w:w="4691" w:type="dxa"/>
        <w:jc w:val="left"/>
        <w:tblInd w:w="0" w:type="dxa"/>
        <w:tblLayout w:type="fixed"/>
        <w:tblCellMar>
          <w:top w:w="0" w:type="dxa"/>
          <w:left w:w="0" w:type="dxa"/>
          <w:bottom w:w="0" w:type="dxa"/>
          <w:right w:w="0" w:type="dxa"/>
        </w:tblCellMar>
      </w:tblPr>
      <w:tblGrid>
        <w:gridCol w:w="2075"/>
        <w:gridCol w:w="60"/>
        <w:gridCol w:w="134"/>
        <w:gridCol w:w="854"/>
        <w:gridCol w:w="483"/>
        <w:gridCol w:w="134"/>
        <w:gridCol w:w="134"/>
        <w:gridCol w:w="587"/>
        <w:gridCol w:w="23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Twelve Months Ended</w:t>
              <w:br/>
              <w:t>December 31</w:t>
            </w:r>
          </w:p>
        </w:tc>
        <w:tc>
          <w:tcPr>
            <w:tcW w:w="23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483"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3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 retention</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4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full-time employee.</w:t>
      </w:r>
      <w:r>
        <w:rPr>
          <w:rFonts w:ascii="Times New Roman;Times;Serif" w:hAnsi="Times New Roman;Times;Serif"/>
          <w:b w:val="false"/>
          <w:i w:val="false"/>
          <w:caps w:val="false"/>
          <w:smallCaps w:val="false"/>
          <w:sz w:val="20"/>
        </w:rPr>
        <w:t xml:space="preserve"> We define revenue per average full-time employee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stayed relatively consistent year over year.</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3860"/>
        <w:gridCol w:w="60"/>
        <w:gridCol w:w="167"/>
        <w:gridCol w:w="956"/>
        <w:gridCol w:w="71"/>
        <w:gridCol w:w="71"/>
        <w:gridCol w:w="167"/>
        <w:gridCol w:w="956"/>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Twelve Months Ended </w:t>
              <w:br/>
              <w:t>December 31</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per average full-time employee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586,242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606,312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periods indicated, the dollar value and percentage of total return represented by certain items in our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3230"/>
        <w:gridCol w:w="60"/>
        <w:gridCol w:w="125"/>
        <w:gridCol w:w="650"/>
        <w:gridCol w:w="80"/>
        <w:gridCol w:w="60"/>
        <w:gridCol w:w="60"/>
        <w:gridCol w:w="485"/>
        <w:gridCol w:w="245"/>
        <w:gridCol w:w="60"/>
        <w:gridCol w:w="125"/>
        <w:gridCol w:w="650"/>
        <w:gridCol w:w="80"/>
        <w:gridCol w:w="60"/>
        <w:gridCol w:w="60"/>
        <w:gridCol w:w="485"/>
        <w:gridCol w:w="260"/>
      </w:tblGrid>
      <w:tr>
        <w:trPr/>
        <w:tc>
          <w:tcPr>
            <w:tcW w:w="3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percentage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69,302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51,258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55"/>
        <w:gridCol w:w="7850"/>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and percentage of total revenue information may not add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increased 15% to $71.5 million for the year ended December 31, 2023 from $62.5 million for the year ended December 31, 2022. Of the 15% increase, 7.3% resulted from the acquisition of Medicx Health, in October, with the remaining increase due to stronger DAAP related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composed primarily of revenue-share expense paid to our network partners, increased in the year ended December 31, 2023, compared to the year ended December 31, 2022. Our cost of revenues as a percentage of revenue increased to approximately 40% in the year ended December 31, 2023, from approximately 38% in the year ended December 31, 2022. This increase in our cost of revenues as a percentage of revenue resulted primarily due to an unfavorable channel partner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which is the difference between our revenues and our cost of revenues, increased from 2022 to 2023 but our gross margin percentage decreased to 60.0% in 2023 from 62% in 2022 We had higher revenues in 2023, which increased gross margin but during 2023, there was a decrease in the percentage of activity flowing through our lower cost channels compared with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to $69.3 million for the year ended December 31, 2023, from $51.3 million for the year ended December 31, 2022, an increase of approximately 35%. The increase includes approximately $6.7 million, related to impairment charges, approximately $4.5 million of transaction costs associated with the purchase of Medicx Health, and a loss on the disposal of a business of $2.1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 by major category is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4565"/>
        <w:gridCol w:w="60"/>
        <w:gridCol w:w="140"/>
        <w:gridCol w:w="680"/>
        <w:gridCol w:w="60"/>
        <w:gridCol w:w="60"/>
        <w:gridCol w:w="140"/>
        <w:gridCol w:w="680"/>
        <w:gridCol w:w="75"/>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Years Ended </w:t>
              <w:br/>
              <w:t>December 31</w:t>
            </w:r>
          </w:p>
        </w:tc>
        <w:tc>
          <w:tcPr>
            <w:tcW w:w="75" w:type="dxa"/>
            <w:tcBorders/>
            <w:vAlign w:val="center"/>
          </w:tcPr>
          <w:p>
            <w:pPr>
              <w:pStyle w:val="TableContents"/>
              <w:bidi w:val="0"/>
              <w:spacing w:before="0" w:after="283"/>
              <w:jc w:val="left"/>
              <w:rPr/>
            </w:pPr>
            <w:r>
              <w:rPr/>
              <w:t> </w:t>
            </w:r>
          </w:p>
        </w:tc>
      </w:tr>
      <w:tr>
        <w:trPr/>
        <w:tc>
          <w:tcPr>
            <w:tcW w:w="456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15,746</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2,022</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Impairment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Loss on disposal of a business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Other sales, general, and administrative expense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39,820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33,490</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Total operating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69,302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51,258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decreased to $13.7 million for the year ended December 31, 2023, from $15.7 million for the year ended December 31, 2022, as a result of the lower grant date fair value of awards due to declines in the Company’s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increased to $2.4 million for the year ended December 31, 2023, from $2.0 million for the year ended December 31, 2022, as a result of the amortization associated with the identifiable intangibles arising from the Medicx Health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charges recorded during 2023 relate to intangible assets, primarily technology and patent and trademarks relating to certain non-core products. The Company determined that the carrying value of these long-lived assets was not recoverable on an undiscounted basis and accordingly, an impairment charge was recognized to the extent fair value exceeds carrying value. The fair value of the assets was determined based on various estimates and assumptions including internal estimates of cash flows directly attributable to the assets, the useful life of the assets and residual value,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a business is discussed in Part II, Item 8. Financials Statements and Supplementary Data; Note 7 - Goodwill and 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costs arose due to the acquisition of Medicx Health, discussed in Part II, Item 8. Financials Statements and Supplementary Data; Note 3 -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 sales general, and administrative expense increased to $39.8 million for the year ended December 31, 2023 from $33.5 million for the year ended December 31, 2022. The acquisition of Medicx Health increased Operating expense, primarily compensation and amortization, by approximately $2.5 million year on year. In addition, within the other sales, general and administrative expenses, there were a variety of increases, the largest of which was in compensation, which increased by $3.3 million from $20.8 million in 2022 to $24.1 million in 2023. The increase is due to the addition of Medicx Health employees since the acquisition date and higher severance, employee benefit and commission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comprised of the following:</w:t>
      </w:r>
    </w:p>
    <w:p>
      <w:pPr>
        <w:pStyle w:val="TextBody"/>
        <w:bidi w:val="0"/>
        <w:spacing w:before="0" w:after="0"/>
        <w:ind w:left="0" w:right="0" w:hanging="0"/>
        <w:jc w:val="both"/>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2300"/>
        <w:gridCol w:w="60"/>
        <w:gridCol w:w="140"/>
        <w:gridCol w:w="635"/>
        <w:gridCol w:w="95"/>
        <w:gridCol w:w="60"/>
        <w:gridCol w:w="140"/>
        <w:gridCol w:w="380"/>
        <w:gridCol w:w="75"/>
      </w:tblGrid>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Years Ended </w:t>
              <w:br/>
              <w:t>December 31</w:t>
            </w:r>
          </w:p>
        </w:tc>
        <w:tc>
          <w:tcPr>
            <w:tcW w:w="75" w:type="dxa"/>
            <w:tcBorders/>
            <w:vAlign w:val="center"/>
          </w:tcPr>
          <w:p>
            <w:pPr>
              <w:pStyle w:val="TableContents"/>
              <w:bidi w:val="0"/>
              <w:spacing w:before="0" w:after="283"/>
              <w:jc w:val="center"/>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represents interest charges on our Term Loan, which was raised during the year to partially fund the acquisition of Medicx Health, together with the amortization of the related issuance costs, (see Part II, Item 8. Financials Statements and Supplementary Data; Note 12 - Long Term Debt for further details concerning our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represents the net proceeds from the sale of customer assets, primarily contracts, relating to two non-core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represents interest earned on our short-term investments, which were realized during 2023 in order to partially fund the acquisition of Medicx Health. Interest earned in 2022 reflects the shorter period and lower average balance on amounts held in short-term investments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recorded in 2023 represents the partial reversal of our valuation allowance, previously recorded against the value of our net operating loss (“NOL”) carryforwards. In evaluating our ability to recover our deferred tax assets, in full or in part, we consider all available positive and negative evidence, including our past operating results, the impact of the Medicx Health transaction on our consolidated tax returns, and our forecast of future earnings, future taxable income and prudent and feasible tax planning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finished the year ended December 31, 2023 with a net loss of $17.6 million, compared to $11.4 million during the year ended December 31, 2022. The reasons for specific components are discussed above. Overall, we had an increase in revenue and gross margin partially offset by increased operating expenses. In addition, the loss in both periods included significant noncash items. We had $25.0 million in noncash operating expenses in 2023 compared to $17.8 million in noncash operating expenses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primary sources of liquidity have been cash receipts from customers and proceeds from equity offerings. On October 11, 2023, we entered into a financing agreement that provided for a $38 million term loan (the “Term Loan”), the proceeds of which were to fund, in part, the acquisition of Medicx Health. See Part II, Item 8. Financials Statements and Supplementary Data; Note 12 - Long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total current assets of $54.3 million, compared with current liabilities of $17.9 million, resulting in working capital of $36.4 million and a current ratio of 3.0 to 1. This compares with a working capital balance of $90.2 million and a current ratio of 11.7 to 1 at December 31, 2022. This decrease in working capital, as discussed in more detail below, is primarily the result of our common stock buyback program and the acquisition of Medicx Health, which was funded from a combination of cash on hand, short-term investments and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funds generated from operations, together with existing cash and cash equivalents,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contractual obligations and cash commitments at December 31, 2023, consisted of long term debt, operating lease liabilities, and payments to partners to acquire minimum amounts of media, data or messaging capabilities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Long-term debt: Total obligations under the Term Loan were $38.3 million, with $2.0 million due over the next twelve months. For details regarding long-term obligations, see Part II, Item 8. Financial Statements and Supplementary Data; Note 12 – Long Term Debt in the Consolidated Financial Statements.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liabilities: Total obligations under short- and long-term operating leases were $0.7 million, with $0.3 million due over the next twelve months. For details regarding short- and long-term operating lease liabilities, see Part II, Item 8. Financial Statements and Supplementary Data; Note 13 – Leases in the Consolidated Financial Statements.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Partner payment obligations: Total obligations for partner payments were $25.1 million, with $11.0 million due over the next twelve months. For details regarding the Company’s future payments to partners to acquire minimum amounts of media, data or messaging capabilities, see Part II, Item 8. Financial Statements and Supplementary Data; Note 16 –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(the “Loan Date”), in connection with the acquisition of Medicx Health, we entered into a financing agreement that provided for a $40.0 million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a variable interest rate which is currently priced at 14.1%.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debt issuance costs of approximately $2.3 million, in connection with this Term Loan and made repayments of approximately $1.7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arising from changes in interest rates which relate primarily to the Term Loan our term loan, which is variable rate debt. (see Part II, Item 8. Financials Statements and Supplementary Data; Note 12 - Long Term Debt). Our potential additional interest expense over one year that would result from a hypothetical, instantaneous and unfavorable change of 100 basis points in the interest rate on all of our variable rate obligations would be approximately $0.4 million on a pre-tax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II, Item 8. Financials Statements and Supplementary Data; Note 12 - Long Term Debt for additional information regarding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with summary data from the consolidated statement of cash flows for the years ended December 31, 2023 and 2022, as presented.</w:t>
      </w:r>
    </w:p>
    <w:p>
      <w:pPr>
        <w:pStyle w:val="TextBody"/>
        <w:bidi w:val="0"/>
        <w:spacing w:before="0" w:after="0"/>
        <w:ind w:left="0" w:right="0" w:hanging="0"/>
        <w:jc w:val="left"/>
        <w:rPr>
          <w:caps w:val="false"/>
          <w:smallCaps w:val="false"/>
        </w:rPr>
      </w:pPr>
      <w:r>
        <w:rPr>
          <w:caps w:val="false"/>
          <w:smallCaps w:val="false"/>
        </w:rPr>
        <w:t> </w:t>
      </w:r>
    </w:p>
    <w:tbl>
      <w:tblPr>
        <w:tblW w:w="7010" w:type="dxa"/>
        <w:jc w:val="left"/>
        <w:tblInd w:w="0" w:type="dxa"/>
        <w:tblLayout w:type="fixed"/>
        <w:tblCellMar>
          <w:top w:w="0" w:type="dxa"/>
          <w:left w:w="0" w:type="dxa"/>
          <w:bottom w:w="28" w:type="dxa"/>
          <w:right w:w="0" w:type="dxa"/>
        </w:tblCellMar>
      </w:tblPr>
      <w:tblGrid>
        <w:gridCol w:w="4895"/>
        <w:gridCol w:w="60"/>
        <w:gridCol w:w="140"/>
        <w:gridCol w:w="755"/>
        <w:gridCol w:w="95"/>
        <w:gridCol w:w="60"/>
        <w:gridCol w:w="140"/>
        <w:gridCol w:w="755"/>
        <w:gridCol w:w="110"/>
      </w:tblGrid>
      <w:tr>
        <w:trPr/>
        <w:tc>
          <w:tcPr>
            <w:tcW w:w="489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2023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2022</w:t>
            </w:r>
          </w:p>
        </w:tc>
        <w:tc>
          <w:tcPr>
            <w:tcW w:w="110" w:type="dxa"/>
            <w:tcBorders/>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283"/>
              <w:jc w:val="left"/>
              <w:rPr/>
            </w:pPr>
            <w:r>
              <w:rPr/>
              <w:t>Net cash (used in) / provided by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(7,239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10,654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pPr>
            <w:r>
              <w:rPr/>
              <w:t>Net cash used in investing activities</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(25,337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(58,176</w:t>
            </w:r>
          </w:p>
        </w:tc>
        <w:tc>
          <w:tcPr>
            <w:tcW w:w="110" w:type="dxa"/>
            <w:tcBorders/>
            <w:tcMar>
              <w:bottom w:w="0" w:type="dxa"/>
            </w:tcMar>
            <w:vAlign w:val="center"/>
          </w:tcPr>
          <w:p>
            <w:pPr>
              <w:pStyle w:val="TableContents"/>
              <w:bidi w:val="0"/>
              <w:spacing w:before="0" w:after="283"/>
              <w:jc w:val="left"/>
              <w:rPr/>
            </w:pPr>
            <w:r>
              <w:rPr/>
              <w:t>)</w:t>
            </w:r>
          </w:p>
        </w:tc>
      </w:tr>
      <w:tr>
        <w:trPr/>
        <w:tc>
          <w:tcPr>
            <w:tcW w:w="4895" w:type="dxa"/>
            <w:tcBorders/>
            <w:shd w:fill="CCEEFF" w:val="clear"/>
            <w:tcMar>
              <w:bottom w:w="0" w:type="dxa"/>
            </w:tcMar>
            <w:vAlign w:val="center"/>
          </w:tcPr>
          <w:p>
            <w:pPr>
              <w:pStyle w:val="TableContents"/>
              <w:bidi w:val="0"/>
              <w:spacing w:before="0" w:after="283"/>
              <w:jc w:val="left"/>
              <w:rPr/>
            </w:pPr>
            <w:r>
              <w:rPr/>
              <w:t>Net cash provided / (used in)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28,220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(18,951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895" w:type="dxa"/>
            <w:tcBorders/>
            <w:tcMar>
              <w:bottom w:w="0" w:type="dxa"/>
            </w:tcMar>
            <w:vAlign w:val="center"/>
          </w:tcPr>
          <w:p>
            <w:pPr>
              <w:pStyle w:val="TableContents"/>
              <w:bidi w:val="0"/>
              <w:spacing w:before="0" w:after="283"/>
              <w:jc w:val="left"/>
              <w:rPr/>
            </w:pPr>
            <w:r>
              <w:rPr/>
              <w:t>Net decrease in cash and cash equivalents</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755" w:type="dxa"/>
            <w:tcBorders>
              <w:bottom w:val="double" w:sz="10" w:space="0" w:color="000000"/>
            </w:tcBorders>
            <w:vAlign w:val="center"/>
          </w:tcPr>
          <w:p>
            <w:pPr>
              <w:pStyle w:val="TableContents"/>
              <w:bidi w:val="0"/>
              <w:spacing w:before="0" w:after="283"/>
              <w:jc w:val="right"/>
              <w:rPr/>
            </w:pPr>
            <w:r>
              <w:rPr/>
              <w:t>(4,356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755" w:type="dxa"/>
            <w:tcBorders>
              <w:bottom w:val="double" w:sz="10" w:space="0" w:color="000000"/>
            </w:tcBorders>
            <w:vAlign w:val="center"/>
          </w:tcPr>
          <w:p>
            <w:pPr>
              <w:pStyle w:val="TableContents"/>
              <w:bidi w:val="0"/>
              <w:spacing w:before="0" w:after="283"/>
              <w:jc w:val="right"/>
              <w:rPr/>
            </w:pPr>
            <w:r>
              <w:rPr/>
              <w:t>(66,473</w:t>
            </w:r>
          </w:p>
        </w:tc>
        <w:tc>
          <w:tcPr>
            <w:tcW w:w="11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activities used $7.2 million in the year ended December 31, 2023, as compared with approximately $10.7 million provided by operating activities in the year ended December 31, 2022. We had a net loss of $17.6 million for 2023, and a net increase in working capital of $7.9 million, notably accounts receivable, which increased as a result of higher fourth quarter billings, which was partially offset by non-cash expenses of $25.0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provided in 2022 was the result of our net loss of $11.4 million offset by non-cash expenses of $17.8 million and a decrease in net working capital of $4.0 million, generated by the collection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used $25.3 million in 2023, compared with $58.2 million in 2022. In addition to the cash payment, net of cash acquired of $82.9 million related to the acquisition of Medicx Health, we purchased $162.8 million and redeemed $218.7 million in Treasury bills during 2023. We also incurred capitalized software development costs of $0.8 million, and purchased $0.1 million of tangible property, primarily personal computers and received $2.5 million from the disposal of our Access products (see Part II, Item 8. Financials Statements and Supplementary Data; Note 7 - Goodwill and 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we made a $2.0 million investment in EvinceMed technology, purchased $55.9 million in Treasury bills and incurred $0.2 million and $0.1 million, respectively related to capitalized software development and tangible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provided $28.2 million in 2023 and used $19.0 million in 2022. During 2023, we raised $38 million pursuant to the Term Loan to partially fund the acquisition of Medicx Health. In connection with the Term Loan we incurred debt issuance costs of approximately $2.3million, and have made repayments of approximately $1.7 million. In addition, during 2023, we repurchased 526,999 shares of common stock for $7.5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used in 2022, related to the repurchase of 1,214,398 shares of common stock for $20.0 million, partially offset by $1.1 million from the exercise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no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Part II, Item 8. Financial Statements and Supplementary Data; Note 2 - Summary of Significant Accounting Policies, for a discussion of significant accounting policies. Actual results may differ materially from these estimates due to different assumptions or conditions. The following areas all require the use of subjective or complex judgments,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are accounted for under the acquisition method. Assets acquired and liabilities assumed as part of a business acquisition are generally recorded at their estimated fair value at the date of acquisition. The excess of purchase price over the amount allocated to the assets acquired and liabilities assumed is recorded as goodwill. In determining the fair value of assets acquired, including intangible assets, the Company uses a variety of methods.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This judgement and determination effects the amount of consideration paid that is allocated to assets acquired and liabilities assumed in the business purchase transaction. The Company engages third-party appraisal firms to assist in determining fair value of assets acquired and liabilities assumed when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remeasurement period, which extends no later than one year from the acquisition date, the Company may record certain adjustments to the carrying value of the assets acquired and liabilities assumed with a corresponding offset to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cost of revenue is revenue-share expense. Based on the volume of transactions that are delivered through the channel partner network, we provide a revenue-share to compensate the partner for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Additionally, within the cost of revenues is data acquisition costs which are amortized over the period for which we have access to the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impairment charges of $6.7 million against the value of our intangible assets during the year ended December 31, 2023. No events or circumstances were noted that would be indicative of potential impairment during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goodwill for impairment during our fiscal fourth quarter, or more frequently if an event occurs or circumstances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the years ended December 31, 2023 and 2022 our annual reviews determined there was no impairment as our single reporting unit had a fair value in excess of its carrying value. During the year ended December 31, 2023, following the disposal of the Access business, we performed an interim review of our goodwill balance and also determined that there was no impairment due the fair value of our single reporting unit being in excess of its carry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use of different assumptions, estimates or judgments in the goodwill impairment testing process may significantly increase or decrease the estimated fair value of a reporting unit. Generally, changes in DCF estimates would have a similar effect on the estimated fair value of the reporting unit.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charges may be recognized in future periods to the extent changes in factors or circumstances occur, including deterioration in the macro-economic environment or in the equity markets, including the market value of the Company’s common shares, deterioration in its performance or its future projections, or changes in its plans for one or more reporting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Item 7A. Quantitative and Qualitative Disclosures About Market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section “Term Loan” under Liquidity and Capital Resources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 Required by Article 8 of Regulation S-X:</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305"/>
        <w:gridCol w:w="7655"/>
      </w:tblGrid>
      <w:tr>
        <w:trPr/>
        <w:tc>
          <w:tcPr>
            <w:tcW w:w="79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Financial Statements:</w:t>
            </w:r>
          </w:p>
        </w:tc>
      </w:tr>
      <w:tr>
        <w:trPr/>
        <w:tc>
          <w:tcPr>
            <w:tcW w:w="7960" w:type="dxa"/>
            <w:gridSpan w:val="2"/>
            <w:tcBorders/>
            <w:vAlign w:val="center"/>
          </w:tcPr>
          <w:p>
            <w:pPr>
              <w:pStyle w:val="TableContents"/>
              <w:bidi w:val="0"/>
              <w:spacing w:before="0" w:after="283"/>
              <w:jc w:val="left"/>
              <w:rPr/>
            </w:pPr>
            <w:r>
              <w:rPr/>
              <w:t> </w:t>
            </w:r>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F-1</w:t>
            </w:r>
          </w:p>
        </w:tc>
        <w:tc>
          <w:tcPr>
            <w:tcW w:w="765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(PCAOB id 1195);</w:t>
              </w:r>
            </w:hyperlink>
          </w:p>
        </w:tc>
      </w:tr>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F-4</w:t>
            </w:r>
          </w:p>
        </w:tc>
        <w:tc>
          <w:tcPr>
            <w:tcW w:w="7655" w:type="dxa"/>
            <w:tcBorders/>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Balance Sheets as of December 31, 2023 and 2022;</w:t>
              </w:r>
            </w:hyperlink>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F-5</w:t>
            </w:r>
          </w:p>
        </w:tc>
        <w:tc>
          <w:tcPr>
            <w:tcW w:w="765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Operations for the years ended December 31, 2023 and 2022;</w:t>
              </w:r>
            </w:hyperlink>
          </w:p>
        </w:tc>
      </w:tr>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F-6</w:t>
            </w:r>
          </w:p>
        </w:tc>
        <w:tc>
          <w:tcPr>
            <w:tcW w:w="7655" w:type="dxa"/>
            <w:tcBorders/>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 of Stockholders’ Equity for the year ended December 31, 2023;</w:t>
              </w:r>
            </w:hyperlink>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F-7</w:t>
            </w:r>
          </w:p>
        </w:tc>
        <w:tc>
          <w:tcPr>
            <w:tcW w:w="765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 of Stockholders’ Equity for the year ended December 31, 2022;</w:t>
              </w:r>
            </w:hyperlink>
          </w:p>
        </w:tc>
      </w:tr>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F-8</w:t>
            </w:r>
          </w:p>
        </w:tc>
        <w:tc>
          <w:tcPr>
            <w:tcW w:w="7655" w:type="dxa"/>
            <w:tcBorders/>
            <w:vAlign w:val="center"/>
          </w:tcPr>
          <w:p>
            <w:pPr>
              <w:pStyle w:val="TableContents"/>
              <w:bidi w:val="0"/>
              <w:spacing w:before="0" w:after="283"/>
              <w:jc w:val="left"/>
              <w:rPr/>
            </w:pPr>
            <w:hyperlink w:anchor="F_006">
              <w:r>
                <w:rPr>
                  <w:rStyle w:val="InternetLink"/>
                  <w:rFonts w:ascii="Times New Roman;Times;Serif" w:hAnsi="Times New Roman;Times;Serif"/>
                  <w:sz w:val="20"/>
                </w:rPr>
                <w:t>Consolidated Statements of Cash Flows for the years ended December 31, 2023 and 2022; and</w:t>
              </w:r>
            </w:hyperlink>
          </w:p>
        </w:tc>
      </w:tr>
      <w:tr>
        <w:trPr/>
        <w:tc>
          <w:tcPr>
            <w:tcW w:w="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F-9</w:t>
            </w:r>
          </w:p>
        </w:tc>
        <w:tc>
          <w:tcPr>
            <w:tcW w:w="7655"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sz w:val="20"/>
                </w:rPr>
                <w:t>Notes to Consolidated Financial Statements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7150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F_001"/>
      <w:bookmarkEnd w:id="17"/>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OptimizeRx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OptimizeRx Corporation and Subsidiaries (the “Company”) as of December 31, 2023 and 2022, and the related consolidated statements of operations,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OptimizeRx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Audit Matter -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revenue recognition is a critical audit matter is that significant judgment is exercised by the Company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Audit Matter – Business Combination and Valuation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Notes 3 and 7 to the consolidated financial statements, on October 24, 2023, the Company completed the acquisition of Healthy Offers, Inc. (d/b/a Medicx Health or “Medicx”) for total consideration of approximately $95.9 million. Of the acquired intangible assets, $34 million of customer relationships and $8.3 million of technology solutions were recorded. The valuation methods used to determine the estimated fair value of these intangible assets included the multi-period excess earnings approach for customer relationships and the relief from royalty method for technology solutions. Several significant assumptions and estimates were involved in the application of these valuation methods, including forecasted revenues, royalty rates, gross margins, discount rates, and attrition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the valuation of customer relationships and developed technology acquired in the acquisition of Medicx is a critical audit matter are (i) the significant judgment used by management when developing the fair value estimate of the customer relationships and developed technology acquired, (ii) a high degree of auditor judgment, subjectivity, and effort in performing procedures and evaluating management’s significant assumptions related to the forecasted revenues, gross margins, discount rate, and attrition rate for customer relationships and forecasted revenues, royalty rate, and discount rate for developed technology acquired, and (iii) the audit effort involved the use of professionals with specialized skill and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OptimizeRx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Addressing the matter involved performing procedures and evaluating audit evidence in connection with forming our overall opinion on the consolidated financial statements. These procedures included (i) obtaining an understanding of the design and implementation of controls relating to the acquisition accounting, including controls over management’s valuation of the customer relationships and developed technology acquired, (ii) reading the purchase agreement, (iii) testing management’s process for developing the fair value estimate of the customer relationships and developed technology acquired, (iv) evaluating the appropriateness of the multi-period excess earnings and relief from royalty methods used by management, (v) testing the completeness and accuracy of the underlying data used in the multi-period excess earnings and relief from royalty methods, and (vi) evaluating the reasonableness of the significant assumptions used by management related to forecasted revenues, gross margins, discount rate, and attrition rate for customer relationships and forecasted revenues, royalty rate, and discount rate for developed technology acquired.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reasonableness of the significant assumptions used by management related to the forecasted revenues and gross margins for customer relationships and developed technology involved considering (i) the current and past performance of the Medicx business and (ii) whether the assumptions were consistent with evidence obtained in other areas of the audit. Professionals with specialized skill and knowledge were used to assist in evaluating (i) the appropriateness of the multi-period excess earnings and relief from royalty methods and (ii) the reasonableness of the discount rate, royalty rate, and attrition rate assumptions for customer relationships and the royalty rate assumptions for developed technology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2"/>
      <w:bookmarkEnd w:id="18"/>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7"/>
        <w:gridCol w:w="60"/>
        <w:gridCol w:w="142"/>
        <w:gridCol w:w="1239"/>
        <w:gridCol w:w="95"/>
        <w:gridCol w:w="60"/>
        <w:gridCol w:w="142"/>
        <w:gridCol w:w="1239"/>
        <w:gridCol w:w="91"/>
      </w:tblGrid>
      <w:tr>
        <w:trPr/>
        <w:tc>
          <w:tcPr>
            <w:tcW w:w="713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2022</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13,852,456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18,208,685</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55,931,821</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$239,172 and $352,043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36,253,214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22,155,301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receivable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1,035,754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2,280,828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54,330,892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98,576,635</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137,448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78,357,074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22,673,820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rights, net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6,184,742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1,940,178</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9,012,756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7,702,895</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Tradename and customer relationships, net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34,198,084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3,379,838</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235,320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Security deposits and other assets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5,051</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128,893,599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35,937,102</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183,373,898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134,651,185</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EQUITY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long-term debt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 trade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1,549,979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7,754,781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2,601,246</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share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5,505,701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3,990,440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lease liabilities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89,902</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164,309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17,881,125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8,395,876</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debt, net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34,230,737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144,532</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 net</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4,337,424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56,820,724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8,540,408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(See Note 16)</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$0.001 par value, 10,000,000 shares authorized, none issued and outstanding at December 31, 2023 and 2022, respectively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$0.001 par value, 166,666,667 shares authorized, 19,899,679 and 18,288,571 shares issued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$0.001 par value,1,741,397 and 1,214,398 purchased at December 31, 2023 and 2022, respectively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(1,741</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91"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paid-in-capital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190,792,980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172,785,800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(64,257,964</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(46,692,098</w:t>
            </w:r>
          </w:p>
        </w:tc>
        <w:tc>
          <w:tcPr>
            <w:tcW w:w="91"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126,553,174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126,110,777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183,373,898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134,651,185</w:t>
            </w:r>
          </w:p>
        </w:tc>
        <w:tc>
          <w:tcPr>
            <w:tcW w:w="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3"/>
      <w:bookmarkEnd w:id="19"/>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3"/>
        <w:gridCol w:w="60"/>
        <w:gridCol w:w="153"/>
        <w:gridCol w:w="1289"/>
        <w:gridCol w:w="95"/>
        <w:gridCol w:w="60"/>
        <w:gridCol w:w="153"/>
        <w:gridCol w:w="1289"/>
        <w:gridCol w:w="113"/>
      </w:tblGrid>
      <w:tr>
        <w:trPr/>
        <w:tc>
          <w:tcPr>
            <w:tcW w:w="6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 year ended</w:t>
              <w:br/>
              <w:t xml:space="preserve">December 31, </w:t>
              <w:br/>
              <w:t>2022</w:t>
            </w:r>
          </w:p>
        </w:tc>
        <w:tc>
          <w:tcPr>
            <w:tcW w:w="113" w:type="dxa"/>
            <w:tcBorders/>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71,521,506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62,450,156</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Cost of revenues, exclusive of depreciation and amortization presented separately below</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28,621,589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23,483,336</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42,899,917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38,966,820</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13,717,333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15,745,822</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Loss on disposal of a business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2,142,319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Impairment charges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6,737,580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2,401,628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2,022,029</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Other sales, general and administrative expenses</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44,302,771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33,489,707</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69,301,631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51,257,558</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Loss from operations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(26,401,714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(12,290,738</w:t>
            </w:r>
          </w:p>
        </w:tc>
        <w:tc>
          <w:tcPr>
            <w:tcW w:w="113" w:type="dxa"/>
            <w:tcBorders/>
            <w:vAlign w:val="center"/>
          </w:tcPr>
          <w:p>
            <w:pPr>
              <w:pStyle w:val="TableContents"/>
              <w:bidi w:val="0"/>
              <w:spacing w:before="0" w:after="283"/>
              <w:jc w:val="left"/>
              <w:rPr/>
            </w:pPr>
            <w:r>
              <w:rPr/>
              <w:t>)</w:t>
            </w:r>
          </w:p>
        </w:tc>
      </w:tr>
      <w:tr>
        <w:trPr/>
        <w:tc>
          <w:tcPr>
            <w:tcW w:w="6993"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Interest expense</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(1,453,764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500,001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2,191,689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tcMar>
              <w:bottom w:w="28" w:type="dxa"/>
            </w:tcMar>
            <w:vAlign w:val="center"/>
          </w:tcPr>
          <w:p>
            <w:pPr>
              <w:pStyle w:val="TableContents"/>
              <w:bidi w:val="0"/>
              <w:spacing w:before="0" w:after="283"/>
              <w:jc w:val="right"/>
              <w:rPr/>
            </w:pPr>
            <w:r>
              <w:rPr/>
              <w:t>852,298</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1,237,926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852,298</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Loss before provision for income taxes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(25,163,788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(11,438,440</w:t>
            </w:r>
          </w:p>
        </w:tc>
        <w:tc>
          <w:tcPr>
            <w:tcW w:w="113" w:type="dxa"/>
            <w:tcBorders/>
            <w:vAlign w:val="center"/>
          </w:tcPr>
          <w:p>
            <w:pPr>
              <w:pStyle w:val="TableContents"/>
              <w:bidi w:val="0"/>
              <w:spacing w:before="0" w:after="283"/>
              <w:jc w:val="left"/>
              <w:rPr/>
            </w:pPr>
            <w:r>
              <w:rPr/>
              <w:t>)</w:t>
            </w:r>
          </w:p>
        </w:tc>
      </w:tr>
      <w:tr>
        <w:trPr/>
        <w:tc>
          <w:tcPr>
            <w:tcW w:w="6993"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283"/>
              <w:jc w:val="right"/>
              <w:rPr/>
            </w:pPr>
            <w:r>
              <w:rPr/>
              <w:t>7,597,922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(17,565,866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(11,438,440</w:t>
            </w:r>
          </w:p>
        </w:tc>
        <w:tc>
          <w:tcPr>
            <w:tcW w:w="113" w:type="dxa"/>
            <w:tcBorders/>
            <w:vAlign w:val="center"/>
          </w:tcPr>
          <w:p>
            <w:pPr>
              <w:pStyle w:val="TableContents"/>
              <w:bidi w:val="0"/>
              <w:spacing w:before="0" w:after="283"/>
              <w:jc w:val="left"/>
              <w:rPr/>
            </w:pPr>
            <w:r>
              <w:rPr/>
              <w:t>)</w:t>
            </w:r>
          </w:p>
        </w:tc>
      </w:tr>
      <w:tr>
        <w:trPr/>
        <w:tc>
          <w:tcPr>
            <w:tcW w:w="6993"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17,124,801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17,783,992</w:t>
            </w:r>
          </w:p>
        </w:tc>
        <w:tc>
          <w:tcPr>
            <w:tcW w:w="113" w:type="dxa"/>
            <w:tcBorders/>
            <w:shd w:fill="CCEEFF" w:val="clear"/>
            <w:vAlign w:val="center"/>
          </w:tcPr>
          <w:p>
            <w:pPr>
              <w:pStyle w:val="TableContents"/>
              <w:bidi w:val="0"/>
              <w:spacing w:before="0" w:after="283"/>
              <w:jc w:val="left"/>
              <w:rPr/>
            </w:pPr>
            <w:r>
              <w:rPr/>
              <w:t> </w:t>
            </w:r>
          </w:p>
        </w:tc>
      </w:tr>
      <w:tr>
        <w:trPr/>
        <w:tc>
          <w:tcPr>
            <w:tcW w:w="6993" w:type="dxa"/>
            <w:tcBorders/>
            <w:vAlign w:val="center"/>
          </w:tcPr>
          <w:p>
            <w:pPr>
              <w:pStyle w:val="TableContents"/>
              <w:bidi w:val="0"/>
              <w:spacing w:before="0" w:after="283"/>
              <w:jc w:val="left"/>
              <w:rPr/>
            </w:pPr>
            <w:r>
              <w:rPr/>
              <w:t>Weighted average number of shares outstanding – diluted</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17,124,801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17,783,992</w:t>
            </w:r>
          </w:p>
        </w:tc>
        <w:tc>
          <w:tcPr>
            <w:tcW w:w="113" w:type="dxa"/>
            <w:tcBorders/>
            <w:vAlign w:val="center"/>
          </w:tcPr>
          <w:p>
            <w:pPr>
              <w:pStyle w:val="TableContents"/>
              <w:bidi w:val="0"/>
              <w:spacing w:before="0" w:after="283"/>
              <w:jc w:val="left"/>
              <w:rPr/>
            </w:pPr>
            <w:r>
              <w:rPr/>
              <w:t> </w:t>
            </w:r>
          </w:p>
        </w:tc>
      </w:tr>
      <w:tr>
        <w:trPr/>
        <w:tc>
          <w:tcPr>
            <w:tcW w:w="6993"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shd w:fill="CCEEFF" w:val="clear"/>
            <w:tcMar>
              <w:bottom w:w="28" w:type="dxa"/>
            </w:tcMar>
            <w:vAlign w:val="center"/>
          </w:tcPr>
          <w:p>
            <w:pPr>
              <w:pStyle w:val="TableContents"/>
              <w:bidi w:val="0"/>
              <w:spacing w:before="0" w:after="283"/>
              <w:jc w:val="right"/>
              <w:rPr/>
            </w:pPr>
            <w:r>
              <w:rPr/>
              <w:t>(0.64</w:t>
            </w:r>
          </w:p>
        </w:tc>
        <w:tc>
          <w:tcPr>
            <w:tcW w:w="113" w:type="dxa"/>
            <w:tcBorders/>
            <w:shd w:fill="CCEEFF" w:val="clear"/>
            <w:vAlign w:val="center"/>
          </w:tcPr>
          <w:p>
            <w:pPr>
              <w:pStyle w:val="TableContents"/>
              <w:bidi w:val="0"/>
              <w:spacing w:before="0" w:after="283"/>
              <w:jc w:val="left"/>
              <w:rPr/>
            </w:pPr>
            <w:r>
              <w:rPr/>
              <w:t>)</w:t>
            </w:r>
          </w:p>
        </w:tc>
      </w:tr>
      <w:tr>
        <w:trPr/>
        <w:tc>
          <w:tcPr>
            <w:tcW w:w="6993" w:type="dxa"/>
            <w:tcBorders/>
            <w:vAlign w:val="center"/>
          </w:tcPr>
          <w:p>
            <w:pPr>
              <w:pStyle w:val="TableContents"/>
              <w:bidi w:val="0"/>
              <w:spacing w:before="0" w:after="283"/>
              <w:jc w:val="left"/>
              <w:rPr/>
            </w:pPr>
            <w:r>
              <w:rPr/>
              <w:t>Loss per share – diluted</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(1.03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9" w:type="dxa"/>
            <w:tcBorders>
              <w:bottom w:val="double" w:sz="10" w:space="0" w:color="000000"/>
            </w:tcBorders>
            <w:tcMar>
              <w:bottom w:w="28" w:type="dxa"/>
            </w:tcMar>
            <w:vAlign w:val="center"/>
          </w:tcPr>
          <w:p>
            <w:pPr>
              <w:pStyle w:val="TableContents"/>
              <w:bidi w:val="0"/>
              <w:spacing w:before="0" w:after="283"/>
              <w:jc w:val="right"/>
              <w:rPr/>
            </w:pPr>
            <w:r>
              <w:rPr/>
              <w:t>(0.64</w:t>
            </w:r>
          </w:p>
        </w:tc>
        <w:tc>
          <w:tcPr>
            <w:tcW w:w="11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4"/>
      <w:bookmarkEnd w:id="20"/>
      <w:r>
        <w:rPr>
          <w:rFonts w:ascii="Times New Roman;Times;Serif" w:hAnsi="Times New Roman;Times;Serif"/>
          <w:b/>
          <w:i w:val="false"/>
          <w:caps w:val="false"/>
          <w:smallCaps w:val="false"/>
          <w:sz w:val="20"/>
        </w:rPr>
        <w:t>Consolidated Statement of Stockholders’ Equity for the Year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December 31, 2023</w:t>
      </w:r>
    </w:p>
    <w:p>
      <w:pPr>
        <w:pStyle w:val="TextBody"/>
        <w:bidi w:val="0"/>
        <w:spacing w:before="0" w:after="0"/>
        <w:ind w:left="0" w:right="0" w:hanging="0"/>
        <w:jc w:val="center"/>
        <w:rPr>
          <w:caps w:val="false"/>
          <w:smallCaps w:val="false"/>
        </w:rPr>
      </w:pPr>
      <w:r>
        <w:rPr>
          <w:caps w:val="false"/>
          <w:smallCaps w:val="false"/>
        </w:rPr>
        <w:t> </w:t>
      </w:r>
    </w:p>
    <w:tbl>
      <w:tblPr>
        <w:tblW w:w="1042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46"/>
        <w:gridCol w:w="714"/>
        <w:gridCol w:w="60"/>
        <w:gridCol w:w="60"/>
        <w:gridCol w:w="60"/>
        <w:gridCol w:w="1055"/>
        <w:gridCol w:w="95"/>
        <w:gridCol w:w="60"/>
        <w:gridCol w:w="155"/>
        <w:gridCol w:w="705"/>
        <w:gridCol w:w="95"/>
        <w:gridCol w:w="60"/>
        <w:gridCol w:w="140"/>
        <w:gridCol w:w="1220"/>
        <w:gridCol w:w="95"/>
        <w:gridCol w:w="60"/>
        <w:gridCol w:w="145"/>
        <w:gridCol w:w="1225"/>
        <w:gridCol w:w="95"/>
        <w:gridCol w:w="60"/>
        <w:gridCol w:w="140"/>
        <w:gridCol w:w="1220"/>
        <w:gridCol w:w="75"/>
      </w:tblGrid>
      <w:tr>
        <w:trPr/>
        <w:tc>
          <w:tcPr>
            <w:tcW w:w="13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172,785,800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(46,692,098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126,110,777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5,925,416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5,925,416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7,791,917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7,791,917</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stock options 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181,081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181,106</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12,089,698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12,091,142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restricted stock units vested, net of cancelled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(459,033</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(458,892</w:t>
            </w:r>
          </w:p>
        </w:tc>
        <w:tc>
          <w:tcPr>
            <w:tcW w:w="7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(7,521,899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(7,522,426</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(17,565,866</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(17,565,866</w:t>
            </w:r>
          </w:p>
        </w:tc>
        <w:tc>
          <w:tcPr>
            <w:tcW w:w="7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19,899,679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(1,741,397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190,792,980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(64,257,964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126,553,174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_005"/>
      <w:bookmarkEnd w:id="21"/>
      <w:r>
        <w:rPr>
          <w:rFonts w:ascii="Times New Roman;Times;Serif" w:hAnsi="Times New Roman;Times;Serif"/>
          <w:b/>
          <w:i w:val="false"/>
          <w:caps w:val="false"/>
          <w:smallCaps w:val="false"/>
          <w:sz w:val="20"/>
        </w:rPr>
        <w:t>Consolidated Statement of Stockholders’ Equity for the Year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December 31, 2022</w:t>
      </w:r>
    </w:p>
    <w:p>
      <w:pPr>
        <w:pStyle w:val="TextBody"/>
        <w:bidi w:val="0"/>
        <w:spacing w:before="0" w:after="0"/>
        <w:ind w:left="0" w:right="0" w:hanging="0"/>
        <w:jc w:val="center"/>
        <w:rPr>
          <w:caps w:val="false"/>
          <w:smallCaps w:val="false"/>
        </w:rPr>
      </w:pPr>
      <w:r>
        <w:rPr>
          <w:caps w:val="false"/>
          <w:smallCaps w:val="false"/>
        </w:rPr>
        <w:t> </w:t>
      </w:r>
    </w:p>
    <w:tbl>
      <w:tblPr>
        <w:tblW w:w="1044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46"/>
        <w:gridCol w:w="714"/>
        <w:gridCol w:w="60"/>
        <w:gridCol w:w="60"/>
        <w:gridCol w:w="140"/>
        <w:gridCol w:w="1055"/>
        <w:gridCol w:w="95"/>
        <w:gridCol w:w="60"/>
        <w:gridCol w:w="155"/>
        <w:gridCol w:w="705"/>
        <w:gridCol w:w="95"/>
        <w:gridCol w:w="60"/>
        <w:gridCol w:w="140"/>
        <w:gridCol w:w="1220"/>
        <w:gridCol w:w="95"/>
        <w:gridCol w:w="60"/>
        <w:gridCol w:w="140"/>
        <w:gridCol w:w="1175"/>
        <w:gridCol w:w="95"/>
        <w:gridCol w:w="60"/>
        <w:gridCol w:w="140"/>
        <w:gridCol w:w="1220"/>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17,860,975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166,615,514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(35,253,658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131,379,717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4,956,619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4,956,619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10,789,203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10,789,203</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stock options 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156,910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1,205,724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1,205,881</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9,374,455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restricted stock units vested, net of cancelled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(132,430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(132,400</w:t>
            </w:r>
          </w:p>
        </w:tc>
        <w:tc>
          <w:tcPr>
            <w:tcW w:w="7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(20,023,044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(20,024,258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(11,438,440</w:t>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(11,438,440</w:t>
            </w:r>
          </w:p>
        </w:tc>
        <w:tc>
          <w:tcPr>
            <w:tcW w:w="7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(1,214,398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172,785,800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(46,692,098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126,110,777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F_006"/>
      <w:bookmarkEnd w:id="22"/>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4"/>
        <w:gridCol w:w="60"/>
        <w:gridCol w:w="142"/>
        <w:gridCol w:w="1323"/>
        <w:gridCol w:w="95"/>
        <w:gridCol w:w="60"/>
        <w:gridCol w:w="153"/>
        <w:gridCol w:w="1286"/>
        <w:gridCol w:w="112"/>
      </w:tblGrid>
      <w:tr>
        <w:trPr/>
        <w:tc>
          <w:tcPr>
            <w:tcW w:w="69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ended </w:t>
              <w:br/>
              <w:t xml:space="preserve">December 31,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 xml:space="preserve">year ended </w:t>
              <w:br/>
              <w:t xml:space="preserve">December 31, </w:t>
              <w:br/>
              <w:t>2022</w:t>
            </w:r>
          </w:p>
        </w:tc>
        <w:tc>
          <w:tcPr>
            <w:tcW w:w="112" w:type="dxa"/>
            <w:tcBorders/>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(17,565,866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(11,438,440</w:t>
            </w:r>
          </w:p>
        </w:tc>
        <w:tc>
          <w:tcPr>
            <w:tcW w:w="112" w:type="dxa"/>
            <w:tcBorders/>
            <w:shd w:fill="CCEEFF" w:val="clear"/>
            <w:vAlign w:val="center"/>
          </w:tcPr>
          <w:p>
            <w:pPr>
              <w:pStyle w:val="TableContents"/>
              <w:bidi w:val="0"/>
              <w:spacing w:before="0" w:after="283"/>
              <w:jc w:val="left"/>
              <w:rPr/>
            </w:pPr>
            <w:r>
              <w:rPr/>
              <w:t>)</w:t>
            </w:r>
          </w:p>
        </w:tc>
      </w:tr>
      <w:tr>
        <w:trPr/>
        <w:tc>
          <w:tcPr>
            <w:tcW w:w="6974" w:type="dxa"/>
            <w:tcBorders/>
            <w:vAlign w:val="center"/>
          </w:tcPr>
          <w:p>
            <w:pPr>
              <w:pStyle w:val="TableContents"/>
              <w:bidi w:val="0"/>
              <w:spacing w:before="0" w:after="283"/>
              <w:jc w:val="left"/>
              <w:rPr/>
            </w:pPr>
            <w:r>
              <w:rPr/>
              <w:t>Adjustments to reconcile net loss to net cash (used in) / provided by operating activities: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2,401,628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2,022,029</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Asset impairment charges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6,737,580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Loss on disposal of business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2,142,319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Increase in bad debt expense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665,973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363,512</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13,717,333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15,745,822</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Amortization of debt issuance costs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210,737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Change in operating assets and liabilities, net of the effects of acquisitions: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(8,712,954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2,281,773</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(573,333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2,650,951</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(1,320,150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943,171</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Revenue share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1,515,262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(387,776</w:t>
            </w:r>
          </w:p>
        </w:tc>
        <w:tc>
          <w:tcPr>
            <w:tcW w:w="112" w:type="dxa"/>
            <w:tcBorders/>
            <w:shd w:fill="CCEEFF" w:val="clear"/>
            <w:vAlign w:val="center"/>
          </w:tcPr>
          <w:p>
            <w:pPr>
              <w:pStyle w:val="TableContents"/>
              <w:bidi w:val="0"/>
              <w:spacing w:before="0" w:after="283"/>
              <w:jc w:val="left"/>
              <w:rPr/>
            </w:pPr>
            <w:r>
              <w:rPr/>
              <w:t>)</w:t>
            </w:r>
          </w:p>
        </w:tc>
      </w:tr>
      <w:tr>
        <w:trPr/>
        <w:tc>
          <w:tcPr>
            <w:tcW w:w="6974" w:type="dxa"/>
            <w:tcBorders/>
            <w:vAlign w:val="center"/>
          </w:tcPr>
          <w:p>
            <w:pPr>
              <w:pStyle w:val="TableContents"/>
              <w:bidi w:val="0"/>
              <w:spacing w:before="0" w:after="283"/>
              <w:jc w:val="left"/>
              <w:rPr/>
            </w:pPr>
            <w:r>
              <w:rPr/>
              <w:t>Accrued expenses and other liabilities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1,305,164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(301,366</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(7,695,374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tcMar>
              <w:bottom w:w="28" w:type="dxa"/>
            </w:tcMar>
            <w:vAlign w:val="center"/>
          </w:tcPr>
          <w:p>
            <w:pPr>
              <w:pStyle w:val="TableContents"/>
              <w:bidi w:val="0"/>
              <w:spacing w:before="0" w:after="283"/>
              <w:jc w:val="right"/>
              <w:rPr/>
            </w:pPr>
            <w:r>
              <w:rPr/>
              <w:t>(67,472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(1,225,598</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b/>
              </w:rPr>
            </w:pPr>
            <w:r>
              <w:rPr>
                <w:b/>
              </w:rPr>
              <w:t>NET CASH (USED IN) / PROVIDED BY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(7,239,153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10,654,078</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b/>
              </w:rPr>
            </w:pPr>
            <w:r>
              <w:rPr>
                <w:b/>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Purchases of property and equipment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(87,073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(81,005</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Cash paid for acquisitions, net of cash acquired</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(82,947,264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(2,000,000</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pPr>
            <w:r>
              <w:rPr/>
              <w:t>Proceeds from sale of business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2,540,000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Purchase of short-term investments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(162,777,510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(55,931,821</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pPr>
            <w:r>
              <w:rPr/>
              <w:t>Redemptions of short-term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218,709,331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Capitalized software development costs and other</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tcMar>
              <w:bottom w:w="28" w:type="dxa"/>
            </w:tcMar>
            <w:vAlign w:val="center"/>
          </w:tcPr>
          <w:p>
            <w:pPr>
              <w:pStyle w:val="TableContents"/>
              <w:bidi w:val="0"/>
              <w:spacing w:before="0" w:after="283"/>
              <w:jc w:val="right"/>
              <w:rPr/>
            </w:pPr>
            <w:r>
              <w:rPr/>
              <w:t>(784,349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(163,560</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(25,336,865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(58,176,386</w:t>
            </w:r>
          </w:p>
        </w:tc>
        <w:tc>
          <w:tcPr>
            <w:tcW w:w="112" w:type="dxa"/>
            <w:tcBorders/>
            <w:shd w:fill="CCEEFF" w:val="clear"/>
            <w:vAlign w:val="center"/>
          </w:tcPr>
          <w:p>
            <w:pPr>
              <w:pStyle w:val="TableContents"/>
              <w:bidi w:val="0"/>
              <w:spacing w:before="0" w:after="283"/>
              <w:jc w:val="left"/>
              <w:rPr/>
            </w:pPr>
            <w:r>
              <w:rPr/>
              <w:t>)</w:t>
            </w:r>
          </w:p>
        </w:tc>
      </w:tr>
      <w:tr>
        <w:trPr/>
        <w:tc>
          <w:tcPr>
            <w:tcW w:w="69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b/>
              </w:rPr>
            </w:pPr>
            <w:r>
              <w:rPr>
                <w:b/>
              </w:rPr>
              <w:t>CASH FLOWS (USED IN ) / PROVIDED BY FINANCING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Proceeds from long-term debt, net of issuance costs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37,730,000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Repayment of 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Repurchase of common stock</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(7,522,426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(20,024,258</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pPr>
            <w:r>
              <w:rPr/>
              <w:t>Proceeds from exercise of stock options, net of cash paid for withholding taxes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(277,785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1,073,481</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b/>
              </w:rPr>
            </w:pPr>
            <w:r>
              <w:rPr>
                <w:b/>
              </w:rPr>
              <w:t>NET CASH PROVIDED BY/(USED IN) FINANCING ACTIVITIES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tcMar>
              <w:bottom w:w="28" w:type="dxa"/>
            </w:tcMar>
            <w:vAlign w:val="center"/>
          </w:tcPr>
          <w:p>
            <w:pPr>
              <w:pStyle w:val="TableContents"/>
              <w:bidi w:val="0"/>
              <w:spacing w:before="0" w:after="283"/>
              <w:jc w:val="right"/>
              <w:rPr/>
            </w:pPr>
            <w:r>
              <w:rPr/>
              <w:t>28,219,789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(18,950,777</w:t>
            </w:r>
          </w:p>
        </w:tc>
        <w:tc>
          <w:tcPr>
            <w:tcW w:w="112" w:type="dxa"/>
            <w:tcBorders/>
            <w:vAlign w:val="center"/>
          </w:tcPr>
          <w:p>
            <w:pPr>
              <w:pStyle w:val="TableContents"/>
              <w:bidi w:val="0"/>
              <w:spacing w:before="0" w:after="283"/>
              <w:jc w:val="left"/>
              <w:rPr/>
            </w:pPr>
            <w:r>
              <w:rPr/>
              <w:t>)</w:t>
            </w:r>
          </w:p>
        </w:tc>
      </w:tr>
      <w:tr>
        <w:trPr/>
        <w:tc>
          <w:tcPr>
            <w:tcW w:w="6974" w:type="dxa"/>
            <w:tcBorders/>
            <w:shd w:fill="CCEEFF" w:val="clear"/>
            <w:vAlign w:val="center"/>
          </w:tcPr>
          <w:p>
            <w:pPr>
              <w:pStyle w:val="TableContents"/>
              <w:bidi w:val="0"/>
              <w:spacing w:before="0" w:after="283"/>
              <w:jc w:val="left"/>
              <w:rPr>
                <w:b/>
              </w:rPr>
            </w:pPr>
            <w:r>
              <w:rPr>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(4,356,229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(66,473,085</w:t>
            </w:r>
          </w:p>
        </w:tc>
        <w:tc>
          <w:tcPr>
            <w:tcW w:w="112" w:type="dxa"/>
            <w:tcBorders/>
            <w:shd w:fill="CCEEFF" w:val="clear"/>
            <w:vAlign w:val="center"/>
          </w:tcPr>
          <w:p>
            <w:pPr>
              <w:pStyle w:val="TableContents"/>
              <w:bidi w:val="0"/>
              <w:spacing w:before="0" w:after="283"/>
              <w:jc w:val="left"/>
              <w:rPr/>
            </w:pPr>
            <w:r>
              <w:rPr/>
              <w:t>)</w:t>
            </w:r>
          </w:p>
        </w:tc>
      </w:tr>
      <w:tr>
        <w:trPr/>
        <w:tc>
          <w:tcPr>
            <w:tcW w:w="6974" w:type="dxa"/>
            <w:tcBorders/>
            <w:vAlign w:val="center"/>
          </w:tcPr>
          <w:p>
            <w:pPr>
              <w:pStyle w:val="TableContents"/>
              <w:bidi w:val="0"/>
              <w:spacing w:before="0" w:after="283"/>
              <w:jc w:val="left"/>
              <w:rPr>
                <w:b/>
              </w:rPr>
            </w:pPr>
            <w:r>
              <w:rPr>
                <w:b/>
              </w:rPr>
              <w:t>CASH AND CASH EQUIVALENTS – BEGINNING OF PERIOD</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tcMar>
              <w:bottom w:w="28" w:type="dxa"/>
            </w:tcMar>
            <w:vAlign w:val="center"/>
          </w:tcPr>
          <w:p>
            <w:pPr>
              <w:pStyle w:val="TableContents"/>
              <w:bidi w:val="0"/>
              <w:spacing w:before="0" w:after="283"/>
              <w:jc w:val="right"/>
              <w:rPr/>
            </w:pPr>
            <w:r>
              <w:rPr/>
              <w:t>18,208,685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84,681,770</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13,852,456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shd w:fill="CCEEFF" w:val="clear"/>
            <w:tcMar>
              <w:bottom w:w="28" w:type="dxa"/>
            </w:tcMar>
            <w:vAlign w:val="center"/>
          </w:tcPr>
          <w:p>
            <w:pPr>
              <w:pStyle w:val="TableContents"/>
              <w:bidi w:val="0"/>
              <w:spacing w:before="0" w:after="283"/>
              <w:jc w:val="right"/>
              <w:rPr/>
            </w:pPr>
            <w:r>
              <w:rPr/>
              <w:t>18,208,685</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1,212,619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ROU assets obtained in exchange for lease obligations</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tcMar>
              <w:bottom w:w="28" w:type="dxa"/>
            </w:tcMar>
            <w:vAlign w:val="center"/>
          </w:tcPr>
          <w:p>
            <w:pPr>
              <w:pStyle w:val="TableContents"/>
              <w:bidi w:val="0"/>
              <w:spacing w:before="0" w:after="283"/>
              <w:jc w:val="right"/>
              <w:rPr/>
            </w:pPr>
            <w:r>
              <w:rPr/>
              <w:t>459,580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Reduction of EvinceMed purchase price for amounts previously paid</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shd w:fill="CCEEFF" w:val="clear"/>
            <w:tcMar>
              <w:bottom w:w="28" w:type="dxa"/>
            </w:tcMar>
            <w:vAlign w:val="center"/>
          </w:tcPr>
          <w:p>
            <w:pPr>
              <w:pStyle w:val="TableContents"/>
              <w:bidi w:val="0"/>
              <w:spacing w:before="0" w:after="283"/>
              <w:jc w:val="right"/>
              <w:rPr/>
            </w:pPr>
            <w:r>
              <w:rPr/>
              <w:t>708,334</w:t>
            </w:r>
          </w:p>
        </w:tc>
        <w:tc>
          <w:tcPr>
            <w:tcW w:w="112" w:type="dxa"/>
            <w:tcBorders/>
            <w:shd w:fill="CCEEFF" w:val="clear"/>
            <w:vAlign w:val="center"/>
          </w:tcPr>
          <w:p>
            <w:pPr>
              <w:pStyle w:val="TableContents"/>
              <w:bidi w:val="0"/>
              <w:spacing w:before="0" w:after="283"/>
              <w:jc w:val="left"/>
              <w:rPr/>
            </w:pPr>
            <w:r>
              <w:rPr/>
              <w:t> </w:t>
            </w:r>
          </w:p>
        </w:tc>
      </w:tr>
      <w:tr>
        <w:trPr/>
        <w:tc>
          <w:tcPr>
            <w:tcW w:w="6974" w:type="dxa"/>
            <w:tcBorders/>
            <w:vAlign w:val="center"/>
          </w:tcPr>
          <w:p>
            <w:pPr>
              <w:pStyle w:val="TableContents"/>
              <w:bidi w:val="0"/>
              <w:spacing w:before="0" w:after="283"/>
              <w:jc w:val="left"/>
              <w:rPr/>
            </w:pPr>
            <w:r>
              <w:rPr/>
              <w:t>Shares issued in connection with acquisition</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tcMar>
              <w:bottom w:w="28" w:type="dxa"/>
            </w:tcMar>
            <w:vAlign w:val="center"/>
          </w:tcPr>
          <w:p>
            <w:pPr>
              <w:pStyle w:val="TableContents"/>
              <w:bidi w:val="0"/>
              <w:spacing w:before="0" w:after="283"/>
              <w:jc w:val="right"/>
              <w:rPr/>
            </w:pPr>
            <w:r>
              <w:rPr/>
              <w:t>12,091,142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9,374,455</w:t>
            </w:r>
          </w:p>
        </w:tc>
        <w:tc>
          <w:tcPr>
            <w:tcW w:w="112" w:type="dxa"/>
            <w:tcBorders/>
            <w:vAlign w:val="center"/>
          </w:tcPr>
          <w:p>
            <w:pPr>
              <w:pStyle w:val="TableContents"/>
              <w:bidi w:val="0"/>
              <w:spacing w:before="0" w:after="283"/>
              <w:jc w:val="left"/>
              <w:rPr/>
            </w:pPr>
            <w:r>
              <w:rPr/>
              <w:t> </w:t>
            </w:r>
          </w:p>
        </w:tc>
      </w:tr>
      <w:tr>
        <w:trPr/>
        <w:tc>
          <w:tcPr>
            <w:tcW w:w="6974"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shd w:fill="CCEEFF" w:val="clear"/>
            <w:tcMar>
              <w:bottom w:w="28" w:type="dxa"/>
            </w:tcMar>
            <w:vAlign w:val="center"/>
          </w:tcPr>
          <w:p>
            <w:pPr>
              <w:pStyle w:val="TableContents"/>
              <w:bidi w:val="0"/>
              <w:spacing w:before="0" w:after="283"/>
              <w:jc w:val="right"/>
              <w:rPr/>
            </w:pPr>
            <w:r>
              <w:rPr/>
              <w:t>48,222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_007"/>
      <w:bookmarkEnd w:id="23"/>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 ORGANIZATION AND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is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technology platform embedded within a proprietary point-of-care network, as well as mass digital communications channels,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have been prepared in accordance with generally accepted accounting principles in the United States of America and are presented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reflect the consolidated results of OptimizeRx Corporation, a Nevada corporation, and its wholly owned subsidiaries: OptimizeRx Corporation, a Michigan corporation, Healthy Offers, Inc., a Nevada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one reportable segment and use consolidated net income as its measure of segment profit and loss.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 as our focus is on selling enterprise arrangements covering multiple solutions that span the entire patient journey with a specific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items in the previous year financial statements have been reclassified to match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NOTES TO THE CONSOLIDATED FINANCIAL STATEMENTS</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U.S. dollar, however it pays certain expenses related to its two foreign subsidiaries in the local currency, which is the shekel for its subsidiary in Israel and the euro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accompanying financial statements, the Company considers all highly liquid instruments, consisting of money market accounts, with an initial maturity of three months or less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based upon unadjusted quoted prices for identical instruments traded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carrying amounts of financial instruments including cash and cash equivalents, accounts receivable, accounts payable, and other current liabilities approximate their fair values due to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customers are primarily large well-capitalized companies, and historically there has been very little bad debt expense. Bad debt expense was $665,973 and $363,512 for the years ended December 31, 2023 and 2022, respectively. The allowance for credit losses was $239,172 and $352,043 as of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allowance for credit losses in each of the years ended December 31, 2023 and 2022, were as follows:</w:t>
      </w:r>
    </w:p>
    <w:p>
      <w:pPr>
        <w:pStyle w:val="TextBody"/>
        <w:bidi w:val="0"/>
        <w:spacing w:before="0" w:after="0"/>
        <w:ind w:left="0" w:right="0" w:hanging="0"/>
        <w:jc w:val="both"/>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2750"/>
        <w:gridCol w:w="60"/>
        <w:gridCol w:w="140"/>
        <w:gridCol w:w="875"/>
        <w:gridCol w:w="95"/>
        <w:gridCol w:w="60"/>
        <w:gridCol w:w="140"/>
        <w:gridCol w:w="875"/>
        <w:gridCol w:w="11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241,219</w:t>
            </w:r>
          </w:p>
        </w:tc>
        <w:tc>
          <w:tcPr>
            <w:tcW w:w="11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debt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665,973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363,512</w:t>
            </w:r>
          </w:p>
        </w:tc>
        <w:tc>
          <w:tcPr>
            <w:tcW w:w="11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(778,844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end of year</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352,043</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record revenue based on our revenue recognition policies described below in advance of being able to invoice the customer. Included in accounts receivable are unbilled amounts of $4,198,312, and $3,582,735, at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 is recognized on a straight-line basis over the lease term, while variable lease payments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short-term lease recognition exemption is applied for leases with terms at commencement of not greater than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impairment charges of $6.7 million against the value of our intangible assets during the year ended December 31, 2023. No events or circumstances were noted that would be indicative of any potential impairment during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far value assigned to the net tangible and identifiable intangible assets of an acquired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at least annually as of December 31, of each year, or more frequently if an event occurs or circumstances change that would reduce the fair value of a reporting unit below its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qualitative assessment can be performed to determine whether it is more likely than not that the fair value of the reporting unit is less than its carrying value. If the reporting unit does not pass the qualitative assessment, then the reporting unit’s carrying value is compared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 The net contract balance for contracts in progress at December 31, 2023 and 2022 was $2.0 million and $5.4 million, respectively. The outstanding performance obligations are expected to be satisfied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2023, there were three contracts with customers that included a rebate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605"/>
        <w:gridCol w:w="60"/>
        <w:gridCol w:w="140"/>
        <w:gridCol w:w="1100"/>
        <w:gridCol w:w="60"/>
        <w:gridCol w:w="60"/>
        <w:gridCol w:w="140"/>
        <w:gridCol w:w="1100"/>
        <w:gridCol w:w="75"/>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63,527,477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55,437,418</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7,994,029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7,012,738</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71,521,506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62,450,156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revenue-share expense and costs associated with licensing data from third parties. Cost of revenues does not include depreciation and amortization which is listed separately on the statements of operations. Based on the volume of transactions that are delivered through the channel partner network, the Company provides a revenue-share to compensate the partner, or others, for their promotion of the campaign. Revenue-shares are a negotiated percentage of the transaction fees and can also be specific to special considerations and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Credit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2023 and 2022 the Company had $13,260,816 and $15,669,837, respectively, in cash balances in excess of federally insured limits, primarily at Bank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expenses as incurred. There was no research and development expense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Advertising costs, included in Other general and administrative expenses were $775,548 and $743,975, for the years ended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restricted stock awards, the fair value is based on the market value of the Company’s common stock on the date of grant. For market based restricted stock units, the fair value was estimated using a Monte Carlo simulation model. This valuation technique included estimating the movement of stock prices and the effects of volatility, interest rates and dividends. At the year ended December 31, 2023 there are no market based restricted stock units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 not expect to pay any dividends in the future.</w:t>
      </w:r>
    </w:p>
    <w:p>
      <w:pPr>
        <w:pStyle w:val="TextBody"/>
        <w:bidi w:val="0"/>
        <w:spacing w:before="0" w:after="0"/>
        <w:ind w:left="0" w:right="0" w:hanging="0"/>
        <w:jc w:val="both"/>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3680"/>
        <w:gridCol w:w="60"/>
        <w:gridCol w:w="140"/>
        <w:gridCol w:w="1055"/>
        <w:gridCol w:w="275"/>
        <w:gridCol w:w="60"/>
        <w:gridCol w:w="140"/>
        <w:gridCol w:w="1055"/>
        <w:gridCol w:w="29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9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free interest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 - 4.74</w:t>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0.82% - 4.38</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option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years</w:t>
            </w:r>
          </w:p>
        </w:tc>
        <w:tc>
          <w:tcPr>
            <w:tcW w:w="29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Turnover/forfeiture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 - 72</w:t>
            </w:r>
          </w:p>
        </w:tc>
        <w:tc>
          <w:tcPr>
            <w:tcW w:w="275" w:type="dxa"/>
            <w:tcBorders/>
            <w:shd w:fill="CCEEFF" w:val="clear"/>
            <w:vAlign w:val="center"/>
          </w:tcPr>
          <w:p>
            <w:pPr>
              <w:pStyle w:val="TableContents"/>
              <w:bidi w:val="0"/>
              <w:spacing w:before="0" w:after="283"/>
              <w:jc w:val="lef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 - 71</w:t>
            </w:r>
          </w:p>
        </w:tc>
        <w:tc>
          <w:tcPr>
            <w:tcW w:w="290" w:type="dxa"/>
            <w:tcBorders/>
            <w:shd w:fill="CCEEFF" w:val="clear"/>
            <w:vAlign w:val="center"/>
          </w:tcPr>
          <w:p>
            <w:pPr>
              <w:pStyle w:val="TableContents"/>
              <w:bidi w:val="0"/>
              <w:spacing w:before="0" w:after="283"/>
              <w:jc w:val="left"/>
              <w:rPr/>
            </w:pPr>
            <w:r>
              <w:rPr/>
              <w:t> </w:t>
            </w:r>
            <w:r>
              <w:rPr>
                <w:rFonts w:ascii="Times New Roman;Times;Serif" w:hAnsi="Times New Roman;Times;Serif"/>
              </w:rPr>
              <w:t>%</w:t>
            </w:r>
          </w:p>
        </w:tc>
      </w:tr>
      <w:tr>
        <w:trPr/>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grant date fair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Loss Per Common and Common Equivalent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awards that were excluded from the diluted loss per common share calculation in 2023 and 2022 was 31,727 and 93,626 related to options, and 52,607 and 170,859 related to restricted stock units, for a total of 84,334 and 264,485, respectively, because they are anti-dilutive, as a result of the net losses incurred in each of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weighted average shares outstanding and the basic and diluted earnings per common share for the years ended December 31, 2023 and 2022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514" w:type="dxa"/>
        <w:jc w:val="left"/>
        <w:tblInd w:w="0" w:type="dxa"/>
        <w:tblLayout w:type="fixed"/>
        <w:tblCellMar>
          <w:top w:w="0" w:type="dxa"/>
          <w:left w:w="0" w:type="dxa"/>
          <w:bottom w:w="0" w:type="dxa"/>
          <w:right w:w="0" w:type="dxa"/>
        </w:tblCellMar>
      </w:tblPr>
      <w:tblGrid>
        <w:gridCol w:w="2555"/>
        <w:gridCol w:w="60"/>
        <w:gridCol w:w="140"/>
        <w:gridCol w:w="1175"/>
        <w:gridCol w:w="95"/>
        <w:gridCol w:w="60"/>
        <w:gridCol w:w="60"/>
        <w:gridCol w:w="1100"/>
        <w:gridCol w:w="60"/>
        <w:gridCol w:w="60"/>
        <w:gridCol w:w="221"/>
        <w:gridCol w:w="818"/>
        <w:gridCol w:w="110"/>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8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 2023</w:t>
            </w:r>
          </w:p>
        </w:tc>
        <w:tc>
          <w:tcPr>
            <w:tcW w:w="110"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 Share</w:t>
              <w:br/>
              <w:t>Amount</w:t>
            </w:r>
          </w:p>
        </w:tc>
        <w:tc>
          <w:tcPr>
            <w:tcW w:w="110"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EPS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(17,565,866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17,124,801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dilutive securities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EPS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(17,565,866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17,124,801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6514" w:type="dxa"/>
        <w:jc w:val="left"/>
        <w:tblInd w:w="0" w:type="dxa"/>
        <w:tblLayout w:type="fixed"/>
        <w:tblCellMar>
          <w:top w:w="0" w:type="dxa"/>
          <w:left w:w="0" w:type="dxa"/>
          <w:bottom w:w="0" w:type="dxa"/>
          <w:right w:w="0" w:type="dxa"/>
        </w:tblCellMar>
      </w:tblPr>
      <w:tblGrid>
        <w:gridCol w:w="2555"/>
        <w:gridCol w:w="60"/>
        <w:gridCol w:w="140"/>
        <w:gridCol w:w="1175"/>
        <w:gridCol w:w="95"/>
        <w:gridCol w:w="60"/>
        <w:gridCol w:w="60"/>
        <w:gridCol w:w="1100"/>
        <w:gridCol w:w="60"/>
        <w:gridCol w:w="60"/>
        <w:gridCol w:w="221"/>
        <w:gridCol w:w="818"/>
        <w:gridCol w:w="110"/>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78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 2022</w:t>
            </w:r>
          </w:p>
        </w:tc>
        <w:tc>
          <w:tcPr>
            <w:tcW w:w="110"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 Share</w:t>
              <w:br/>
              <w:t>Amount</w:t>
            </w:r>
          </w:p>
        </w:tc>
        <w:tc>
          <w:tcPr>
            <w:tcW w:w="110"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EPS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(11,438,440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17,783,992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dilutive securities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EPS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(11,438,440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17,783,992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Topic 2021-08 </w:t>
      </w:r>
      <w:r>
        <w:rPr>
          <w:rFonts w:ascii="Times New Roman;Times;Serif" w:hAnsi="Times New Roman;Times;Serif"/>
          <w:b w:val="false"/>
          <w:i/>
          <w:caps w:val="false"/>
          <w:smallCaps w:val="false"/>
          <w:sz w:val="20"/>
        </w:rPr>
        <w:t>Business Combinations (Topic 805), Accounting for Contract Assets and Contract Liabilities from Contracts with Customers</w:t>
      </w:r>
      <w:r>
        <w:rPr>
          <w:rFonts w:ascii="Times New Roman;Times;Serif" w:hAnsi="Times New Roman;Times;Serif"/>
          <w:b w:val="false"/>
          <w:i w:val="false"/>
          <w:caps w:val="false"/>
          <w:smallCaps w:val="false"/>
          <w:sz w:val="20"/>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was effective for the Company’s fiscal year beginning January 1, 2023.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the Company acquired 100% of the issued and outstanding preferred and common stock of Healthy Offers, Inc., a Nevada corporation d/b/a Medicx Health. Medicx Health is a healthcare consumer-focused omnichannel marketing and analytics company. The acquisition of Medicx Health is expected to enhance and expand the Company’s technology offerings, providing additional opportunities for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date fair value of consideration transferred was calculated as follows:</w:t>
      </w:r>
    </w:p>
    <w:p>
      <w:pPr>
        <w:pStyle w:val="TextBody"/>
        <w:bidi w:val="0"/>
        <w:spacing w:before="0" w:after="0"/>
        <w:ind w:left="0" w:right="0" w:hanging="0"/>
        <w:jc w:val="both"/>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3740"/>
        <w:gridCol w:w="60"/>
        <w:gridCol w:w="140"/>
        <w:gridCol w:w="1100"/>
        <w:gridCol w:w="75"/>
      </w:tblGrid>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83,888,239</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stock transferred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12,091,142</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95,979,381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balance reflects the benefits associated with future iterations of the technology platforms, new customer relationships anticipated as a result of the transaction and market participant synergies from economies of scale and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required to remit, upon collection from the appropriate authorities, approximately $1.0 million related to certain state and federal income tax receivables which were included on Medicx Health’s balance sheet at the date of acquisition. The Company has recorded $1.0 million in Taxes receivable, to reflect the receivables due to the Company and $1.0 million in Accrued expenses, to reflect the total amount due to the former stockholders of Medicx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estimated fair value of assets acquired and liabilities assumed at the acquisition date:</w:t>
      </w:r>
    </w:p>
    <w:p>
      <w:pPr>
        <w:pStyle w:val="TextBody"/>
        <w:bidi w:val="0"/>
        <w:spacing w:before="0" w:after="0"/>
        <w:ind w:left="0" w:right="0" w:hanging="0"/>
        <w:jc w:val="both"/>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3620"/>
        <w:gridCol w:w="60"/>
        <w:gridCol w:w="140"/>
        <w:gridCol w:w="1100"/>
        <w:gridCol w:w="75"/>
      </w:tblGrid>
      <w:tr>
        <w:trPr/>
        <w:tc>
          <w:tcPr>
            <w:tcW w:w="3620" w:type="dxa"/>
            <w:tcBorders/>
            <w:vAlign w:val="center"/>
          </w:tcPr>
          <w:p>
            <w:pPr>
              <w:pStyle w:val="TableContents"/>
              <w:bidi w:val="0"/>
              <w:spacing w:before="0" w:after="283"/>
              <w:jc w:val="left"/>
              <w:rPr>
                <w:b/>
              </w:rPr>
            </w:pPr>
            <w:r>
              <w:rPr>
                <w:b/>
              </w:rPr>
              <w:t>Assets Acquired</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940,974</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6,028,048</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Taxes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1,035,754</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Prepaid expenses and other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912,719</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33,476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Customer relationships intangible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34,000,000</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Trademark and patent intangible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5,700,000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Technology intangibles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8,300,000</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145,075</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Deposits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9,727</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57,105,773</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Liabilities Assumed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1,997,348</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Accrued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3,848,403</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166,098</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75,003</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12,032,798</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18,119,650</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38,986,123</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Goodwill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56,993,258</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Fair value of consideration transferred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95,979,381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ACQUISITIONS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a third-party valuation specialist to value the intangible assets acquired. The identifiable intangibles are being amortized on a straight line basis over the following estimated useful lives:</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3095"/>
        <w:gridCol w:w="60"/>
        <w:gridCol w:w="1250"/>
      </w:tblGrid>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 intangible</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 years</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 and patent intangible</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intangibles</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 to 10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$4.3 million of acquisition related costs that were expensed in the current period. These costs are included in the consolidated statement of operations in the line item entitled “Other sales,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of Medicx Health have been included in the consolidated statement of operations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revenue and net income of Medicx Health included in the Company’s consolidated statement of operations for the period from the acquisition date until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2385" w:type="dxa"/>
        <w:jc w:val="left"/>
        <w:tblInd w:w="0" w:type="dxa"/>
        <w:tblLayout w:type="fixed"/>
        <w:tblCellMar>
          <w:top w:w="0" w:type="dxa"/>
          <w:left w:w="0" w:type="dxa"/>
          <w:bottom w:w="0" w:type="dxa"/>
          <w:right w:w="0" w:type="dxa"/>
        </w:tblCellMar>
      </w:tblPr>
      <w:tblGrid>
        <w:gridCol w:w="1130"/>
        <w:gridCol w:w="60"/>
        <w:gridCol w:w="140"/>
        <w:gridCol w:w="980"/>
        <w:gridCol w:w="75"/>
      </w:tblGrid>
      <w:tr>
        <w:trPr/>
        <w:tc>
          <w:tcPr>
            <w:tcW w:w="1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4,546,497</w:t>
            </w:r>
          </w:p>
        </w:tc>
        <w:tc>
          <w:tcPr>
            <w:tcW w:w="75"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314,082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pro-forma consolidated statement of operations as if Medicx Health had been included in the consolidated results of the Company for the full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4055"/>
        <w:gridCol w:w="60"/>
        <w:gridCol w:w="125"/>
        <w:gridCol w:w="1010"/>
        <w:gridCol w:w="80"/>
        <w:gridCol w:w="60"/>
        <w:gridCol w:w="125"/>
        <w:gridCol w:w="1010"/>
        <w:gridCol w:w="95"/>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Pro-forma consolidated statement of operations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97,066,241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90,521,236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(18,616,303</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(16,157,521</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2022, full year interest expense associated with the term loan and elimination of interest income on short-term investments that were used to fund the acquisition, one time transaction related items, including the amounts incurred by the Company, discussed above and $9.6 million in transaction related expenses incurred by Medicx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2022, we completed the acquisition of substantially all of the assets of EvinceMed Corp., a privately held leading provider of delivering end-to-end automation for specialty pharmaceutical transactions. We completed the acquisition to expand the breadth of the solutions we offer our customers, particularly where specialty medications are involved, The acquisition included the full Market Access Management Platform for supporting pharma manufacturers, hub providers and pharmacies to improve patient access, speed to therapy and activation of affordability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was comprised of $2.0 million in cash, the issuance of 240,741 shares of common stock valued at $9,374,455, and $708,334 of amounts previously paid. The total purchase price was $12,082,789. Of the 240,741 shares of common stock, 185,185 were issued at closing and 55,556 were issued but held back to secure potential adjustments to the purchase price that may result from the indemnification obligations of and the EvinceMed shareholder indemnitors. The holdback amount will be released twelve months from the closing, subject to any adjustments for the payment by EvinceMed and the shareholder indemnitors for its and their indemnification obligations. The purchase price was allocated to acquired technology totaling $4,149,000 with an estimated useful life of 8 years and the remaining $7,933,789 was allocated to goodwill. Goodwill represents the processes and synergies expected by integrating those processes with our own. The full amount of goodwill will be deductible for tax purposes using a 15 year life. The increase in goodwill for the period is fully accounted for by this acquisition. We determined pro forma data was immaterial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costs of approximately $19,739 were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investment securities held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Company held $55.9 million in U.S. government and agency securities. All securities had maturity dates of less than one year. The Company reported these securities at amortized cost. The amortized cost approximates fair value at December 31, 2022 due to the short nature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maturities of these securities during 2023 were used to partially fund the acquisition of Medicx Health. See Note 3 -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consisted of the following as of December 31, 2023 and 2022:</w:t>
      </w:r>
    </w:p>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875"/>
        <w:gridCol w:w="60"/>
        <w:gridCol w:w="140"/>
        <w:gridCol w:w="980"/>
        <w:gridCol w:w="60"/>
        <w:gridCol w:w="60"/>
        <w:gridCol w:w="140"/>
        <w:gridCol w:w="980"/>
        <w:gridCol w:w="7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share and exclusivity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1,495,127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1,025,000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407,480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408,063</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221,580</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152,533</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473,652</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3,189,468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2,280,828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owned equipment recorded at cost, which consisted of the following as of December 31, 2023 and 2022:</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930"/>
        <w:gridCol w:w="60"/>
        <w:gridCol w:w="140"/>
        <w:gridCol w:w="800"/>
        <w:gridCol w:w="60"/>
        <w:gridCol w:w="60"/>
        <w:gridCol w:w="140"/>
        <w:gridCol w:w="800"/>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230,467</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38,500</w:t>
            </w:r>
          </w:p>
        </w:tc>
        <w:tc>
          <w:tcPr>
            <w:tcW w:w="7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268,967</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131,519</w:t>
            </w:r>
          </w:p>
        </w:tc>
        <w:tc>
          <w:tcPr>
            <w:tcW w:w="7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$99,849 and $85,725 for the years ended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goodwill is related to the acquisitions of Medicx Health in 2023, EvinceMed in 2022, RMDY Health, Inc. in 2019 and CareSpeak Communications in 2018. Goodwill is not amortizable for financial statement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goodwill impairment review in the fourth quarters of each of the years ended December 31, 2023 and 2022, and also performed an interim impairment review as of November 30, 2023, following the completion of the transaction with Mercalis, Inc., which is discussed below. In both cases it was determined that the fair value of the Company’s single reporting unit was greater than its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GOODWILL AND INTANGIBLE ASSETS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any reporting units, used in the annual assessments in 2023 and 2022, is classified as Level 3 measurements within the fair value hierarchy due to significant unobservable inputs such as discount rates, projections of revenue, cost of revenue and operating expense growth rates, long-term growth rates and income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carrying amount of goodwill on the consolidated balance sheet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2735"/>
        <w:gridCol w:w="60"/>
        <w:gridCol w:w="140"/>
        <w:gridCol w:w="1100"/>
        <w:gridCol w:w="110"/>
      </w:tblGrid>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January 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14,740,031</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7,933,789</w:t>
            </w:r>
          </w:p>
        </w:tc>
        <w:tc>
          <w:tcPr>
            <w:tcW w:w="11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January 1, 2023</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22,673,820</w:t>
            </w:r>
          </w:p>
        </w:tc>
        <w:tc>
          <w:tcPr>
            <w:tcW w:w="11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56,993,258</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 of business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(1,310,004</w:t>
            </w:r>
          </w:p>
        </w:tc>
        <w:tc>
          <w:tcPr>
            <w:tcW w:w="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2023</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78,357,074</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we entered into various agreements, including a Product License Agreement and Platform Assets Purchase Agreement, with Mercalis, Inc.(“Mercalis”), collectively the “Transaction”. Under the terms of the Transaction, Mercalis agreed to purchase certain customer contract assets and liabilities related to the Company’s Access and Patient Engagement technologies. In addition, Mercalis was granted a perpetual license to the Access products and a non-exclusive two-year term license to the Patient Engagement products. Total consideration due for the Transaction was $3,740,000 including $2,540,000 related to the Access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Access products portion of the Transaction was deemed to be the disposal of a business for accounting purposes and accordingly the Company recorded a loss on disposal of $2,142,319 including the allocation of a portion of the Company’s goodwill balance of $1,310,004 and the net book value of the underlying technology assets of $3,327,844.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included on the consolidated balance sheets consist of the following:</w:t>
      </w:r>
    </w:p>
    <w:p>
      <w:pPr>
        <w:pStyle w:val="TextBody"/>
        <w:bidi w:val="0"/>
        <w:spacing w:before="0" w:after="0"/>
        <w:ind w:left="0" w:right="0" w:hanging="0"/>
        <w:jc w:val="both"/>
        <w:rPr>
          <w:caps w:val="false"/>
          <w:smallCaps w:val="false"/>
        </w:rPr>
      </w:pPr>
      <w:r>
        <w:rPr>
          <w:caps w:val="false"/>
          <w:smallCaps w:val="false"/>
        </w:rPr>
        <w:t> </w:t>
      </w:r>
    </w:p>
    <w:tbl>
      <w:tblPr>
        <w:tblW w:w="9964" w:type="dxa"/>
        <w:jc w:val="left"/>
        <w:tblInd w:w="0" w:type="dxa"/>
        <w:tblLayout w:type="fixed"/>
        <w:tblCellMar>
          <w:top w:w="0" w:type="dxa"/>
          <w:left w:w="0" w:type="dxa"/>
          <w:bottom w:w="0" w:type="dxa"/>
          <w:right w:w="0" w:type="dxa"/>
        </w:tblCellMar>
      </w:tblPr>
      <w:tblGrid>
        <w:gridCol w:w="4220"/>
        <w:gridCol w:w="60"/>
        <w:gridCol w:w="140"/>
        <w:gridCol w:w="1100"/>
        <w:gridCol w:w="60"/>
        <w:gridCol w:w="60"/>
        <w:gridCol w:w="171"/>
        <w:gridCol w:w="1199"/>
        <w:gridCol w:w="60"/>
        <w:gridCol w:w="60"/>
        <w:gridCol w:w="140"/>
        <w:gridCol w:w="1100"/>
        <w:gridCol w:w="60"/>
        <w:gridCol w:w="60"/>
        <w:gridCol w:w="167"/>
        <w:gridCol w:w="1232"/>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Gross </w:t>
              <w:br/>
              <w:t xml:space="preserve">Carrying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 xml:space="preserve">Average Life </w:t>
              <w:br/>
              <w:t>Remaining</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rights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7,163,729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6,184,742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12,387,622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3,374,866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9,012,756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Tradename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Non-compete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34,923,000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858,916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34,064,084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Tradename and customer relationships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1,951,916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34,198,084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intangible assets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55,701,351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6,305,769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49,395,582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GOODWILL AND INTANGIBLE ASSETS (CONTINUED)</w:t>
      </w:r>
    </w:p>
    <w:p>
      <w:pPr>
        <w:pStyle w:val="TextBody"/>
        <w:bidi w:val="0"/>
        <w:spacing w:before="0" w:after="0"/>
        <w:ind w:left="0" w:right="0" w:hanging="0"/>
        <w:jc w:val="left"/>
        <w:rPr>
          <w:caps w:val="false"/>
          <w:smallCaps w:val="false"/>
        </w:rPr>
      </w:pPr>
      <w:r>
        <w:rPr>
          <w:caps w:val="false"/>
          <w:smallCaps w:val="false"/>
        </w:rPr>
        <w:t> </w:t>
      </w:r>
    </w:p>
    <w:tbl>
      <w:tblPr>
        <w:tblW w:w="8135" w:type="dxa"/>
        <w:jc w:val="left"/>
        <w:tblInd w:w="0" w:type="dxa"/>
        <w:tblLayout w:type="fixed"/>
        <w:tblCellMar>
          <w:top w:w="0" w:type="dxa"/>
          <w:left w:w="0" w:type="dxa"/>
          <w:bottom w:w="0" w:type="dxa"/>
          <w:right w:w="0" w:type="dxa"/>
        </w:tblCellMar>
      </w:tblPr>
      <w:tblGrid>
        <w:gridCol w:w="2450"/>
        <w:gridCol w:w="60"/>
        <w:gridCol w:w="140"/>
        <w:gridCol w:w="1100"/>
        <w:gridCol w:w="60"/>
        <w:gridCol w:w="60"/>
        <w:gridCol w:w="171"/>
        <w:gridCol w:w="1199"/>
        <w:gridCol w:w="60"/>
        <w:gridCol w:w="60"/>
        <w:gridCol w:w="140"/>
        <w:gridCol w:w="1100"/>
        <w:gridCol w:w="60"/>
        <w:gridCol w:w="60"/>
        <w:gridCol w:w="160"/>
        <w:gridCol w:w="118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Gross</w:t>
              <w:br/>
              <w:t>Carrying</w:t>
              <w:b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 Life</w:t>
              <w:br/>
              <w:t>Remaining</w:t>
            </w:r>
          </w:p>
        </w:tc>
        <w:tc>
          <w:tcPr>
            <w:tcW w:w="75" w:type="dxa"/>
            <w:tcBorders/>
            <w:vAlign w:val="center"/>
          </w:tcPr>
          <w:p>
            <w:pPr>
              <w:pStyle w:val="TableContents"/>
              <w:bidi w:val="0"/>
              <w:spacing w:before="0" w:after="283"/>
              <w:jc w:val="center"/>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rights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3,364,729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12,859,660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7,702,895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Tradename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776,966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2,809,034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Non-compete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570,804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2,222,162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3,379,838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intangible assets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21,826,389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8,803,478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13,022,911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we recorded asset impairment charges of $6,737,580 relating to Technology assets patent rights and tradenames that were not considered to be core solutions on a go forward basis, resulting in lower projected revenues for these solutions, as well as the outcome of the disposal of the Access products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are being amortized on a straight-line basis over the following estimated useful lives.</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450"/>
        <w:gridCol w:w="60"/>
        <w:gridCol w:w="1310"/>
      </w:tblGrid>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Patents</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 – 17 years</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Tradenames</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 years</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Non-compete agreements</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 4 years</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 years</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assets</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 – 10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$2,301,779 and $1,936,304 in the years ended December 31, 2023 and 2022, respectively. Expected future amortization expense of the intangibles assets as of December 31, 2023 is as follows:</w:t>
      </w:r>
    </w:p>
    <w:p>
      <w:pPr>
        <w:pStyle w:val="TextBody"/>
        <w:bidi w:val="0"/>
        <w:spacing w:before="0" w:after="0"/>
        <w:ind w:left="0" w:right="0" w:hanging="0"/>
        <w:jc w:val="both"/>
        <w:rPr>
          <w:caps w:val="false"/>
          <w:smallCaps w:val="false"/>
        </w:rPr>
      </w:pPr>
      <w:r>
        <w:rPr>
          <w:caps w:val="false"/>
          <w:smallCaps w:val="false"/>
        </w:rPr>
        <w:t> </w:t>
      </w:r>
    </w:p>
    <w:tbl>
      <w:tblPr>
        <w:tblW w:w="4050" w:type="dxa"/>
        <w:jc w:val="left"/>
        <w:tblInd w:w="0" w:type="dxa"/>
        <w:tblLayout w:type="fixed"/>
        <w:tblCellMar>
          <w:top w:w="0" w:type="dxa"/>
          <w:left w:w="0" w:type="dxa"/>
          <w:bottom w:w="28" w:type="dxa"/>
          <w:right w:w="0" w:type="dxa"/>
        </w:tblCellMar>
      </w:tblPr>
      <w:tblGrid>
        <w:gridCol w:w="2675"/>
        <w:gridCol w:w="60"/>
        <w:gridCol w:w="140"/>
        <w:gridCol w:w="1100"/>
        <w:gridCol w:w="75"/>
      </w:tblGrid>
      <w:tr>
        <w:trPr/>
        <w:tc>
          <w:tcPr>
            <w:tcW w:w="267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4,202,841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4,128,899</w:t>
            </w:r>
          </w:p>
        </w:tc>
        <w:tc>
          <w:tcPr>
            <w:tcW w:w="7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4,079,117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3,972,613</w:t>
            </w:r>
          </w:p>
        </w:tc>
        <w:tc>
          <w:tcPr>
            <w:tcW w:w="7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3,724,330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29,287,782</w:t>
            </w:r>
          </w:p>
        </w:tc>
        <w:tc>
          <w:tcPr>
            <w:tcW w:w="7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49,395,582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 xml:space="preserve">NOTES TO THE CONSOLIDATED FINANCIAL STATEMENTS </w:t>
        <w:b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$171,841 and $164,309 as of December 31, 2023 and 2022, respectively. These contracts are all short term in nature and all revenue is expected to be recognized within 12 months, or less. Following is a summary of activity in the deferred revenue account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2315"/>
        <w:gridCol w:w="60"/>
        <w:gridCol w:w="125"/>
        <w:gridCol w:w="1010"/>
        <w:gridCol w:w="95"/>
      </w:tblGrid>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(12,358,640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collected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12,291,169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acquired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summary of activity in the deferred revenue account for the year ended December 31, 2022.</w:t>
      </w:r>
    </w:p>
    <w:p>
      <w:pPr>
        <w:pStyle w:val="TextBody"/>
        <w:bidi w:val="0"/>
        <w:spacing w:before="0" w:after="0"/>
        <w:ind w:left="0" w:right="0" w:hanging="0"/>
        <w:jc w:val="both"/>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2315"/>
        <w:gridCol w:w="60"/>
        <w:gridCol w:w="125"/>
        <w:gridCol w:w="1010"/>
        <w:gridCol w:w="95"/>
      </w:tblGrid>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1,389,907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(13,455,253</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collected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12,229,655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164,309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$930,000 at the time of the acquisition and recorded the patent at that cost. That patent remains in Patents on the consolidated balance sheet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Lang, one of our Board Members, is the CEO of Eversana, a leading global provider of services to the life sciences industry. Eversana is similar to other customers we generate revenue from, such as agencies or resellers. During the years ended December 31, 2023 and 2022, we have recognized $335,897 and $401,972, respectively, in revenue from contracts engaged with Eversana. These contracts were sourced by Eversana on behalf of life science customers of theirs. The contracts are at market rates and were generated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10,000,000 shares of preferred stock, $0.001 par value per share, authorized as of December 31, 2023. No shares were issued or outstanding in either 2022 or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166,666,667 shares of common stock, $0.001 par value per share, authorized as of December 31, 2023. There were 18,158,282 and 17,074,173 shares of common stock outstanding, net of shares held in treasury, at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24,668 shares of common stock and received proceeds of $181,106 in 2023 in connection with the exercise of options under our 2013 Equity Incentive Plan. We also issued 156,910 shares of common stock and received proceeds of $1,205,881 in 2022 in connection with the exercise of options under our 2013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141,859 shares of common stock in 2023 and 29,945 shares of common stock in 2022 in connection with the vesting of restricted stock units under our 2013 and 2021 Equity Incentive Plans and discussed in greater detail in Note 11, Stock Based Compensation. Some of the participants utilized a net withhold settlement method, in which shares were surrendered to cover payroll withholding taxes. Of the shares issued to participants during the year ended December 31, 2023 and 2022, respectively, 42,489 and 8,416 shares, valued at $458,892 and $132,400, were surrendered and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Treasury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Board authorized a share repurchase program, under which the Company may repurchase up to $15 million of its outstanding common stock. This stock repurchase authorization expires on the earlier of March 12, 2024, or when the repurchase of $15 million of shares of its common stock has been reached. Through December 31, 2023, the Company repurchased 526,999 shares of our common stock for a total of $7,522,426, including commissions paid on repurchases. At December 31, 2022, the Company repurchased 1,214,398 shares of our common stock for a total of $20,021,830, including commissions paid on repurchases. These shares were recorded as Treasury Shares using the par value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Board authorized a share repurchase program, under which the Company may repurchase up to $20.0 million of its outstanding common stock. Through December 31, 2022, we repurchased 1,214,398 shares of our common stock for a total of $20,024,258, including commissions paid on repurchases. These shares were recorded as Treasury Shares using the par value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two stock-based incentive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345,435 shares of common stock underlying options and 111,628 shares of common stock underlying restricted stock unit awards were outstanding at December 31, 2023. In connection with the adoption of a new plan in 2021, the Company froze the 2013 Plan. At December 31, 2023, there were no shares available for grant under the 2013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adopted a new plan known as the 2021 Equity Incentive Plan (“2021 Plan”). The plan was established by the Board of Directors and approved by shareholders in August 2021. A total of 2,500,000 shares are authorized for issuance under the 2021 Plan. A total of 1,209,626 shares of common stock underlying options and 631,581 shares of common stock underlying restricted stock unit awards were outstanding at December 31, 2023. At December 31, 2023, 276,844 shares were available for grant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cost that has been charged against income related to options for the years ended December 31, 2023 and 2022, was $5,925,416 and $4,956,619, respectively. No income tax benefit was recognized in the consolidated statements of income and no compensation was capitalized in any of the years presented. During the year ended December 31, 2023,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granted certain performance based stock options, the expense for which will be recorded over time once the achievement of the performance is deemed probable. There was no expense related to these options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option activity during the year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8689" w:type="dxa"/>
        <w:jc w:val="left"/>
        <w:tblInd w:w="0" w:type="dxa"/>
        <w:tblLayout w:type="fixed"/>
        <w:tblCellMar>
          <w:top w:w="0" w:type="dxa"/>
          <w:left w:w="0" w:type="dxa"/>
          <w:bottom w:w="0" w:type="dxa"/>
          <w:right w:w="0" w:type="dxa"/>
        </w:tblCellMar>
      </w:tblPr>
      <w:tblGrid>
        <w:gridCol w:w="3350"/>
        <w:gridCol w:w="60"/>
        <w:gridCol w:w="65"/>
        <w:gridCol w:w="1064"/>
        <w:gridCol w:w="95"/>
        <w:gridCol w:w="60"/>
        <w:gridCol w:w="277"/>
        <w:gridCol w:w="1108"/>
        <w:gridCol w:w="60"/>
        <w:gridCol w:w="60"/>
        <w:gridCol w:w="185"/>
        <w:gridCol w:w="990"/>
        <w:gridCol w:w="60"/>
        <w:gridCol w:w="60"/>
        <w:gridCol w:w="140"/>
        <w:gridCol w:w="980"/>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 xml:space="preserve">intrinsic </w:t>
              <w:br/>
              <w:t>value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at January 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783,547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862,938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25.43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(156,910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Expired or forfeited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(182,705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7" w:type="dxa"/>
            <w:tcBorders>
              <w:bottom w:val="single" w:sz="12" w:space="0" w:color="000000"/>
            </w:tcBorders>
            <w:tcMar>
              <w:bottom w:w="28" w:type="dxa"/>
            </w:tcMar>
            <w:vAlign w:val="center"/>
          </w:tcPr>
          <w:p>
            <w:pPr>
              <w:pStyle w:val="TableContents"/>
              <w:bidi w:val="0"/>
              <w:spacing w:before="0" w:after="283"/>
              <w:jc w:val="left"/>
              <w:rPr/>
            </w:pPr>
            <w:r>
              <w:rPr/>
              <w:t>$</w:t>
            </w:r>
          </w:p>
        </w:tc>
        <w:tc>
          <w:tcPr>
            <w:tcW w:w="1108" w:type="dxa"/>
            <w:tcBorders>
              <w:bottom w:val="single" w:sz="12" w:space="0" w:color="000000"/>
            </w:tcBorders>
            <w:tcMar>
              <w:bottom w:w="28" w:type="dxa"/>
            </w:tcMar>
            <w:vAlign w:val="center"/>
          </w:tcPr>
          <w:p>
            <w:pPr>
              <w:pStyle w:val="TableContents"/>
              <w:bidi w:val="0"/>
              <w:spacing w:before="0" w:after="283"/>
              <w:jc w:val="right"/>
              <w:rPr/>
            </w:pPr>
            <w:r>
              <w:rPr/>
              <w:t>37.13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1,306,870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1,537,752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426,703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(24,668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Expired or forfeited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(153,844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7" w:type="dxa"/>
            <w:tcBorders>
              <w:bottom w:val="single" w:sz="12" w:space="0" w:color="000000"/>
            </w:tcBorders>
            <w:tcMar>
              <w:bottom w:w="28" w:type="dxa"/>
            </w:tcMar>
            <w:vAlign w:val="center"/>
          </w:tcPr>
          <w:p>
            <w:pPr>
              <w:pStyle w:val="TableContents"/>
              <w:bidi w:val="0"/>
              <w:spacing w:before="0" w:after="283"/>
              <w:jc w:val="left"/>
              <w:rPr/>
            </w:pPr>
            <w:r>
              <w:rPr/>
              <w:t>$</w:t>
            </w:r>
          </w:p>
        </w:tc>
        <w:tc>
          <w:tcPr>
            <w:tcW w:w="1108" w:type="dxa"/>
            <w:tcBorders>
              <w:bottom w:val="single" w:sz="12" w:space="0" w:color="000000"/>
            </w:tcBorders>
            <w:tcMar>
              <w:bottom w:w="28" w:type="dxa"/>
            </w:tcMar>
            <w:vAlign w:val="center"/>
          </w:tcPr>
          <w:p>
            <w:pPr>
              <w:pStyle w:val="TableContents"/>
              <w:bidi w:val="0"/>
              <w:spacing w:before="0" w:after="283"/>
              <w:jc w:val="right"/>
              <w:rPr/>
            </w:pPr>
            <w:r>
              <w:rPr/>
              <w:t>30.70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1,555,061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26.38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1,046,481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Exercisable, December 31, 2023</w:t>
            </w:r>
          </w:p>
        </w:tc>
        <w:tc>
          <w:tcPr>
            <w:tcW w:w="60" w:type="dxa"/>
            <w:tcBorders/>
            <w:vAlign w:val="center"/>
          </w:tcPr>
          <w:p>
            <w:pPr>
              <w:pStyle w:val="TableContents"/>
              <w:bidi w:val="0"/>
              <w:spacing w:before="0" w:after="283"/>
              <w:jc w:val="left"/>
              <w:rPr/>
            </w:pPr>
            <w:r>
              <w:rPr/>
              <w:t> </w:t>
            </w:r>
          </w:p>
        </w:tc>
        <w:tc>
          <w:tcPr>
            <w:tcW w:w="6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tcMar>
              <w:bottom w:w="28" w:type="dxa"/>
            </w:tcMar>
            <w:vAlign w:val="center"/>
          </w:tcPr>
          <w:p>
            <w:pPr>
              <w:pStyle w:val="TableContents"/>
              <w:bidi w:val="0"/>
              <w:spacing w:before="0" w:after="283"/>
              <w:jc w:val="right"/>
              <w:rPr/>
            </w:pPr>
            <w:r>
              <w:rPr/>
              <w:t>586,274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bottom w:val="double" w:sz="10" w:space="0" w:color="000000"/>
            </w:tcBorders>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tcMar>
              <w:bottom w:w="28" w:type="dxa"/>
            </w:tcMar>
            <w:vAlign w:val="center"/>
          </w:tcPr>
          <w:p>
            <w:pPr>
              <w:pStyle w:val="TableContents"/>
              <w:bidi w:val="0"/>
              <w:spacing w:before="0" w:after="283"/>
              <w:jc w:val="right"/>
              <w:rPr/>
            </w:pPr>
            <w:r>
              <w:rPr/>
              <w:t>33.10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tcMar>
              <w:bottom w:w="28" w:type="dxa"/>
            </w:tcMar>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239,110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information for the total options outstanding at December 31, 2023</w:t>
      </w:r>
    </w:p>
    <w:p>
      <w:pPr>
        <w:pStyle w:val="TextBody"/>
        <w:bidi w:val="0"/>
        <w:spacing w:before="0" w:after="0"/>
        <w:ind w:left="0" w:right="0" w:hanging="0"/>
        <w:jc w:val="left"/>
        <w:rPr>
          <w:caps w:val="false"/>
          <w:smallCaps w:val="false"/>
        </w:rPr>
      </w:pPr>
      <w:r>
        <w:rPr>
          <w:caps w:val="false"/>
          <w:smallCaps w:val="false"/>
        </w:rPr>
        <w:t> </w:t>
      </w:r>
    </w:p>
    <w:tbl>
      <w:tblPr>
        <w:tblW w:w="6214" w:type="dxa"/>
        <w:jc w:val="left"/>
        <w:tblInd w:w="0" w:type="dxa"/>
        <w:tblLayout w:type="fixed"/>
        <w:tblCellMar>
          <w:top w:w="0" w:type="dxa"/>
          <w:left w:w="0" w:type="dxa"/>
          <w:bottom w:w="28" w:type="dxa"/>
          <w:right w:w="0" w:type="dxa"/>
        </w:tblCellMar>
      </w:tblPr>
      <w:tblGrid>
        <w:gridCol w:w="2540"/>
        <w:gridCol w:w="60"/>
        <w:gridCol w:w="65"/>
        <w:gridCol w:w="1064"/>
        <w:gridCol w:w="60"/>
        <w:gridCol w:w="60"/>
        <w:gridCol w:w="185"/>
        <w:gridCol w:w="990"/>
        <w:gridCol w:w="60"/>
        <w:gridCol w:w="60"/>
        <w:gridCol w:w="199"/>
        <w:gridCol w:w="796"/>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Range of Exercise Prices</w:t>
            </w:r>
          </w:p>
        </w:tc>
        <w:tc>
          <w:tcPr>
            <w:tcW w:w="60" w:type="dxa"/>
            <w:tcBorders/>
            <w:tcMar>
              <w:bottom w:w="0" w:type="dxa"/>
            </w:tcMar>
            <w:vAlign w:val="center"/>
          </w:tcPr>
          <w:p>
            <w:pPr>
              <w:pStyle w:val="TableContents"/>
              <w:bidi w:val="0"/>
              <w:spacing w:before="0" w:after="283"/>
              <w:jc w:val="center"/>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Options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Weighted</w:t>
              <w:br/>
              <w:t>average</w:t>
              <w:br/>
              <w:t>remaining</w:t>
              <w:br/>
              <w:t>contractual</w:t>
              <w:br/>
              <w:t>life (years)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12" w:space="0" w:color="000000"/>
            </w:tcBorders>
            <w:vAlign w:val="center"/>
          </w:tcPr>
          <w:p>
            <w:pPr>
              <w:pStyle w:val="TableContents"/>
              <w:bidi w:val="0"/>
              <w:spacing w:before="0" w:after="283"/>
              <w:jc w:val="center"/>
              <w:rPr>
                <w:b/>
              </w:rPr>
            </w:pPr>
            <w:r>
              <w:rPr>
                <w:b/>
              </w:rPr>
              <w:t>Weighted</w:t>
              <w:br/>
              <w:t>average</w:t>
              <w:br/>
              <w:t>exercise</w:t>
              <w:br/>
              <w:t>price</w:t>
            </w:r>
          </w:p>
        </w:tc>
        <w:tc>
          <w:tcPr>
            <w:tcW w:w="75" w:type="dxa"/>
            <w:tcBorders/>
            <w:tcMar>
              <w:bottom w:w="0" w:type="dxa"/>
            </w:tcMar>
            <w:vAlign w:val="center"/>
          </w:tcPr>
          <w:p>
            <w:pPr>
              <w:pStyle w:val="TableContents"/>
              <w:bidi w:val="0"/>
              <w:spacing w:before="0" w:after="283"/>
              <w:jc w:val="center"/>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$4.20 to $10.00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108,044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$10.00 to $20.00</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064" w:type="dxa"/>
            <w:tcBorders/>
            <w:tcMar>
              <w:bottom w:w="0" w:type="dxa"/>
            </w:tcMar>
            <w:vAlign w:val="center"/>
          </w:tcPr>
          <w:p>
            <w:pPr>
              <w:pStyle w:val="TableContents"/>
              <w:bidi w:val="0"/>
              <w:spacing w:before="0" w:after="283"/>
              <w:jc w:val="right"/>
              <w:rPr/>
            </w:pPr>
            <w:r>
              <w:rPr/>
              <w:t>851,751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3.8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14.35</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$20.00 to $40.00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247,284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33.91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$40.00 to $60.00</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064" w:type="dxa"/>
            <w:tcBorders/>
            <w:tcMar>
              <w:bottom w:w="0" w:type="dxa"/>
            </w:tcMar>
            <w:vAlign w:val="center"/>
          </w:tcPr>
          <w:p>
            <w:pPr>
              <w:pStyle w:val="TableContents"/>
              <w:bidi w:val="0"/>
              <w:spacing w:before="0" w:after="283"/>
              <w:jc w:val="right"/>
              <w:rPr/>
            </w:pPr>
            <w:r>
              <w:rPr/>
              <w:t>247,723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48.30</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$60.00 to $96.70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064" w:type="dxa"/>
            <w:tcBorders>
              <w:bottom w:val="single" w:sz="12" w:space="0" w:color="000000"/>
            </w:tcBorders>
            <w:shd w:fill="CCEEFF" w:val="clear"/>
            <w:vAlign w:val="center"/>
          </w:tcPr>
          <w:p>
            <w:pPr>
              <w:pStyle w:val="TableContents"/>
              <w:bidi w:val="0"/>
              <w:spacing w:before="0" w:after="283"/>
              <w:jc w:val="right"/>
              <w:rPr/>
            </w:pPr>
            <w:r>
              <w:rPr/>
              <w:t>100,259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75.54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double" w:sz="10" w:space="0" w:color="000000"/>
            </w:tcBorders>
            <w:vAlign w:val="center"/>
          </w:tcPr>
          <w:p>
            <w:pPr>
              <w:pStyle w:val="TableContents"/>
              <w:bidi w:val="0"/>
              <w:spacing w:before="0" w:after="283"/>
              <w:jc w:val="left"/>
              <w:rPr/>
            </w:pPr>
            <w:r>
              <w:rPr/>
              <w:t> </w:t>
            </w:r>
          </w:p>
        </w:tc>
        <w:tc>
          <w:tcPr>
            <w:tcW w:w="1064" w:type="dxa"/>
            <w:tcBorders>
              <w:bottom w:val="double" w:sz="10" w:space="0" w:color="000000"/>
            </w:tcBorders>
            <w:vAlign w:val="center"/>
          </w:tcPr>
          <w:p>
            <w:pPr>
              <w:pStyle w:val="TableContents"/>
              <w:bidi w:val="0"/>
              <w:spacing w:before="0" w:after="283"/>
              <w:jc w:val="right"/>
              <w:rPr/>
            </w:pPr>
            <w:r>
              <w:rPr/>
              <w:t>1,555,061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3.4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26.38</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information for the vested options outstanding at December 31, 2023.</w:t>
      </w:r>
    </w:p>
    <w:p>
      <w:pPr>
        <w:pStyle w:val="TextBody"/>
        <w:bidi w:val="0"/>
        <w:spacing w:before="0" w:after="0"/>
        <w:ind w:left="0" w:right="0" w:hanging="0"/>
        <w:jc w:val="left"/>
        <w:rPr>
          <w:caps w:val="false"/>
          <w:smallCaps w:val="false"/>
        </w:rPr>
      </w:pPr>
      <w:r>
        <w:rPr>
          <w:caps w:val="false"/>
          <w:smallCaps w:val="false"/>
        </w:rPr>
        <w:t> </w:t>
      </w:r>
    </w:p>
    <w:tbl>
      <w:tblPr>
        <w:tblW w:w="6214" w:type="dxa"/>
        <w:jc w:val="left"/>
        <w:tblInd w:w="0" w:type="dxa"/>
        <w:tblLayout w:type="fixed"/>
        <w:tblCellMar>
          <w:top w:w="0" w:type="dxa"/>
          <w:left w:w="0" w:type="dxa"/>
          <w:bottom w:w="28" w:type="dxa"/>
          <w:right w:w="0" w:type="dxa"/>
        </w:tblCellMar>
      </w:tblPr>
      <w:tblGrid>
        <w:gridCol w:w="2540"/>
        <w:gridCol w:w="60"/>
        <w:gridCol w:w="78"/>
        <w:gridCol w:w="1051"/>
        <w:gridCol w:w="60"/>
        <w:gridCol w:w="60"/>
        <w:gridCol w:w="185"/>
        <w:gridCol w:w="990"/>
        <w:gridCol w:w="60"/>
        <w:gridCol w:w="60"/>
        <w:gridCol w:w="199"/>
        <w:gridCol w:w="796"/>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Range of Exercise Prices</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Weighted</w:t>
              <w:br/>
              <w:t>average</w:t>
              <w:br/>
              <w:t>remaining</w:t>
              <w:br/>
              <w:t>contractual</w:t>
              <w:br/>
              <w:t>life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b/>
              </w:rPr>
            </w:pPr>
            <w:r>
              <w:rPr>
                <w:b/>
              </w:rPr>
              <w:t>Weighted</w:t>
              <w:br/>
              <w:t>average</w:t>
              <w:br/>
              <w:t>exercise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$4.20 to $10.00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15,667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7.54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$10.00 to $20.00</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right"/>
              <w:rPr/>
            </w:pPr>
            <w:r>
              <w:rPr/>
              <w:t>222,707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2.9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14.34</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$20.00 to $40.00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143,670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31.79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$40.00 to $60.00</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right"/>
              <w:rPr/>
            </w:pPr>
            <w:r>
              <w:rPr/>
              <w:t>138,776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49.36</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pPr>
            <w:r>
              <w:rPr/>
              <w:t>$60.00 to $96.70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051" w:type="dxa"/>
            <w:tcBorders>
              <w:bottom w:val="single" w:sz="12" w:space="0" w:color="000000"/>
            </w:tcBorders>
            <w:shd w:fill="CCEEFF" w:val="clear"/>
            <w:vAlign w:val="center"/>
          </w:tcPr>
          <w:p>
            <w:pPr>
              <w:pStyle w:val="TableContents"/>
              <w:bidi w:val="0"/>
              <w:spacing w:before="0" w:after="283"/>
              <w:jc w:val="right"/>
              <w:rPr/>
            </w:pPr>
            <w:r>
              <w:rPr/>
              <w:t>65,454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75.80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vAlign w:val="center"/>
          </w:tcPr>
          <w:p>
            <w:pPr>
              <w:pStyle w:val="TableContents"/>
              <w:bidi w:val="0"/>
              <w:spacing w:before="0" w:after="283"/>
              <w:jc w:val="left"/>
              <w:rPr/>
            </w:pPr>
            <w:r>
              <w:rPr/>
              <w:t> </w:t>
            </w:r>
          </w:p>
        </w:tc>
        <w:tc>
          <w:tcPr>
            <w:tcW w:w="1051" w:type="dxa"/>
            <w:tcBorders>
              <w:bottom w:val="double" w:sz="10" w:space="0" w:color="000000"/>
            </w:tcBorders>
            <w:vAlign w:val="center"/>
          </w:tcPr>
          <w:p>
            <w:pPr>
              <w:pStyle w:val="TableContents"/>
              <w:bidi w:val="0"/>
              <w:spacing w:before="0" w:after="283"/>
              <w:jc w:val="right"/>
              <w:rPr/>
            </w:pPr>
            <w:r>
              <w:rPr/>
              <w:t>586,274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right"/>
              <w:rPr/>
            </w:pPr>
            <w:r>
              <w:rPr/>
              <w:t>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33.58</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non-vested options as of December 31, 2023, and changes during the year ended December 31, 2023, is presented below.</w:t>
      </w:r>
    </w:p>
    <w:p>
      <w:pPr>
        <w:pStyle w:val="TextBody"/>
        <w:bidi w:val="0"/>
        <w:spacing w:before="0" w:after="0"/>
        <w:ind w:left="0" w:right="0" w:hanging="0"/>
        <w:jc w:val="left"/>
        <w:rPr>
          <w:caps w:val="false"/>
          <w:smallCaps w:val="false"/>
        </w:rPr>
      </w:pPr>
      <w:r>
        <w:rPr>
          <w:caps w:val="false"/>
          <w:smallCaps w:val="false"/>
        </w:rPr>
        <w:t> </w:t>
      </w:r>
    </w:p>
    <w:tbl>
      <w:tblPr>
        <w:tblW w:w="5540" w:type="dxa"/>
        <w:jc w:val="left"/>
        <w:tblInd w:w="0" w:type="dxa"/>
        <w:tblLayout w:type="fixed"/>
        <w:tblCellMar>
          <w:top w:w="0" w:type="dxa"/>
          <w:left w:w="0" w:type="dxa"/>
          <w:bottom w:w="28" w:type="dxa"/>
          <w:right w:w="0" w:type="dxa"/>
        </w:tblCellMar>
      </w:tblPr>
      <w:tblGrid>
        <w:gridCol w:w="3215"/>
        <w:gridCol w:w="60"/>
        <w:gridCol w:w="60"/>
        <w:gridCol w:w="980"/>
        <w:gridCol w:w="95"/>
        <w:gridCol w:w="60"/>
        <w:gridCol w:w="199"/>
        <w:gridCol w:w="796"/>
        <w:gridCol w:w="75"/>
      </w:tblGrid>
      <w:tr>
        <w:trPr/>
        <w:tc>
          <w:tcPr>
            <w:tcW w:w="3215" w:type="dxa"/>
            <w:tcBorders>
              <w:bottom w:val="single" w:sz="12" w:space="0" w:color="000000"/>
            </w:tcBorders>
            <w:vAlign w:val="center"/>
          </w:tcPr>
          <w:p>
            <w:pPr>
              <w:pStyle w:val="TableContents"/>
              <w:bidi w:val="0"/>
              <w:spacing w:before="0" w:after="283"/>
              <w:jc w:val="left"/>
              <w:rPr>
                <w:b/>
              </w:rPr>
            </w:pPr>
            <w:r>
              <w:rPr>
                <w:b/>
              </w:rPr>
              <w:t>Nonvested Options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Options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b/>
              </w:rPr>
            </w:pPr>
            <w:r>
              <w:rPr>
                <w:b/>
              </w:rPr>
              <w:t>Weighted</w:t>
              <w:br/>
              <w:t>average</w:t>
              <w:br/>
              <w:t>exercise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Nonvested at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1,056,187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30.51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426,703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12.50</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(381,992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31.61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283"/>
              <w:jc w:val="left"/>
              <w:rPr/>
            </w:pPr>
            <w:r>
              <w:rPr/>
              <w:t>Forfeited</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(132,111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w:t>
            </w:r>
          </w:p>
        </w:tc>
        <w:tc>
          <w:tcPr>
            <w:tcW w:w="796" w:type="dxa"/>
            <w:tcBorders/>
            <w:tcMar>
              <w:bottom w:w="0" w:type="dxa"/>
            </w:tcMar>
            <w:vAlign w:val="center"/>
          </w:tcPr>
          <w:p>
            <w:pPr>
              <w:pStyle w:val="TableContents"/>
              <w:bidi w:val="0"/>
              <w:spacing w:before="0" w:after="283"/>
              <w:jc w:val="right"/>
              <w:rPr/>
            </w:pPr>
            <w:r>
              <w:rPr/>
              <w:t>52.07</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Nonvested at 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968,787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796" w:type="dxa"/>
            <w:tcBorders/>
            <w:shd w:fill="CCEEFF" w:val="clear"/>
            <w:tcMar>
              <w:bottom w:w="0" w:type="dxa"/>
            </w:tcMar>
            <w:vAlign w:val="center"/>
          </w:tcPr>
          <w:p>
            <w:pPr>
              <w:pStyle w:val="TableContents"/>
              <w:bidi w:val="0"/>
              <w:spacing w:before="0" w:after="283"/>
              <w:jc w:val="right"/>
              <w:rPr/>
            </w:pPr>
            <w:r>
              <w:rPr/>
              <w:t>22.03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$8,956,198 of expense remaining to be recognized over a period of approximately 1.77 years related to options outstanding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restricted stock unit (“RSU”) activity during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7134" w:type="dxa"/>
        <w:jc w:val="left"/>
        <w:tblInd w:w="0" w:type="dxa"/>
        <w:tblLayout w:type="fixed"/>
        <w:tblCellMar>
          <w:top w:w="0" w:type="dxa"/>
          <w:left w:w="0" w:type="dxa"/>
          <w:bottom w:w="0" w:type="dxa"/>
          <w:right w:w="0" w:type="dxa"/>
        </w:tblCellMar>
      </w:tblPr>
      <w:tblGrid>
        <w:gridCol w:w="3350"/>
        <w:gridCol w:w="60"/>
        <w:gridCol w:w="72"/>
        <w:gridCol w:w="1057"/>
        <w:gridCol w:w="95"/>
        <w:gridCol w:w="60"/>
        <w:gridCol w:w="214"/>
        <w:gridCol w:w="856"/>
        <w:gridCol w:w="60"/>
        <w:gridCol w:w="60"/>
        <w:gridCol w:w="185"/>
        <w:gridCol w:w="990"/>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life (years)</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at January 1, 2022</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399,738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52.99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467,043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25.69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(39,346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44.06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Shares issued</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(29,945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59.41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Withheld and cancelled</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(8,416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68.69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Outstanding at December 31, 2022</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789,074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36.95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383,406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(244,923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58.18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(141,859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pPr>
            <w:r>
              <w:rPr/>
              <w:t>Withheld and cancelled</w:t>
            </w:r>
          </w:p>
        </w:tc>
        <w:tc>
          <w:tcPr>
            <w:tcW w:w="60" w:type="dxa"/>
            <w:tcBorders/>
            <w:vAlign w:val="center"/>
          </w:tcPr>
          <w:p>
            <w:pPr>
              <w:pStyle w:val="TableContents"/>
              <w:bidi w:val="0"/>
              <w:spacing w:before="0" w:after="283"/>
              <w:jc w:val="left"/>
              <w:rPr/>
            </w:pPr>
            <w:r>
              <w:rPr/>
              <w:t> </w:t>
            </w:r>
          </w:p>
        </w:tc>
        <w:tc>
          <w:tcPr>
            <w:tcW w:w="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tcMar>
              <w:bottom w:w="28" w:type="dxa"/>
            </w:tcMar>
            <w:vAlign w:val="center"/>
          </w:tcPr>
          <w:p>
            <w:pPr>
              <w:pStyle w:val="TableContents"/>
              <w:bidi w:val="0"/>
              <w:spacing w:before="0" w:after="283"/>
              <w:jc w:val="right"/>
              <w:rPr/>
            </w:pPr>
            <w:r>
              <w:rPr/>
              <w:t>(42,489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w:t>
            </w:r>
          </w:p>
        </w:tc>
        <w:tc>
          <w:tcPr>
            <w:tcW w:w="856" w:type="dxa"/>
            <w:tcBorders>
              <w:bottom w:val="single" w:sz="12" w:space="0" w:color="000000"/>
            </w:tcBorders>
            <w:tcMar>
              <w:bottom w:w="28" w:type="dxa"/>
            </w:tcMar>
            <w:vAlign w:val="center"/>
          </w:tcPr>
          <w:p>
            <w:pPr>
              <w:pStyle w:val="TableContents"/>
              <w:bidi w:val="0"/>
              <w:spacing w:before="0" w:after="283"/>
              <w:jc w:val="right"/>
              <w:rPr/>
            </w:pPr>
            <w:r>
              <w:rPr/>
              <w:t>32.47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double" w:sz="10" w:space="0" w:color="000000"/>
            </w:tcBorders>
            <w:shd w:fill="CCEEFF" w:val="clear"/>
            <w:tcMar>
              <w:bottom w:w="28" w:type="dxa"/>
            </w:tcMar>
            <w:vAlign w:val="center"/>
          </w:tcPr>
          <w:p>
            <w:pPr>
              <w:pStyle w:val="TableContents"/>
              <w:bidi w:val="0"/>
              <w:spacing w:before="0" w:after="283"/>
              <w:jc w:val="right"/>
              <w:rPr/>
            </w:pPr>
            <w:r>
              <w:rPr/>
              <w:t>743,209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pPr>
            <w:r>
              <w:rPr/>
              <w:t>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of 383,406 and 467,043 units in 2023 and 2022, respectively, and valued at $4,714,564 and $11,996,111, respectively. These restricted stock units vest over a period of 1 year to 5 years. The Company recognized expense of $7,791,917 and $10,789,203 in 2023 and 2022, respectively, related to these restricted stock units. A total of $11,106,405 remains to be recognized at December 31, 2023 over a period of 1.95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2023, certain participants utilized a net withhold settlement method, in which shares were surrendered to cover payroll withholding tax. Of the shares issued to participants during the year ended December 31, 2023 and 2022, respectively, 42,489 and 31,243 shares, valued at $458,892 and $100,290, were surrendered and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granted certain performance based restricted stock units, the expense for which will be recorded over time once the achievement of the performance is deemed probable. There was no expense related to these restricted stock units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Non-employee Directors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compensation program calls for the grant of restricted stock units with a one year vesting period. The Company granted 26,470 restricted stock units to its non-employee directors, valued at $750,130 in 2022. These restricted stock units vested in 2023. There were 50,305 restricted stock units, valued at $750,050 granted to the non-employee directors in 2023 that will vest in 2024, 12 months from the grant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Award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2023, the Compensation Committee approved a grant to the CEO of 86,685 restricted stock units and 161,698 stock options with a grant date fair value of $2.5 million to vest over a three-year period. Concurrently, the CEO forfeited his October 2021 grant of 182,398 market-based restricted stock units. The forfeiture and accompanying grant are considered an equity modification according to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The additional compensation value created by the termination and issuance of new equity awarded, as measured using a Monte Carlo simulation, was approximately $1.9 million in total. Under ASC 718 this results in a non-cash expense in current and future periods to be recognized over a three-year period. These expense values are reflected and included in the option and restricted stock expense values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consisted of the following at December 31, 2023 and 2022:</w:t>
      </w:r>
    </w:p>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680"/>
        <w:gridCol w:w="60"/>
        <w:gridCol w:w="140"/>
        <w:gridCol w:w="1100"/>
        <w:gridCol w:w="95"/>
        <w:gridCol w:w="60"/>
        <w:gridCol w:w="175"/>
        <w:gridCol w:w="325"/>
        <w:gridCol w:w="75"/>
      </w:tblGrid>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Term loan, due in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38,290,000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Less: current portion of long-term debt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Less: unamortized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(2,059,263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Long-term debt, net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34,230,737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325" w:type="dxa"/>
            <w:tcBorders>
              <w:bottom w:val="double" w:sz="10"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the Company entered into a Financing Agreement (the “Financing”) which provided for a term loan (the “Term Loan”) of $40 million, the net proceeds of which were used to partially finance the Medicx Health transaction described in Note 3 “Acquisitions”. In connection with the Financing the Company incurred issuance costs of approximately $2.3 million, which were capitalized and are being amortized to interest expense over the life of the Term Loan. Amortization of debt issuance costs for the year ended December 31, 2023, was $210,737.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Financing are secured by all of the Company’s and its subsidiaries’ assets (including a pledge of all of the capital stock and equity interests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repayable in quarterly installments, beginning December 31, 2023, equivalent to 1.25% or $500,000, of the original principal amount, with the outstanding unpaid principal and all accrued but unpaid interest due and payable on the earlier of (i) the fourth anniversary of the closing date of the Term Loan or (ii) the date on which the Term Loan is declared due and payable pursuant to the terms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Financing is required to make mandatory prepayments of the principal balance. If the prepayment occurs within 12 months of the date of the loan, the Company is also required to pay lost interest from the prepayment date to one year from the loan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LONG-TERM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made total principal repayments of $1.7 million, including a mandatory prepayment of $1.2 million as a result of an asset sale completed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the Term Loan, or any portion thereof bears interest at either: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greater of (a) 4.00% per annum, (b) the Federal Funds Rate plus 0.50% per annum, (c) the one month Secured Funds Overnight Rate (“SOFR”), plus an adjustment of 26.161 basis point and 1.00% per annum, and (d) the rate last quoted by The Wall Street Journal as the “Prime Rate”, plus an Applicable Margin of 7.5%;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Three-month SOFR plus an adjustment of 26.161 basis points and an Applicable Margin of 8.5%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Loan bears interest at 14.1% per annum, with the effective interest rate for the year ended December 31, 2023, including the amortization of debt issuance costs and Applicable Premium and interest penalties of $181,895 associated with the prepayment during the year ended December 31, 2023, was 19.6%.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requires the Company to maintain the following financial covenants:</w:t>
      </w:r>
    </w:p>
    <w:p>
      <w:pPr>
        <w:pStyle w:val="TextBody"/>
        <w:bidi w:val="0"/>
        <w:spacing w:before="0" w:after="0"/>
        <w:ind w:left="0" w:right="0" w:hanging="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8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6305" w:type="dxa"/>
            <w:tcBorders/>
            <w:vAlign w:val="center"/>
          </w:tcPr>
          <w:p>
            <w:pPr>
              <w:pStyle w:val="TableContents"/>
              <w:bidi w:val="0"/>
              <w:spacing w:before="0" w:after="283"/>
              <w:jc w:val="both"/>
              <w:rPr/>
            </w:pPr>
            <w:r>
              <w:rPr/>
              <w:t>A maximum leverage ratio, as defined in the Financing as follows:</w:t>
            </w:r>
          </w:p>
        </w:tc>
      </w:tr>
    </w:tbl>
    <w:p>
      <w:pPr>
        <w:pStyle w:val="TextBody"/>
        <w:bidi w:val="0"/>
        <w:spacing w:before="0" w:after="0"/>
        <w:jc w:val="left"/>
        <w:rPr>
          <w:caps w:val="false"/>
          <w:smallCaps w:val="false"/>
        </w:rPr>
      </w:pPr>
      <w:r>
        <w:rPr>
          <w:caps w:val="false"/>
          <w:smallCaps w:val="false"/>
        </w:rPr>
        <w:t> </w:t>
      </w:r>
    </w:p>
    <w:tbl>
      <w:tblPr>
        <w:tblW w:w="4645" w:type="dxa"/>
        <w:jc w:val="left"/>
        <w:tblInd w:w="0" w:type="dxa"/>
        <w:tblLayout w:type="fixed"/>
        <w:tblCellMar>
          <w:top w:w="0" w:type="dxa"/>
          <w:left w:w="0" w:type="dxa"/>
          <w:bottom w:w="28" w:type="dxa"/>
          <w:right w:w="0" w:type="dxa"/>
        </w:tblCellMar>
      </w:tblPr>
      <w:tblGrid>
        <w:gridCol w:w="3350"/>
        <w:gridCol w:w="60"/>
        <w:gridCol w:w="1160"/>
        <w:gridCol w:w="75"/>
      </w:tblGrid>
      <w:tr>
        <w:trPr/>
        <w:tc>
          <w:tcPr>
            <w:tcW w:w="3350" w:type="dxa"/>
            <w:tcBorders>
              <w:bottom w:val="single" w:sz="12" w:space="0" w:color="000000"/>
            </w:tcBorders>
            <w:vAlign w:val="center"/>
          </w:tcPr>
          <w:p>
            <w:pPr>
              <w:pStyle w:val="TableContents"/>
              <w:bidi w:val="0"/>
              <w:spacing w:before="0" w:after="283"/>
              <w:jc w:val="left"/>
              <w:rPr>
                <w:b/>
              </w:rPr>
            </w:pPr>
            <w:r>
              <w:rPr>
                <w:b/>
              </w:rPr>
              <w:t>Fiscal Quarter End</w:t>
            </w:r>
          </w:p>
        </w:tc>
        <w:tc>
          <w:tcPr>
            <w:tcW w:w="60" w:type="dxa"/>
            <w:tcBorders/>
            <w:tcMar>
              <w:bottom w:w="0" w:type="dxa"/>
            </w:tcMar>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b/>
              </w:rPr>
            </w:pPr>
            <w:r>
              <w:rPr>
                <w:b/>
              </w:rPr>
              <w:t>Leverage</w:t>
              <w:br/>
              <w:t>ratio</w:t>
            </w:r>
          </w:p>
        </w:tc>
        <w:tc>
          <w:tcPr>
            <w:tcW w:w="75" w:type="dxa"/>
            <w:tcBorders/>
            <w:tcMar>
              <w:bottom w:w="0" w:type="dxa"/>
            </w:tcMar>
            <w:vAlign w:val="center"/>
          </w:tcPr>
          <w:p>
            <w:pPr>
              <w:pStyle w:val="TableContents"/>
              <w:bidi w:val="0"/>
              <w:spacing w:before="0" w:after="283"/>
              <w:jc w:val="center"/>
              <w:rPr/>
            </w:pPr>
            <w:r>
              <w:rPr/>
              <w:t> </w:t>
            </w:r>
          </w:p>
        </w:tc>
      </w:tr>
      <w:tr>
        <w:trPr/>
        <w:tc>
          <w:tcPr>
            <w:tcW w:w="3350" w:type="dxa"/>
            <w:tcBorders/>
            <w:shd w:fill="CCEEFF" w:val="clear"/>
            <w:tcMar>
              <w:bottom w:w="0" w:type="dxa"/>
            </w:tcMar>
            <w:vAlign w:val="center"/>
          </w:tcPr>
          <w:p>
            <w:pPr>
              <w:pStyle w:val="TableContents"/>
              <w:bidi w:val="0"/>
              <w:spacing w:before="0" w:after="283"/>
              <w:jc w:val="left"/>
              <w:rPr/>
            </w:pPr>
            <w:r>
              <w:rPr/>
              <w:t>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4.50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tcMar>
              <w:bottom w:w="0" w:type="dxa"/>
            </w:tcMar>
            <w:vAlign w:val="center"/>
          </w:tcPr>
          <w:p>
            <w:pPr>
              <w:pStyle w:val="TableContents"/>
              <w:bidi w:val="0"/>
              <w:spacing w:before="0" w:after="283"/>
              <w:jc w:val="left"/>
              <w:rPr/>
            </w:pPr>
            <w:r>
              <w:rPr/>
              <w:t>June 30, 2024</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4.00 to 1.00</w:t>
            </w:r>
          </w:p>
        </w:tc>
        <w:tc>
          <w:tcPr>
            <w:tcW w:w="75" w:type="dxa"/>
            <w:tcBorders/>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283"/>
              <w:jc w:val="left"/>
              <w:rPr/>
            </w:pPr>
            <w:r>
              <w:rPr/>
              <w:t>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3.50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tcMar>
              <w:bottom w:w="0" w:type="dxa"/>
            </w:tcMar>
            <w:vAlign w:val="center"/>
          </w:tcPr>
          <w:p>
            <w:pPr>
              <w:pStyle w:val="TableContents"/>
              <w:bidi w:val="0"/>
              <w:spacing w:before="0" w:after="283"/>
              <w:jc w:val="left"/>
              <w:rPr/>
            </w:pPr>
            <w:r>
              <w:rPr/>
              <w:t>December 31, 2024</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3.00 to 1.00</w:t>
            </w:r>
          </w:p>
        </w:tc>
        <w:tc>
          <w:tcPr>
            <w:tcW w:w="75" w:type="dxa"/>
            <w:tcBorders/>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283"/>
              <w:jc w:val="left"/>
              <w:rPr/>
            </w:pPr>
            <w:r>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2.50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tcMar>
              <w:bottom w:w="0" w:type="dxa"/>
            </w:tcMar>
            <w:vAlign w:val="center"/>
          </w:tcPr>
          <w:p>
            <w:pPr>
              <w:pStyle w:val="TableContents"/>
              <w:bidi w:val="0"/>
              <w:spacing w:before="0" w:after="283"/>
              <w:jc w:val="left"/>
              <w:rPr/>
            </w:pPr>
            <w:r>
              <w:rPr/>
              <w:t>June 30, 2025</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2.25 to 1.00</w:t>
            </w:r>
          </w:p>
        </w:tc>
        <w:tc>
          <w:tcPr>
            <w:tcW w:w="75" w:type="dxa"/>
            <w:tcBorders/>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283"/>
              <w:jc w:val="left"/>
              <w:rPr/>
            </w:pPr>
            <w:r>
              <w:rPr/>
              <w:t>September 30, 2025, and 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2.00 to 1.00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35"/>
        <w:gridCol w:w="9807"/>
      </w:tblGrid>
      <w:tr>
        <w:trPr/>
        <w:tc>
          <w:tcPr>
            <w:tcW w:w="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9807" w:type="dxa"/>
            <w:tcBorders/>
            <w:vAlign w:val="center"/>
          </w:tcPr>
          <w:p>
            <w:pPr>
              <w:pStyle w:val="TableContents"/>
              <w:bidi w:val="0"/>
              <w:spacing w:before="0" w:after="283"/>
              <w:jc w:val="left"/>
              <w:rPr/>
            </w:pPr>
            <w:r>
              <w:rPr/>
              <w:t>Liquidity, as defined in the Financing, of at least $5.0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 compliance with its financial covenants as of December 31, 2023, and received a waiver from its lender to extend the date for providing the Company's audited financial statements from March 31, 2024, to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contains customary events of default, which include, (subject to, in certain circumstances to grace and cure periods), non-payment of principal and interest, non-compliance with certain covenants, commencement of bankruptcy proceedings and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the Loan in each of the next four years subsequent to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875" w:type="dxa"/>
        <w:jc w:val="left"/>
        <w:tblInd w:w="0" w:type="dxa"/>
        <w:tblLayout w:type="fixed"/>
        <w:tblCellMar>
          <w:top w:w="0" w:type="dxa"/>
          <w:left w:w="0" w:type="dxa"/>
          <w:bottom w:w="28" w:type="dxa"/>
          <w:right w:w="0" w:type="dxa"/>
        </w:tblCellMar>
      </w:tblPr>
      <w:tblGrid>
        <w:gridCol w:w="3500"/>
        <w:gridCol w:w="60"/>
        <w:gridCol w:w="140"/>
        <w:gridCol w:w="1100"/>
        <w:gridCol w:w="75"/>
      </w:tblGrid>
      <w:tr>
        <w:trPr/>
        <w:tc>
          <w:tcPr>
            <w:tcW w:w="3500"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2,000,000</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2027</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32,290,000</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00" w:type="dxa"/>
            <w:tcBorders>
              <w:bottom w:val="double" w:sz="10" w:space="0" w:color="000000"/>
            </w:tcBorders>
            <w:shd w:fill="CCEEFF" w:val="clear"/>
            <w:vAlign w:val="center"/>
          </w:tcPr>
          <w:p>
            <w:pPr>
              <w:pStyle w:val="TableContents"/>
              <w:bidi w:val="0"/>
              <w:spacing w:before="0" w:after="283"/>
              <w:jc w:val="right"/>
              <w:rPr/>
            </w:pPr>
            <w:r>
              <w:rPr/>
              <w:t>38,290,000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operating leases with terms greater than 12 months for office space in four multi-tenant facilities, which are recorded as ROU assets and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the Company’s lease cost consisted of the following components, each of which is included in operating expenses within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330"/>
        <w:gridCol w:w="60"/>
        <w:gridCol w:w="140"/>
        <w:gridCol w:w="800"/>
        <w:gridCol w:w="60"/>
        <w:gridCol w:w="60"/>
        <w:gridCol w:w="140"/>
        <w:gridCol w:w="800"/>
        <w:gridCol w:w="75"/>
      </w:tblGrid>
      <w:tr>
        <w:trPr/>
        <w:tc>
          <w:tcPr>
            <w:tcW w:w="23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180"/>
              <w:jc w:val="center"/>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33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95,765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100,771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330" w:type="dxa"/>
            <w:tcBorders/>
            <w:vAlign w:val="center"/>
          </w:tcPr>
          <w:p>
            <w:pPr>
              <w:pStyle w:val="TableContents"/>
              <w:bidi w:val="0"/>
              <w:spacing w:before="0" w:after="283"/>
              <w:jc w:val="left"/>
              <w:rPr/>
            </w:pPr>
            <w:r>
              <w:rPr/>
              <w:t>Short-term lease cost (1)</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38,850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75,784</w:t>
            </w:r>
          </w:p>
        </w:tc>
        <w:tc>
          <w:tcPr>
            <w:tcW w:w="75" w:type="dxa"/>
            <w:tcBorders/>
            <w:vAlign w:val="center"/>
          </w:tcPr>
          <w:p>
            <w:pPr>
              <w:pStyle w:val="TableContents"/>
              <w:bidi w:val="0"/>
              <w:spacing w:before="0" w:after="283"/>
              <w:ind w:left="0" w:right="0" w:hanging="180"/>
              <w:jc w:val="left"/>
              <w:rPr/>
            </w:pPr>
            <w:r>
              <w:rPr/>
              <w:t> </w:t>
            </w:r>
          </w:p>
        </w:tc>
      </w:tr>
      <w:tr>
        <w:trPr/>
        <w:tc>
          <w:tcPr>
            <w:tcW w:w="233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134,615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176,555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60"/>
        <w:gridCol w:w="6095"/>
      </w:tblGrid>
      <w:tr>
        <w:trPr/>
        <w:tc>
          <w:tcPr>
            <w:tcW w:w="260" w:type="dxa"/>
            <w:tcBorders/>
            <w:vAlign w:val="center"/>
          </w:tcPr>
          <w:p>
            <w:pPr>
              <w:pStyle w:val="TableContents"/>
              <w:bidi w:val="0"/>
              <w:spacing w:before="0" w:after="283"/>
              <w:jc w:val="left"/>
              <w:rPr>
                <w:sz w:val="20"/>
              </w:rPr>
            </w:pPr>
            <w:r>
              <w:rPr>
                <w:sz w:val="20"/>
              </w:rPr>
              <w:t>(1)</w:t>
            </w:r>
          </w:p>
        </w:tc>
        <w:tc>
          <w:tcPr>
            <w:tcW w:w="6095" w:type="dxa"/>
            <w:tcBorders/>
            <w:vAlign w:val="center"/>
          </w:tcPr>
          <w:p>
            <w:pPr>
              <w:pStyle w:val="TableContents"/>
              <w:bidi w:val="0"/>
              <w:spacing w:before="0" w:after="283"/>
              <w:jc w:val="both"/>
              <w:rPr>
                <w:sz w:val="20"/>
              </w:rPr>
            </w:pPr>
            <w:r>
              <w:rPr>
                <w:sz w:val="20"/>
              </w:rPr>
              <w:t>Short-term lease cost includes any lease with a term of less than 12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future minimum lease payments to be made under operating leases as of December 31, 2023:</w:t>
      </w:r>
    </w:p>
    <w:p>
      <w:pPr>
        <w:pStyle w:val="TextBody"/>
        <w:bidi w:val="0"/>
        <w:spacing w:before="0" w:after="0"/>
        <w:ind w:left="0" w:right="0" w:hanging="0"/>
        <w:jc w:val="both"/>
        <w:rPr>
          <w:caps w:val="false"/>
          <w:smallCaps w:val="false"/>
        </w:rPr>
      </w:pPr>
      <w:r>
        <w:rPr>
          <w:caps w:val="false"/>
          <w:smallCaps w:val="false"/>
        </w:rPr>
        <w:t> </w:t>
      </w:r>
    </w:p>
    <w:tbl>
      <w:tblPr>
        <w:tblW w:w="4575" w:type="dxa"/>
        <w:jc w:val="left"/>
        <w:tblInd w:w="0" w:type="dxa"/>
        <w:tblLayout w:type="fixed"/>
        <w:tblCellMar>
          <w:top w:w="0" w:type="dxa"/>
          <w:left w:w="0" w:type="dxa"/>
          <w:bottom w:w="28" w:type="dxa"/>
          <w:right w:w="0" w:type="dxa"/>
        </w:tblCellMar>
      </w:tblPr>
      <w:tblGrid>
        <w:gridCol w:w="3500"/>
        <w:gridCol w:w="60"/>
        <w:gridCol w:w="140"/>
        <w:gridCol w:w="800"/>
        <w:gridCol w:w="75"/>
      </w:tblGrid>
      <w:tr>
        <w:trPr/>
        <w:tc>
          <w:tcPr>
            <w:tcW w:w="3500"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260,016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178,082</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113,802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2027</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65,866</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45,160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662,926</w:t>
            </w:r>
          </w:p>
        </w:tc>
        <w:tc>
          <w:tcPr>
            <w:tcW w:w="75"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283"/>
              <w:jc w:val="left"/>
              <w:rPr/>
            </w:pPr>
            <w:r>
              <w:rPr/>
              <w:t>Less: present value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69,863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Total lease liabilities</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800" w:type="dxa"/>
            <w:tcBorders>
              <w:bottom w:val="double" w:sz="10" w:space="0" w:color="000000"/>
            </w:tcBorders>
            <w:vAlign w:val="center"/>
          </w:tcPr>
          <w:p>
            <w:pPr>
              <w:pStyle w:val="TableContents"/>
              <w:bidi w:val="0"/>
              <w:spacing w:before="0" w:after="283"/>
              <w:jc w:val="right"/>
              <w:rPr/>
            </w:pPr>
            <w:r>
              <w:rPr/>
              <w:t>593,063</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for operating leases is 3.17 and the weighted average discount rate used in calculating the operating lease asset and liability is 6.7%. Cash paid for amounts included in the measurement of lease liabilities was $78,875. For the year ended December 31, 2023, payments on lease obligations were $91,228 and amortization on the right of use assets was $94,564. For the year ended December 31, 2022, payments on lease obligations were $101,405 and amortization on the right of use assets was $101,433.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 MAJOR CUSTOMERS AND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customers that accounted for 10% or greater of revenue in either 2023 or 2022. No other customers accounted for more than 10% of revenue in either year presented.</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190"/>
        <w:gridCol w:w="60"/>
        <w:gridCol w:w="60"/>
        <w:gridCol w:w="1100"/>
        <w:gridCol w:w="60"/>
        <w:gridCol w:w="60"/>
        <w:gridCol w:w="60"/>
        <w:gridCol w:w="440"/>
        <w:gridCol w:w="60"/>
        <w:gridCol w:w="60"/>
        <w:gridCol w:w="60"/>
        <w:gridCol w:w="980"/>
        <w:gridCol w:w="60"/>
        <w:gridCol w:w="60"/>
        <w:gridCol w:w="60"/>
        <w:gridCol w:w="440"/>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5,825,151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6,817,682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10.9</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Customer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10,275,210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3,876,580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included two agencies, that represented multiple customers, that individually made up more than 10% of our accounts receivable at December 31, 2023 in the percentages of 28.3% and 14.1%. As of December 31, 2022, our accounts receivable included two entities, including one agency that represented multiple customers that individually made up more than 10% of our accounts receivable in the percentages of 13.3% and 10.8%.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a portion of its revenues through its EHR and ePrescribe partners. There were three key partners and/or vendors through which 10% or greater of its revenue was generated in either 2023 or 2022 as set forth below. The amounts in the table below reflect the amount of revenue generated through those partners.</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85"/>
        <w:gridCol w:w="60"/>
        <w:gridCol w:w="60"/>
        <w:gridCol w:w="950"/>
        <w:gridCol w:w="60"/>
        <w:gridCol w:w="60"/>
        <w:gridCol w:w="60"/>
        <w:gridCol w:w="380"/>
        <w:gridCol w:w="60"/>
        <w:gridCol w:w="60"/>
        <w:gridCol w:w="60"/>
        <w:gridCol w:w="950"/>
        <w:gridCol w:w="60"/>
        <w:gridCol w:w="60"/>
        <w:gridCol w:w="60"/>
        <w:gridCol w:w="380"/>
        <w:gridCol w:w="75"/>
      </w:tblGrid>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center"/>
          </w:tcPr>
          <w:p>
            <w:pPr>
              <w:pStyle w:val="TableContents"/>
              <w:bidi w:val="0"/>
              <w:spacing w:before="0" w:after="283"/>
              <w:jc w:val="center"/>
              <w:rPr/>
            </w:pPr>
            <w:r>
              <w:rPr/>
              <w:t> </w:t>
            </w:r>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5" w:type="dxa"/>
            <w:tcBorders/>
            <w:vAlign w:val="center"/>
          </w:tcPr>
          <w:p>
            <w:pPr>
              <w:pStyle w:val="TableContents"/>
              <w:bidi w:val="0"/>
              <w:spacing w:before="0" w:after="283"/>
              <w:jc w:val="center"/>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26,035,135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19,882,511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12,494,227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6,498,694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6,578,661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net operating loss (“NOLs”) carry-forwards for federal income tax purposes of approximately $16.7 million, consisting of pre-2018 losses in the amount of approximately $3.3 million that expire from 2033 through 2037, and post-2017 losses in the amount of approximately $13.4 million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Federal income tax consists of the following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6470"/>
        <w:gridCol w:w="60"/>
        <w:gridCol w:w="140"/>
        <w:gridCol w:w="1055"/>
        <w:gridCol w:w="95"/>
        <w:gridCol w:w="60"/>
        <w:gridCol w:w="140"/>
        <w:gridCol w:w="1055"/>
        <w:gridCol w:w="110"/>
      </w:tblGrid>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Federal income tax benefit (expense) attributable to:</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Current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5,284,000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2,402,000</w:t>
            </w:r>
          </w:p>
        </w:tc>
        <w:tc>
          <w:tcPr>
            <w:tcW w:w="11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State tax effect, net of federal benefit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569,000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545,000</w:t>
            </w:r>
          </w:p>
        </w:tc>
        <w:tc>
          <w:tcPr>
            <w:tcW w:w="11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Option exercise benefits (expenses), net of Section 162M limitations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(268,000</w:t>
            </w:r>
          </w:p>
        </w:tc>
        <w:tc>
          <w:tcPr>
            <w:tcW w:w="110" w:type="dxa"/>
            <w:tcBorders/>
            <w:shd w:fill="CCEEFF" w:val="clear"/>
            <w:vAlign w:val="center"/>
          </w:tcPr>
          <w:p>
            <w:pPr>
              <w:pStyle w:val="TableContents"/>
              <w:bidi w:val="0"/>
              <w:spacing w:before="0" w:after="283"/>
              <w:jc w:val="left"/>
              <w:rPr/>
            </w:pPr>
            <w:r>
              <w:rPr/>
              <w:t>)</w:t>
            </w:r>
          </w:p>
        </w:tc>
      </w:tr>
      <w:tr>
        <w:trPr/>
        <w:tc>
          <w:tcPr>
            <w:tcW w:w="6470" w:type="dxa"/>
            <w:tcBorders/>
            <w:vAlign w:val="center"/>
          </w:tcPr>
          <w:p>
            <w:pPr>
              <w:pStyle w:val="TableContents"/>
              <w:bidi w:val="0"/>
              <w:spacing w:before="0" w:after="283"/>
              <w:jc w:val="left"/>
              <w:rPr/>
            </w:pPr>
            <w:r>
              <w:rPr/>
              <w:t>Transaction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221,000</w:t>
            </w:r>
          </w:p>
        </w:tc>
        <w:tc>
          <w:tcPr>
            <w:tcW w:w="110"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Valuation allowance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5,160,000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(2,900,000</w:t>
            </w:r>
          </w:p>
        </w:tc>
        <w:tc>
          <w:tcPr>
            <w:tcW w:w="110" w:type="dxa"/>
            <w:tcBorders/>
            <w:vAlign w:val="center"/>
          </w:tcPr>
          <w:p>
            <w:pPr>
              <w:pStyle w:val="TableContents"/>
              <w:bidi w:val="0"/>
              <w:spacing w:before="0" w:after="283"/>
              <w:jc w:val="left"/>
              <w:rPr/>
            </w:pPr>
            <w:r>
              <w:rPr/>
              <w:t>)</w:t>
            </w:r>
          </w:p>
        </w:tc>
      </w:tr>
      <w:tr>
        <w:trPr/>
        <w:tc>
          <w:tcPr>
            <w:tcW w:w="647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7,597,922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800"/>
        <w:gridCol w:w="60"/>
        <w:gridCol w:w="140"/>
        <w:gridCol w:w="980"/>
        <w:gridCol w:w="95"/>
        <w:gridCol w:w="60"/>
        <w:gridCol w:w="175"/>
        <w:gridCol w:w="325"/>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Current tax benefit (expense) - 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Current tax benefit (expense) - State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(97,452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current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Deferred tax benefit (expense) - Federal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6,488,661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Deferred tax benefit (expense) - 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1,206,713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Total deferred benefit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7,695,374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tax benefit on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7,597,922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tax effect of significant items comprising our net deferred tax amount at the expected rate of 21% is as follows as of December 31, 2023 and 2022:</w:t>
      </w:r>
    </w:p>
    <w:p>
      <w:pPr>
        <w:pStyle w:val="TextBody"/>
        <w:bidi w:val="0"/>
        <w:spacing w:before="0" w:after="0"/>
        <w:ind w:left="0" w:right="0" w:hanging="0"/>
        <w:jc w:val="both"/>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530"/>
        <w:gridCol w:w="60"/>
        <w:gridCol w:w="140"/>
        <w:gridCol w:w="1175"/>
        <w:gridCol w:w="95"/>
        <w:gridCol w:w="60"/>
        <w:gridCol w:w="140"/>
        <w:gridCol w:w="1100"/>
        <w:gridCol w:w="110"/>
      </w:tblGrid>
      <w:tr>
        <w:trPr/>
        <w:tc>
          <w:tcPr>
            <w:tcW w:w="35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180"/>
              <w:jc w:val="center"/>
              <w:rPr/>
            </w:pPr>
            <w:r>
              <w:rPr/>
              <w:t> </w:t>
            </w:r>
          </w:p>
        </w:tc>
      </w:tr>
      <w:tr>
        <w:trPr/>
        <w:tc>
          <w:tcPr>
            <w:tcW w:w="3530" w:type="dxa"/>
            <w:tcBorders/>
            <w:vAlign w:val="center"/>
          </w:tcPr>
          <w:p>
            <w:pPr>
              <w:pStyle w:val="TableContents"/>
              <w:bidi w:val="0"/>
              <w:spacing w:before="0" w:after="283"/>
              <w:jc w:val="left"/>
              <w:rPr/>
            </w:pPr>
            <w:r>
              <w:rPr/>
              <w:t>Deferred tax assets attributable to:</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530" w:type="dxa"/>
            <w:tcBorders/>
            <w:shd w:fill="CCEEFF" w:val="clear"/>
            <w:vAlign w:val="center"/>
          </w:tcPr>
          <w:p>
            <w:pPr>
              <w:pStyle w:val="TableContents"/>
              <w:bidi w:val="0"/>
              <w:spacing w:before="0" w:after="283"/>
              <w:jc w:val="left"/>
              <w:rPr/>
            </w:pPr>
            <w:r>
              <w:rPr/>
              <w:t>Net operating loss carryover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4,864,000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5,545,000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Stock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3,744,000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3,953,000</w:t>
            </w:r>
          </w:p>
        </w:tc>
        <w:tc>
          <w:tcPr>
            <w:tcW w:w="110" w:type="dxa"/>
            <w:tcBorders/>
            <w:vAlign w:val="center"/>
          </w:tcPr>
          <w:p>
            <w:pPr>
              <w:pStyle w:val="TableContents"/>
              <w:bidi w:val="0"/>
              <w:spacing w:before="0" w:after="283"/>
              <w:ind w:left="0" w:right="0" w:hanging="180"/>
              <w:jc w:val="left"/>
              <w:rPr/>
            </w:pPr>
            <w:r>
              <w:rPr/>
              <w:t> </w:t>
            </w:r>
          </w:p>
        </w:tc>
      </w:tr>
      <w:tr>
        <w:trPr/>
        <w:tc>
          <w:tcPr>
            <w:tcW w:w="3530"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Section 174 capitalized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2,533,000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789,000</w:t>
            </w:r>
          </w:p>
        </w:tc>
        <w:tc>
          <w:tcPr>
            <w:tcW w:w="110" w:type="dxa"/>
            <w:tcBorders/>
            <w:vAlign w:val="center"/>
          </w:tcPr>
          <w:p>
            <w:pPr>
              <w:pStyle w:val="TableContents"/>
              <w:bidi w:val="0"/>
              <w:spacing w:before="0" w:after="283"/>
              <w:ind w:left="0" w:right="0" w:hanging="180"/>
              <w:jc w:val="left"/>
              <w:rPr/>
            </w:pPr>
            <w:r>
              <w:rPr/>
              <w:t> </w:t>
            </w:r>
          </w:p>
        </w:tc>
      </w:tr>
      <w:tr>
        <w:trPr/>
        <w:tc>
          <w:tcPr>
            <w:tcW w:w="3530" w:type="dxa"/>
            <w:tcBorders/>
            <w:shd w:fill="CCEEFF" w:val="clear"/>
            <w:vAlign w:val="center"/>
          </w:tcPr>
          <w:p>
            <w:pPr>
              <w:pStyle w:val="TableContents"/>
              <w:bidi w:val="0"/>
              <w:spacing w:before="0" w:after="283"/>
              <w:jc w:val="left"/>
              <w:rPr/>
            </w:pPr>
            <w:r>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103,000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16,000</w:t>
            </w:r>
          </w:p>
        </w:tc>
        <w:tc>
          <w:tcPr>
            <w:tcW w:w="110" w:type="dxa"/>
            <w:tcBorders/>
            <w:vAlign w:val="center"/>
          </w:tcPr>
          <w:p>
            <w:pPr>
              <w:pStyle w:val="TableContents"/>
              <w:bidi w:val="0"/>
              <w:spacing w:before="0" w:after="283"/>
              <w:ind w:left="0" w:right="0" w:hanging="180"/>
              <w:jc w:val="left"/>
              <w:rPr/>
            </w:pPr>
            <w:r>
              <w:rPr/>
              <w:t> </w:t>
            </w:r>
          </w:p>
        </w:tc>
      </w:tr>
      <w:tr>
        <w:trPr/>
        <w:tc>
          <w:tcPr>
            <w:tcW w:w="353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11,720,000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10,492,000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530" w:type="dxa"/>
            <w:tcBorders/>
            <w:shd w:fill="CCEEFF" w:val="clear"/>
            <w:vAlign w:val="center"/>
          </w:tcPr>
          <w:p>
            <w:pPr>
              <w:pStyle w:val="TableContents"/>
              <w:bidi w:val="0"/>
              <w:spacing w:before="0" w:after="283"/>
              <w:jc w:val="left"/>
              <w:rPr/>
            </w:pPr>
            <w:r>
              <w:rPr/>
              <w:t>Deferred tax liabilities attributable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Intangibles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(12,393,000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(2,102,000</w:t>
            </w:r>
          </w:p>
        </w:tc>
        <w:tc>
          <w:tcPr>
            <w:tcW w:w="110" w:type="dxa"/>
            <w:tcBorders/>
            <w:vAlign w:val="center"/>
          </w:tcPr>
          <w:p>
            <w:pPr>
              <w:pStyle w:val="TableContents"/>
              <w:bidi w:val="0"/>
              <w:spacing w:before="0" w:after="283"/>
              <w:ind w:left="0" w:right="0" w:hanging="180"/>
              <w:jc w:val="left"/>
              <w:rPr/>
            </w:pPr>
            <w:r>
              <w:rPr/>
              <w:t>)</w:t>
            </w:r>
          </w:p>
        </w:tc>
      </w:tr>
      <w:tr>
        <w:trPr/>
        <w:tc>
          <w:tcPr>
            <w:tcW w:w="353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530" w:type="dxa"/>
            <w:tcBorders/>
            <w:vAlign w:val="center"/>
          </w:tcPr>
          <w:p>
            <w:pPr>
              <w:pStyle w:val="TableContents"/>
              <w:bidi w:val="0"/>
              <w:spacing w:before="0" w:after="283"/>
              <w:jc w:val="left"/>
              <w:rPr/>
            </w:pPr>
            <w:r>
              <w:rPr/>
              <w:t>Goodwill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(106,000</w:t>
            </w:r>
          </w:p>
        </w:tc>
        <w:tc>
          <w:tcPr>
            <w:tcW w:w="110" w:type="dxa"/>
            <w:tcBorders/>
            <w:vAlign w:val="center"/>
          </w:tcPr>
          <w:p>
            <w:pPr>
              <w:pStyle w:val="TableContents"/>
              <w:bidi w:val="0"/>
              <w:spacing w:before="0" w:after="283"/>
              <w:ind w:left="0" w:right="0" w:hanging="180"/>
              <w:jc w:val="left"/>
              <w:rPr/>
            </w:pPr>
            <w:r>
              <w:rPr/>
              <w:t>)</w:t>
            </w:r>
          </w:p>
        </w:tc>
      </w:tr>
      <w:tr>
        <w:trPr/>
        <w:tc>
          <w:tcPr>
            <w:tcW w:w="353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(198,424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(59,000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530" w:type="dxa"/>
            <w:tcBorders/>
            <w:vAlign w:val="center"/>
          </w:tcPr>
          <w:p>
            <w:pPr>
              <w:pStyle w:val="TableContents"/>
              <w:bidi w:val="0"/>
              <w:spacing w:before="0" w:after="283"/>
              <w:jc w:val="left"/>
              <w:rPr/>
            </w:pPr>
            <w:r>
              <w:rPr/>
              <w:t>Deferred tax liabilities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(12,701,424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(2,330,000</w:t>
            </w:r>
          </w:p>
        </w:tc>
        <w:tc>
          <w:tcPr>
            <w:tcW w:w="110" w:type="dxa"/>
            <w:tcBorders/>
            <w:vAlign w:val="center"/>
          </w:tcPr>
          <w:p>
            <w:pPr>
              <w:pStyle w:val="TableContents"/>
              <w:bidi w:val="0"/>
              <w:spacing w:before="0" w:after="283"/>
              <w:ind w:left="0" w:right="0" w:hanging="180"/>
              <w:jc w:val="left"/>
              <w:rPr/>
            </w:pPr>
            <w:r>
              <w:rPr/>
              <w:t>)</w:t>
            </w:r>
          </w:p>
        </w:tc>
      </w:tr>
      <w:tr>
        <w:trPr/>
        <w:tc>
          <w:tcPr>
            <w:tcW w:w="3530" w:type="dxa"/>
            <w:tcBorders/>
            <w:shd w:fill="CCEEFF" w:val="clear"/>
            <w:vAlign w:val="center"/>
          </w:tcPr>
          <w:p>
            <w:pPr>
              <w:pStyle w:val="TableContents"/>
              <w:bidi w:val="0"/>
              <w:spacing w:before="0" w:after="283"/>
              <w:jc w:val="left"/>
              <w:rPr/>
            </w:pPr>
            <w:r>
              <w:rPr/>
              <w:t>Net deferred tax (liability)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(981,424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8,162,000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30" w:type="dxa"/>
            <w:tcBorders/>
            <w:vAlign w:val="center"/>
          </w:tcPr>
          <w:p>
            <w:pPr>
              <w:pStyle w:val="TableContents"/>
              <w:bidi w:val="0"/>
              <w:spacing w:before="0" w:after="283"/>
              <w:jc w:val="left"/>
              <w:rPr/>
            </w:pPr>
            <w:r>
              <w:rPr/>
              <w:t>Valuation allowance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(3,356,000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(8,162,000</w:t>
            </w:r>
          </w:p>
        </w:tc>
        <w:tc>
          <w:tcPr>
            <w:tcW w:w="110" w:type="dxa"/>
            <w:tcBorders/>
            <w:vAlign w:val="center"/>
          </w:tcPr>
          <w:p>
            <w:pPr>
              <w:pStyle w:val="TableContents"/>
              <w:bidi w:val="0"/>
              <w:spacing w:before="0" w:after="283"/>
              <w:ind w:left="0" w:right="0" w:hanging="180"/>
              <w:jc w:val="left"/>
              <w:rPr/>
            </w:pPr>
            <w:r>
              <w:rPr/>
              <w:t>)</w:t>
            </w:r>
          </w:p>
        </w:tc>
      </w:tr>
      <w:tr>
        <w:trPr/>
        <w:tc>
          <w:tcPr>
            <w:tcW w:w="3530" w:type="dxa"/>
            <w:tcBorders/>
            <w:shd w:fill="CCEEFF" w:val="clear"/>
            <w:vAlign w:val="center"/>
          </w:tcPr>
          <w:p>
            <w:pPr>
              <w:pStyle w:val="TableContents"/>
              <w:bidi w:val="0"/>
              <w:spacing w:before="0" w:after="283"/>
              <w:jc w:val="left"/>
              <w:rPr/>
            </w:pPr>
            <w:r>
              <w:rPr/>
              <w:t>Net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(4,337,424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decreased $4,806,000, during the year ended December 31, 2023, as we determined that a portion of the deferred tax assets associated with historical NOL's were realizable. 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years 2020 to 2023 remain open for potential audit by the Internal Revenue Service. There are no uncertain tax positions as of December 31, 2022 or December 31, 2023,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The Company had an ownership change as described in IRC Section 382 on March 18, 2014. The Company NOL’s generated up until March 18, 2014, have been fully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16 – COMMITMENTS AND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enters into arrangements with partners to acquire minimum amounts of media, data or messaging capabilities. As of December 31, 2023, the Company had commitments for future minimum payments of $24.7 million that will be reflected in cost of revenues during the years from 2024 through 2028. Minimum payments are due in 2024, 2025, 2026, 2027 and 2028 in the amounts of $10.6 million, $8.3 million, $3.3 million, $2.4 million and $0.1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17 – RETIREMENT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$726,660 and $489,780 recorded in 2023 and 2022, respectively, for the Company’s contributions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16"/>
      <w:bookmarkEnd w:id="2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17"/>
      <w:bookmarkEnd w:id="25"/>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due to a material weakness in our internal control over financial reporting, our disclosure controls and procedures, as defined in Rule 13a-15(e), were not effective at the reasonable assurance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material weakness referenced above, the Company performed additional analysis and performed other procedures in order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pertain to the maintenance of records that, in reasonable detail, accurately and fairly reflect the transactions and dispositions of the assets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our Chief Executive Officer and our Chief Financial Officer, assessed the effectiveness of the Company’s internal control over financial reporting as of December 31, 2023.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weaknesses existed as of December 31, 2023: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for Remediation of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engaged in the planning for, and implementation of, remediation efforts to address the material weakness identified above. Management intends to implement the following remediation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283"/>
              <w:jc w:val="both"/>
              <w:rPr/>
            </w:pPr>
            <w:r>
              <w:rPr/>
              <w:t>The Company will require each third-party service organization to provide a SOC-1, Type 2 report to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8" w:type="dxa"/>
            <w:tcBorders/>
            <w:vAlign w:val="center"/>
          </w:tcPr>
          <w:p>
            <w:pPr>
              <w:pStyle w:val="TableContents"/>
              <w:bidi w:val="0"/>
              <w:spacing w:before="0" w:after="283"/>
              <w:jc w:val="both"/>
              <w:rPr/>
            </w:pPr>
            <w:r>
              <w:rPr/>
              <w:t>If a SOC-1, Type 2 report is not available, the Company will evaluate each third-party’s relevant system(s) and reporting directly through inquiry and substantive testing of such third-party’s control environment.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a valid SOC-1 Type 2 report or perform substantive testing of such third-party's control environment, the Company will implement a channel partner qualification and program triaging process, which would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measures described above will remediate the material weakness that we have identified. During the quarter ended December 31, 2023, the Company continued to engage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Changes in Internal Controls Over Financial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above, there was no change in our internal control over financial reporting (as defined in Rule 13a-15(f) under the Exchange Act), that occurred during the quarter ended December 31, 2023,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18"/>
      <w:bookmarkEnd w:id="26"/>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Adoption of 10b5-1 Trading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certain of our officers and directors adopted Rule 10b5-1 trading arrangements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2023, Mr. William J. Febbo, the Chief Executive Officer of the Company, adopted a written plan for the purchase or sale of our securities that was intended to satisfy the affirmative defense conditions of Rule 10b5-1(c) (the “Febbo Rule 10b5-1 Trading Plan). The Febbo 10b5-1 Trading Plan, which has a term of one year, provides for the sale of up to 300,000 shares of common stock pursuant to the terms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2023, Ms. Marion Odence-Ford, the General Counsel &amp; Chief Compliance Officer of the Company, adopted a written plan for the purchase or sale of our securities that is intended to satisfy the affirmative defense conditions of Rule 10b5-1(c) (the “Odence-Ford Rule 10b5-1 Trading Plan). The Odence-Ford 10b5-1 Trading Plan, which has a term of one year, provides for the sale of up to 7,000 shares of common stock pursuant to the terms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Febbo’s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Company entered into an amended and restated employment letter agreement with William J. Febbo (the “Febbo Employment Agreement”) which updates and supersedes in its entirety his prior employment agreement, as amended (the “Febbo Prior Employment Agreement”) to, among other things, eliminate the single trigger cash severance which was payable to Mr. Febbo in connection with a change in control, remove the Company’s 280G tax gross-up payment obligation afforded to Mr. Febbo under the Febbo Prior Employment Agreement, and provide for an equity grant to Mr. Febbo of 90,000 restricted stock units which vest over three years. In connection with the Febbo Employment Agreement, the Compensation Committee amended the OptimizeRx Corporation Executive Severance Plan to make Mr. Febbo a participant of such plan (as described below). As a result, all of Mr. Febbo’s prior rights to severance and change in control benefits under the Febbo Prior Employment Agreement were removed from the Febbo Employment Agreement. Mr. Febbo’s amended severance and/or change in control benefits are now set forth in full in the Amended Severance Plan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Mr. Febbo’s Employment Agreement is not complete and is qualified in its entirety by reference to the complete text of the Febbo Employment Agreement, a copy of which is filed as Exhibit 10.26 to this Form 10-K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Stephen Silvestro’s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Company entered into an amended and restated employment letter agreement with Stephen Silvestro (the “Silvestro Employment Agreement”) which updates and supersedes in its entirety his prior employment agreement, as amended (the “Silvestro Prior Employment Agreement”) to, among other things, remove the Company’s 280G tax gross-up payment obligation afforded to Mr. Silvestro under the Silvestro Prior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Mr. Silvestro’s Employment Agreement is not complete and is qualified in its entirety by reference to the complete text of the Silvestro Employment Agreement, a copy of which is filed as Exhibit 10.27 to this Form 10-K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Executive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Compensation Committee amended the OptimizeRx Corporation Executive Severance Plan (the “Amended Severance Plan”) to include Mr. Febbo as a participant in the Amended Severance Plan, to remove former and add new executive management team members, and to increase the Severance Benefits (as defined below) payable to Mr. Silvestro.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Severance Plan provides that if Mr. Febbo or Mr. Silvestro is terminated without cause or resigns for Good Reason, he will be paid (i) an amount equal to 1.5 times his base salary, paid in installments over 18 months, (ii) an amount equal to his target annual bonus in effect at the time of termination, paid in a lump sum, and (iii) payment by the Company of COBRA premiums for such executive and his spouse and eligible dependents for up to 12 months following termination (the payments in (i), (ii) and (iii) collectively referred to as “Severance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Severance Plan also provides Change in Control termination and death benefits to executive management team members. Mr. Silvestro’s benefits under such provisions were not changed in connection with the Amended Severance Plan. The Amended Severance Plan provides that if Mr. Febbo is terminated without cause or resigns for Good Reason three months prior to or 24 months following a Change in Control, in addition to the Severance Benefits, Mr. Febbo will be paid a lump sum payment equal to 5.0 times his then current base salary. The Severance Plan also provides that if Mr. Febbo is terminated due to death or disability, he (or his estate) will be paid an amount equal to his target annual bonus in effect at the time of termination, paid in a lump sum. Terms not otherwise defined herein have the meanings assigned to them in the Amended Severance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Amended Severance Plan is not complete and is qualified in its entirety by reference to the complete text of the Amended Severance Plan, a copy of which is filed as Exhibit 10.28 to this Form 10-K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19"/>
      <w:bookmarkEnd w:id="27"/>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a_020"/>
      <w:bookmarkEnd w:id="28"/>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1"/>
      <w:bookmarkEnd w:id="29"/>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information provided in PART I, Item 4.1, “Information About Our Executive Officers” and as set forth below, the required information is incorporated by reference from our definitive proxy statement for our 2024 Annual Meeting of Shareholders, including, but not necessarily limited to, the sections entitled “Proposal No. 1 Election of Directors, “Committees of the Board of Directors” and “Information Regarding Security Holders 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Times;Serif" w:hAnsi="Times New Roman;Times;Serif"/>
          <w:b w:val="false"/>
          <w:i/>
          <w:caps w:val="false"/>
          <w:smallCaps w:val="false"/>
          <w:sz w:val="20"/>
        </w:rPr>
        <w:t>www.optimizerx.com</w:t>
      </w:r>
      <w:r>
        <w:rPr>
          <w:rFonts w:ascii="Times New Roman;Times;Serif" w:hAnsi="Times New Roman;Times;Serif"/>
          <w:b w:val="false"/>
          <w:i w:val="false"/>
          <w:caps w:val="false"/>
          <w:smallCaps w:val="false"/>
          <w:sz w:val="20"/>
        </w:rPr>
        <w:t xml:space="preserve">. The Code can be found on the Company’s website at </w:t>
      </w:r>
      <w:r>
        <w:rPr>
          <w:rFonts w:ascii="Times New Roman;Times;Serif" w:hAnsi="Times New Roman;Times;Serif"/>
          <w:b w:val="false"/>
          <w:i/>
          <w:caps w:val="false"/>
          <w:smallCaps w:val="false"/>
          <w:sz w:val="20"/>
        </w:rPr>
        <w:t>www.optimizerx.com</w:t>
      </w:r>
      <w:r>
        <w:rPr>
          <w:rFonts w:ascii="Times New Roman;Times;Serif" w:hAnsi="Times New Roman;Times;Serif"/>
          <w:b w:val="false"/>
          <w:i w:val="false"/>
          <w:caps w:val="false"/>
          <w:smallCaps w:val="false"/>
          <w:sz w:val="20"/>
        </w:rPr>
        <w:t xml:space="preserve"> under “Investor Relations - Governance.” The information on the website is not and should not be considered part of this Form 10-K and is not incorporated by reference in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2"/>
      <w:bookmarkEnd w:id="30"/>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2024 Annual Meeting of Shareholders, including, but not necessarily limited to, the sections entitled “Director Compensation” and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23"/>
      <w:bookmarkEnd w:id="31"/>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information set forth below, the required information is incorporated by reference from our definitive proxy statement for our 2024 Annual Meeting of Shareholders, including, but not necessarily limited to, the section entitled “Information Regarding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information regarding our existing equity compensation plans as of December 31, 2023:</w:t>
      </w:r>
    </w:p>
    <w:p>
      <w:pPr>
        <w:pStyle w:val="TextBody"/>
        <w:bidi w:val="0"/>
        <w:spacing w:before="0" w:after="0"/>
        <w:ind w:left="0" w:right="0" w:hanging="0"/>
        <w:jc w:val="both"/>
        <w:rPr>
          <w:caps w:val="false"/>
          <w:smallCaps w:val="false"/>
        </w:rPr>
      </w:pPr>
      <w:r>
        <w:rPr>
          <w:caps w:val="false"/>
          <w:smallCaps w:val="false"/>
        </w:rPr>
        <w:t> </w:t>
      </w:r>
    </w:p>
    <w:tbl>
      <w:tblPr>
        <w:tblW w:w="8854" w:type="dxa"/>
        <w:jc w:val="left"/>
        <w:tblInd w:w="0" w:type="dxa"/>
        <w:tblLayout w:type="fixed"/>
        <w:tblCellMar>
          <w:top w:w="0" w:type="dxa"/>
          <w:left w:w="0" w:type="dxa"/>
          <w:bottom w:w="28" w:type="dxa"/>
          <w:right w:w="0" w:type="dxa"/>
        </w:tblCellMar>
      </w:tblPr>
      <w:tblGrid>
        <w:gridCol w:w="4970"/>
        <w:gridCol w:w="60"/>
        <w:gridCol w:w="85"/>
        <w:gridCol w:w="1224"/>
        <w:gridCol w:w="60"/>
        <w:gridCol w:w="60"/>
        <w:gridCol w:w="111"/>
        <w:gridCol w:w="899"/>
        <w:gridCol w:w="60"/>
        <w:gridCol w:w="60"/>
        <w:gridCol w:w="94"/>
        <w:gridCol w:w="1096"/>
        <w:gridCol w:w="75"/>
      </w:tblGrid>
      <w:tr>
        <w:trPr/>
        <w:tc>
          <w:tcPr>
            <w:tcW w:w="497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 xml:space="preserve">securities to be </w:t>
              <w:br/>
              <w:t>issued upon</w:t>
              <w:br/>
              <w:t>exercise of</w:t>
              <w:br/>
              <w:t>outstanding</w:t>
              <w:br/>
              <w:t>options,</w:t>
              <w:br/>
              <w:t>warrants</w:t>
              <w:br/>
              <w:t>and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exercise</w:t>
              <w:br/>
              <w:t>price of</w:t>
              <w:br/>
              <w:t>outstanding</w:t>
              <w:br/>
              <w:t>options,</w:t>
              <w:br/>
              <w:t>warrants</w:t>
              <w:br/>
              <w:t>and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remaining</w:t>
              <w:br/>
              <w:t>available for</w:t>
              <w:br/>
              <w:t>future</w:t>
              <w:br/>
              <w:t>issuance</w:t>
              <w:br/>
              <w:t>under equity</w:t>
              <w:br/>
              <w:t>compensation</w:t>
              <w:br/>
              <w:t>plans</w:t>
              <w:br/>
              <w:t>(excluding</w:t>
              <w:br/>
              <w:t>securities</w:t>
              <w:br/>
              <w:t>reflected in</w:t>
              <w:br/>
              <w:t>column (a))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 holders</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 Equity Compensation Plan – Options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345,435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 Equity Compensation Plan – Restricted Stock Units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Equity Incentive Plan – Options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276,844</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Equity Incentive Plan – Restricted Stock Units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631,581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10"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24"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2,298,270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10"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276,844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24"/>
      <w:bookmarkEnd w:id="32"/>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2024 Annual Meeting of Shareholders, including, but not necessarily limited to, the sections entitled “Certain Relationships and Related Transactions” and “Corporate Governance -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25"/>
      <w:bookmarkEnd w:id="33"/>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2024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4" w:name="a_026"/>
      <w:bookmarkEnd w:id="34"/>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27"/>
      <w:bookmarkEnd w:id="35"/>
      <w:r>
        <w:rPr>
          <w:rFonts w:ascii="Times New Roman;Times;Serif" w:hAnsi="Times New Roman;Times;Serif"/>
          <w:b/>
          <w:i w:val="false"/>
          <w:caps w:val="false"/>
          <w:smallCaps w:val="false"/>
          <w:sz w:val="20"/>
        </w:rPr>
        <w:t>Item 15. Exhibits and Financial Statements Schedules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The consolidated financial statements and exhibits listed below are filed as part of this Annual Report on Form 10-K.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both"/>
              <w:rPr/>
            </w:pPr>
            <w:r>
              <w:rPr/>
              <w:t>The Company’s consolidated financial statements, the notes thereto and the report of the Independent Registered Public Accounting Firm are included in PART II, Item 8. “Financial Statements and Supplementary Data.”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both"/>
              <w:rPr/>
            </w:pPr>
            <w:r>
              <w:rPr/>
              <w:t>Financial statement schedules have been omitted because they are not applicable, not required, or the required information is included in the Consolidated Financial Statements or Notes thereto.</w:t>
            </w:r>
          </w:p>
        </w:tc>
      </w:tr>
    </w:tbl>
    <w:p>
      <w:pPr>
        <w:pStyle w:val="TextBody"/>
        <w:bidi w:val="0"/>
        <w:spacing w:before="0" w:after="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9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4670" w:type="dxa"/>
            <w:tcBorders/>
            <w:vAlign w:val="center"/>
          </w:tcPr>
          <w:p>
            <w:pPr>
              <w:pStyle w:val="TableContents"/>
              <w:bidi w:val="0"/>
              <w:spacing w:before="0" w:after="283"/>
              <w:jc w:val="both"/>
              <w:rPr/>
            </w:pPr>
            <w:r>
              <w:rPr/>
              <w:t>Exhibits. Reference is made to Item 15(b) below.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i/>
              </w:rPr>
              <w:t>Exhibits</w:t>
            </w:r>
            <w:r>
              <w:rPr/>
              <w:t>. The Exhibit Index, which immediately precedes the signature page, is incorporated by reference into this Annual Report on Form 10-K.</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290"/>
        <w:gridCol w:w="7040"/>
      </w:tblGrid>
      <w:tr>
        <w:trPr/>
        <w:tc>
          <w:tcPr>
            <w:tcW w:w="290" w:type="dxa"/>
            <w:tcBorders/>
            <w:vAlign w:val="center"/>
          </w:tcPr>
          <w:p>
            <w:pPr>
              <w:pStyle w:val="TableContents"/>
              <w:bidi w:val="0"/>
              <w:spacing w:before="0" w:after="283"/>
              <w:jc w:val="left"/>
              <w:rPr/>
            </w:pPr>
            <w:r>
              <w:rPr/>
              <w:t>(c)</w:t>
            </w:r>
          </w:p>
        </w:tc>
        <w:tc>
          <w:tcPr>
            <w:tcW w:w="7040" w:type="dxa"/>
            <w:tcBorders/>
            <w:vAlign w:val="center"/>
          </w:tcPr>
          <w:p>
            <w:pPr>
              <w:pStyle w:val="TableContents"/>
              <w:bidi w:val="0"/>
              <w:spacing w:before="0" w:after="283"/>
              <w:jc w:val="both"/>
              <w:rPr/>
            </w:pPr>
            <w:r>
              <w:rPr>
                <w:i/>
              </w:rPr>
              <w:t>Financial Statement Schedules</w:t>
            </w:r>
            <w:r>
              <w:rPr/>
              <w:t>. Reference is made to Item 15(a)(2)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28"/>
      <w:bookmarkEnd w:id="36"/>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725"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rPr>
                <w:t>Articles of Incorporation of OptimizeRx Corporation (the “Company”) Incorporated by reference to Exhibit 3.1 to the Company’s Registration Statement on Form S-1 (Registration No. 333-155280) filed on November 12, 2008.</w:t>
              </w:r>
            </w:hyperlink>
          </w:p>
        </w:tc>
      </w:tr>
      <w:tr>
        <w:trPr/>
        <w:tc>
          <w:tcPr>
            <w:tcW w:w="725"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4">
              <w:r>
                <w:rPr>
                  <w:rStyle w:val="InternetLink"/>
                </w:rPr>
                <w:t>Certificate of Correction, dated April 30, 2018. Incorporated by reference to Exhibit 3.5 to the Company’s Annual Report on Form 10-K for the year ended December 31, 2018.</w:t>
              </w:r>
            </w:hyperlink>
          </w:p>
        </w:tc>
      </w:tr>
      <w:tr>
        <w:trPr/>
        <w:tc>
          <w:tcPr>
            <w:tcW w:w="725"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5">
              <w:r>
                <w:rPr>
                  <w:rStyle w:val="InternetLink"/>
                </w:rPr>
                <w:t>Third Amended and Restated Bylaws of the Company. Incorporated by reference to Exhibit 3.3 to the Company’s Annual Report on Form 10-K for the year ended December 31, 2022.</w:t>
              </w:r>
            </w:hyperlink>
          </w:p>
        </w:tc>
      </w:tr>
      <w:tr>
        <w:trPr/>
        <w:tc>
          <w:tcPr>
            <w:tcW w:w="725"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6">
              <w:r>
                <w:rPr>
                  <w:rStyle w:val="InternetLink"/>
                </w:rPr>
                <w:t>Description of the Registrant’s Securities Registered Pursuant to Section 12 of the Securities Exchange Act of 1934. Incorporated by reference to Exhibit 4.1 to the Company’s Annual Report on Form 10-K for the year ended December 31, 2021.</w:t>
              </w:r>
            </w:hyperlink>
          </w:p>
        </w:tc>
      </w:tr>
      <w:tr>
        <w:trPr/>
        <w:tc>
          <w:tcPr>
            <w:tcW w:w="725"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7">
              <w:r>
                <w:rPr>
                  <w:rStyle w:val="InternetLink"/>
                </w:rPr>
                <w:t>Fourth Amended and Restated 2013 Equity Incentive Plan. Incorporated by reference to Exhibit 10.1 to the Company’s Current Report on Form 8-K filed on March 12, 2020.</w:t>
              </w:r>
            </w:hyperlink>
          </w:p>
        </w:tc>
      </w:tr>
      <w:tr>
        <w:trPr/>
        <w:tc>
          <w:tcPr>
            <w:tcW w:w="72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8">
              <w:r>
                <w:rPr>
                  <w:rStyle w:val="InternetLink"/>
                </w:rPr>
                <w:t>OptimizeRx 2021 Equity Incentive Plan. Incorporated by reference to Exhibit 10.1 to the Company’s Current Report on Form 8-K filed on August 25, 2021.</w:t>
              </w:r>
            </w:hyperlink>
          </w:p>
        </w:tc>
      </w:tr>
      <w:tr>
        <w:trPr/>
        <w:tc>
          <w:tcPr>
            <w:tcW w:w="725"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9">
              <w:r>
                <w:rPr>
                  <w:rStyle w:val="InternetLink"/>
                </w:rPr>
                <w:t>Form of Stock Option Award for grants under the OptimizeRx Corporation 2021 Equity Incentive Plan. Incorporated by reference to Exhibit 10.2 to the Company’s Current Report on Form 8-K filed on August 25, 2021.</w:t>
              </w:r>
            </w:hyperlink>
          </w:p>
        </w:tc>
      </w:tr>
      <w:tr>
        <w:trPr/>
        <w:tc>
          <w:tcPr>
            <w:tcW w:w="72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0">
              <w:r>
                <w:rPr>
                  <w:rStyle w:val="InternetLink"/>
                </w:rPr>
                <w:t>Form of Performance Stock Option Award for grants under the OptimizeRx Corporation 2021 Equity Incentive Plan. Incorporated by reference to Exhibit 10.3 to the Company’s Current Report on Form 8-K filed on August 25, 2021.</w:t>
              </w:r>
            </w:hyperlink>
          </w:p>
        </w:tc>
      </w:tr>
      <w:tr>
        <w:trPr/>
        <w:tc>
          <w:tcPr>
            <w:tcW w:w="725" w:type="dxa"/>
            <w:tcBorders/>
            <w:shd w:fill="CCEEFF" w:val="clear"/>
            <w:tcMar>
              <w:bottom w:w="0" w:type="dxa"/>
            </w:tcMar>
            <w:vAlign w:val="center"/>
          </w:tcPr>
          <w:p>
            <w:pPr>
              <w:pStyle w:val="TableContents"/>
              <w:bidi w:val="0"/>
              <w:spacing w:before="0" w:after="283"/>
              <w:jc w:val="left"/>
              <w:rPr/>
            </w:pPr>
            <w:r>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1">
              <w:r>
                <w:rPr>
                  <w:rStyle w:val="InternetLink"/>
                </w:rPr>
                <w:t>Form of Restricted Stock Unit Award for grants under the OptimizeRx Corporation 2021 Equity Incentive Plan. Incorporated by reference to Exhibit 10.4 to the Company’s Current Report on Form 8-K filed on August 25, 2021.</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
        <w:gridCol w:w="60"/>
        <w:gridCol w:w="9481"/>
      </w:tblGrid>
      <w:tr>
        <w:trPr/>
        <w:tc>
          <w:tcPr>
            <w:tcW w:w="664" w:type="dxa"/>
            <w:tcBorders/>
            <w:shd w:fill="CCEEFF" w:val="clear"/>
            <w:vAlign w:val="center"/>
          </w:tcPr>
          <w:p>
            <w:pPr>
              <w:pStyle w:val="TableContents"/>
              <w:bidi w:val="0"/>
              <w:spacing w:before="0" w:after="283"/>
              <w:jc w:val="left"/>
              <w:rPr/>
            </w:pPr>
            <w:r>
              <w:rPr/>
              <w:t>10.6†</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12">
              <w:r>
                <w:rPr>
                  <w:rStyle w:val="InternetLink"/>
                </w:rPr>
                <w:t>Form of Performance Restricted Stock Unit Award for grants under the OptimizeRx Corporation 2021. Incorporated by reference to Exhibit 10.5 to the Company’s Current Report on Form 8-K filed on August 25, 2021</w:t>
              </w:r>
            </w:hyperlink>
          </w:p>
        </w:tc>
      </w:tr>
      <w:tr>
        <w:trPr/>
        <w:tc>
          <w:tcPr>
            <w:tcW w:w="664"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13">
              <w:r>
                <w:rPr>
                  <w:rStyle w:val="InternetLink"/>
                </w:rPr>
                <w:t>Amended Employment Agreement by and between the Company and William J. Febbo. Incorporated by reference to Exhibit 10.1 to the Company’s Current Report on Form 8-K filed on February 26, 2019.</w:t>
              </w:r>
            </w:hyperlink>
          </w:p>
        </w:tc>
      </w:tr>
      <w:tr>
        <w:trPr/>
        <w:tc>
          <w:tcPr>
            <w:tcW w:w="664" w:type="dxa"/>
            <w:tcBorders/>
            <w:shd w:fill="CCEEFF" w:val="clear"/>
            <w:vAlign w:val="center"/>
          </w:tcPr>
          <w:p>
            <w:pPr>
              <w:pStyle w:val="TableContents"/>
              <w:bidi w:val="0"/>
              <w:spacing w:before="0" w:after="283"/>
              <w:jc w:val="left"/>
              <w:rPr/>
            </w:pPr>
            <w:r>
              <w:rPr/>
              <w:t>10.8†</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14">
              <w:r>
                <w:rPr>
                  <w:rStyle w:val="InternetLink"/>
                </w:rPr>
                <w:t>Amendment to the Employment Agreement with William Febbo. Incorporated by reference to Exhibit 10.4 to the Company’s Annual Report on Form 10-K for the year ended December 31, 2019.</w:t>
              </w:r>
            </w:hyperlink>
          </w:p>
        </w:tc>
      </w:tr>
      <w:tr>
        <w:trPr/>
        <w:tc>
          <w:tcPr>
            <w:tcW w:w="664"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15">
              <w:r>
                <w:rPr>
                  <w:rStyle w:val="InternetLink"/>
                </w:rPr>
                <w:t>Addendum to the Employment Agreement with William J. Febbo. Incorporated by reference to Exhibit 10.1 to the Company’s Quarterly Report on Form 10-Q for the quarter ended June 30, 2021.</w:t>
              </w:r>
            </w:hyperlink>
          </w:p>
        </w:tc>
      </w:tr>
      <w:tr>
        <w:trPr/>
        <w:tc>
          <w:tcPr>
            <w:tcW w:w="664" w:type="dxa"/>
            <w:tcBorders/>
            <w:shd w:fill="CCEEFF" w:val="clear"/>
            <w:vAlign w:val="center"/>
          </w:tcPr>
          <w:p>
            <w:pPr>
              <w:pStyle w:val="TableContents"/>
              <w:bidi w:val="0"/>
              <w:spacing w:before="0" w:after="283"/>
              <w:jc w:val="left"/>
              <w:rPr/>
            </w:pPr>
            <w:r>
              <w:rPr/>
              <w:t>10.10*†</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16">
              <w:r>
                <w:rPr>
                  <w:rStyle w:val="InternetLink"/>
                </w:rPr>
                <w:t>Third Addendum to the Employment Agreement with William J. Febbo. Incorporated by reference to Exhibit 10.1 to the Company’s Current Report on Form 8-K filed on October 19, 2021.</w:t>
              </w:r>
            </w:hyperlink>
          </w:p>
        </w:tc>
      </w:tr>
      <w:tr>
        <w:trPr/>
        <w:tc>
          <w:tcPr>
            <w:tcW w:w="664" w:type="dxa"/>
            <w:tcBorders/>
            <w:vAlign w:val="center"/>
          </w:tcPr>
          <w:p>
            <w:pPr>
              <w:pStyle w:val="TableContents"/>
              <w:bidi w:val="0"/>
              <w:spacing w:before="0" w:after="283"/>
              <w:jc w:val="left"/>
              <w:rPr/>
            </w:pPr>
            <w:r>
              <w:rPr/>
              <w:t>10.11†</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17">
              <w:r>
                <w:rPr>
                  <w:rStyle w:val="InternetLink"/>
                </w:rPr>
                <w:t>Employment Agreement by and between the Company and Stephen Silvestro. Incorporated by reference to Exhibit 10.1 to the Company’s Current Report on Form 8-K filed on May 3, 2019.</w:t>
              </w:r>
            </w:hyperlink>
          </w:p>
        </w:tc>
      </w:tr>
      <w:tr>
        <w:trPr/>
        <w:tc>
          <w:tcPr>
            <w:tcW w:w="664" w:type="dxa"/>
            <w:tcBorders/>
            <w:shd w:fill="CCEEFF" w:val="clear"/>
            <w:vAlign w:val="center"/>
          </w:tcPr>
          <w:p>
            <w:pPr>
              <w:pStyle w:val="TableContents"/>
              <w:bidi w:val="0"/>
              <w:spacing w:before="0" w:after="283"/>
              <w:jc w:val="left"/>
              <w:rPr/>
            </w:pPr>
            <w:r>
              <w:rPr/>
              <w:t>10.12†</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18">
              <w:r>
                <w:rPr>
                  <w:rStyle w:val="InternetLink"/>
                </w:rPr>
                <w:t>Amendment to the Employment Agreement with Stephen Silvestro. Incorporated by reference to Exhibit 10.5 to the Company’s Annual Report on Form 10-K for the year ended December 31, 2019.</w:t>
              </w:r>
            </w:hyperlink>
          </w:p>
        </w:tc>
      </w:tr>
      <w:tr>
        <w:trPr/>
        <w:tc>
          <w:tcPr>
            <w:tcW w:w="664" w:type="dxa"/>
            <w:tcBorders/>
            <w:vAlign w:val="center"/>
          </w:tcPr>
          <w:p>
            <w:pPr>
              <w:pStyle w:val="TableContents"/>
              <w:bidi w:val="0"/>
              <w:spacing w:before="0" w:after="283"/>
              <w:jc w:val="left"/>
              <w:rPr/>
            </w:pPr>
            <w:r>
              <w:rPr/>
              <w:t>10.13†</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19">
              <w:r>
                <w:rPr>
                  <w:rStyle w:val="InternetLink"/>
                </w:rPr>
                <w:t>Amendment to Employment Agreement by and between the Company and Stephen Silvestro dated February 28, 2022. Incorporated by reference to Exhibit 10.2 to the Company’s Current Report on Form 8-K filed on March 4, 2022.</w:t>
              </w:r>
            </w:hyperlink>
          </w:p>
        </w:tc>
      </w:tr>
      <w:tr>
        <w:trPr/>
        <w:tc>
          <w:tcPr>
            <w:tcW w:w="664" w:type="dxa"/>
            <w:tcBorders/>
            <w:shd w:fill="CCEEFF" w:val="clear"/>
            <w:vAlign w:val="center"/>
          </w:tcPr>
          <w:p>
            <w:pPr>
              <w:pStyle w:val="TableContents"/>
              <w:bidi w:val="0"/>
              <w:spacing w:before="0" w:after="283"/>
              <w:jc w:val="left"/>
              <w:rPr/>
            </w:pPr>
            <w:r>
              <w:rPr/>
              <w:t>10.14†</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20">
              <w:r>
                <w:rPr>
                  <w:rStyle w:val="InternetLink"/>
                </w:rPr>
                <w:t>Employment Agreement with Marion Odence-Ford. Incorporated by reference to Exhibit 10.1 to the Company’s Current Report on Form 8-K filed on February 11, 2021.</w:t>
              </w:r>
            </w:hyperlink>
          </w:p>
        </w:tc>
      </w:tr>
      <w:tr>
        <w:trPr/>
        <w:tc>
          <w:tcPr>
            <w:tcW w:w="664" w:type="dxa"/>
            <w:tcBorders/>
            <w:vAlign w:val="center"/>
          </w:tcPr>
          <w:p>
            <w:pPr>
              <w:pStyle w:val="TableContents"/>
              <w:bidi w:val="0"/>
              <w:spacing w:before="0" w:after="283"/>
              <w:jc w:val="left"/>
              <w:rPr/>
            </w:pPr>
            <w:r>
              <w:rPr/>
              <w:t>10.15†</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21">
              <w:r>
                <w:rPr>
                  <w:rStyle w:val="InternetLink"/>
                </w:rPr>
                <w:t>Amendment to Employment Agreement by and between the Company and Marion Odence-Ford dated February 28, 2022. Incorporated by reference to Exhibit 10.3 to the Company’s Current Report on Form 8-K filed on March 4, 2022.</w:t>
              </w:r>
            </w:hyperlink>
          </w:p>
        </w:tc>
      </w:tr>
      <w:tr>
        <w:trPr/>
        <w:tc>
          <w:tcPr>
            <w:tcW w:w="664" w:type="dxa"/>
            <w:tcBorders/>
            <w:shd w:fill="CCEEFF" w:val="clear"/>
            <w:vAlign w:val="center"/>
          </w:tcPr>
          <w:p>
            <w:pPr>
              <w:pStyle w:val="TableContents"/>
              <w:bidi w:val="0"/>
              <w:spacing w:before="0" w:after="283"/>
              <w:jc w:val="left"/>
              <w:rPr/>
            </w:pPr>
            <w:r>
              <w:rPr/>
              <w:t>10.16*†</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22">
              <w:r>
                <w:rPr>
                  <w:rStyle w:val="InternetLink"/>
                </w:rPr>
                <w:t>Offer Letter by and between the Company and Edward Stelmakh. Incorporated by reference to Exhibit 10.1 to the Company’s Current Report on Form 8-K filed on September 30, 2021.</w:t>
              </w:r>
            </w:hyperlink>
          </w:p>
        </w:tc>
      </w:tr>
      <w:tr>
        <w:trPr/>
        <w:tc>
          <w:tcPr>
            <w:tcW w:w="664" w:type="dxa"/>
            <w:tcBorders/>
            <w:vAlign w:val="center"/>
          </w:tcPr>
          <w:p>
            <w:pPr>
              <w:pStyle w:val="TableContents"/>
              <w:bidi w:val="0"/>
              <w:spacing w:before="0" w:after="283"/>
              <w:jc w:val="left"/>
              <w:rPr/>
            </w:pPr>
            <w:r>
              <w:rPr/>
              <w:t>10.17†</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23">
              <w:r>
                <w:rPr>
                  <w:rStyle w:val="InternetLink"/>
                </w:rPr>
                <w:t>OptimizeRx Corporation 2022 Cash Bonus Plan. Incorporated by reference to Exhibit 10.1 to the Company’s Current Report on Form 8-K filed on March 4, 2022.</w:t>
              </w:r>
            </w:hyperlink>
          </w:p>
        </w:tc>
      </w:tr>
      <w:tr>
        <w:trPr/>
        <w:tc>
          <w:tcPr>
            <w:tcW w:w="664" w:type="dxa"/>
            <w:tcBorders/>
            <w:shd w:fill="CCEEFF" w:val="clear"/>
            <w:vAlign w:val="center"/>
          </w:tcPr>
          <w:p>
            <w:pPr>
              <w:pStyle w:val="TableContents"/>
              <w:bidi w:val="0"/>
              <w:spacing w:before="0" w:after="283"/>
              <w:jc w:val="left"/>
              <w:rPr/>
            </w:pPr>
            <w:r>
              <w:rPr/>
              <w:t>10.18†</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24">
              <w:r>
                <w:rPr>
                  <w:rStyle w:val="InternetLink"/>
                </w:rPr>
                <w:t>OptimizeRx Corporation Executive Severance Plan. Incorporated by reference to Exhibit 10.18 to the Company’s Annual Report on Form 10-K filed on March 10, 2023.</w:t>
              </w:r>
            </w:hyperlink>
          </w:p>
        </w:tc>
      </w:tr>
      <w:tr>
        <w:trPr/>
        <w:tc>
          <w:tcPr>
            <w:tcW w:w="664" w:type="dxa"/>
            <w:tcBorders/>
            <w:vAlign w:val="center"/>
          </w:tcPr>
          <w:p>
            <w:pPr>
              <w:pStyle w:val="TableContents"/>
              <w:bidi w:val="0"/>
              <w:spacing w:before="0" w:after="283"/>
              <w:jc w:val="left"/>
              <w:rPr/>
            </w:pPr>
            <w:r>
              <w:rPr/>
              <w:t>10.19†</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25">
              <w:r>
                <w:rPr>
                  <w:rStyle w:val="InternetLink"/>
                </w:rPr>
                <w:t>Fourth Addendum to the Employment Agreement with William J. Febbo. Incorporated by reference to Exhibit 10.19 to the Company’s Annual Report on Form 10-K filed on March 10, 2023.</w:t>
              </w:r>
            </w:hyperlink>
          </w:p>
        </w:tc>
      </w:tr>
      <w:tr>
        <w:trPr/>
        <w:tc>
          <w:tcPr>
            <w:tcW w:w="664" w:type="dxa"/>
            <w:tcBorders/>
            <w:shd w:fill="CCEEFF" w:val="clear"/>
            <w:vAlign w:val="center"/>
          </w:tcPr>
          <w:p>
            <w:pPr>
              <w:pStyle w:val="TableContents"/>
              <w:bidi w:val="0"/>
              <w:spacing w:before="0" w:after="283"/>
              <w:jc w:val="left"/>
              <w:rPr/>
            </w:pPr>
            <w:r>
              <w:rPr/>
              <w:t>10.20</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26">
              <w:r>
                <w:rPr>
                  <w:rStyle w:val="InternetLink"/>
                </w:rPr>
                <w:t>Agreement and Plan of Merger dated as of October 11, 2023 by and among OptimizeRx Corporation, Healthy Offers, Inc., the securityholders of Healthy Offers, Inc. who are party to the Agreement, and Michael Weintraub, not in his individual capacity, but solely in his capacity as the representative, agent and attorney-in-fact of the Securityholders. Incorporated by reference to Exhibit 10.1 to the Company’s Current Report on Form 8-K filed on October 16, 2023.</w:t>
              </w:r>
            </w:hyperlink>
          </w:p>
        </w:tc>
      </w:tr>
      <w:tr>
        <w:trPr/>
        <w:tc>
          <w:tcPr>
            <w:tcW w:w="664" w:type="dxa"/>
            <w:tcBorders/>
            <w:vAlign w:val="center"/>
          </w:tcPr>
          <w:p>
            <w:pPr>
              <w:pStyle w:val="TableContents"/>
              <w:bidi w:val="0"/>
              <w:spacing w:before="0" w:after="283"/>
              <w:jc w:val="left"/>
              <w:rPr/>
            </w:pPr>
            <w:r>
              <w:rPr/>
              <w:t>10.21</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27">
              <w:r>
                <w:rPr>
                  <w:rStyle w:val="InternetLink"/>
                </w:rPr>
                <w:t>Support Agreement, dated as of October 11, 2023 by and among the stockholders party thereto, OptimizeRx Corporation and Healthy Offers, Inc. Incorporated by reference to Exhibit 10.2 to the Company’s Current Report on Form 8-K filed on October 16, 2023.</w:t>
              </w:r>
            </w:hyperlink>
          </w:p>
        </w:tc>
      </w:tr>
      <w:tr>
        <w:trPr/>
        <w:tc>
          <w:tcPr>
            <w:tcW w:w="664" w:type="dxa"/>
            <w:tcBorders/>
            <w:shd w:fill="CCEEFF" w:val="clear"/>
            <w:vAlign w:val="center"/>
          </w:tcPr>
          <w:p>
            <w:pPr>
              <w:pStyle w:val="TableContents"/>
              <w:bidi w:val="0"/>
              <w:spacing w:before="0" w:after="283"/>
              <w:jc w:val="left"/>
              <w:rPr/>
            </w:pPr>
            <w:r>
              <w:rPr/>
              <w:t>10.22</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28">
              <w:r>
                <w:rPr>
                  <w:rStyle w:val="InternetLink"/>
                </w:rPr>
                <w:t>Financing Agreement, dated as of October 11, 2023, by and among OptimizeRx Corporation, the lenders from time to time party thereto, and Blue Torch Finance, LLC, as collateral agent and administrative agent. Incorporated by reference to Exhibit 10.3 to the Company’s Current Report on Form 8-K filed on October 16, 2023.</w:t>
              </w:r>
            </w:hyperlink>
          </w:p>
        </w:tc>
      </w:tr>
      <w:tr>
        <w:trPr/>
        <w:tc>
          <w:tcPr>
            <w:tcW w:w="664" w:type="dxa"/>
            <w:tcBorders/>
            <w:vAlign w:val="center"/>
          </w:tcPr>
          <w:p>
            <w:pPr>
              <w:pStyle w:val="TableContents"/>
              <w:bidi w:val="0"/>
              <w:spacing w:before="0" w:after="283"/>
              <w:jc w:val="left"/>
              <w:rPr/>
            </w:pPr>
            <w:r>
              <w:rPr/>
              <w:t>10.23</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29">
              <w:r>
                <w:rPr>
                  <w:rStyle w:val="InternetLink"/>
                </w:rPr>
                <w:t>Letter Agreement, dated as of October 11, 2023, OptimizeRx Corporation and Blue Torch Finance, LLC. Incorporated by reference to Exhibit 10.4 to the Company’s Current Report on Form 8-K filed on October 16, 2023.</w:t>
              </w:r>
            </w:hyperlink>
          </w:p>
        </w:tc>
      </w:tr>
      <w:tr>
        <w:trPr/>
        <w:tc>
          <w:tcPr>
            <w:tcW w:w="664" w:type="dxa"/>
            <w:tcBorders/>
            <w:shd w:fill="CCEEFF" w:val="clear"/>
            <w:vAlign w:val="center"/>
          </w:tcPr>
          <w:p>
            <w:pPr>
              <w:pStyle w:val="TableContents"/>
              <w:bidi w:val="0"/>
              <w:spacing w:before="0" w:after="283"/>
              <w:jc w:val="left"/>
              <w:rPr/>
            </w:pPr>
            <w:r>
              <w:rPr/>
              <w:t>10.24</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r:id="rId30">
              <w:r>
                <w:rPr>
                  <w:rStyle w:val="InternetLink"/>
                </w:rPr>
                <w:t>Common Stock Purchase Agreement dated October 24, 2023 by and among the Company and the Management Investors. Incorporated by reference to Exhibit 10.1 to the Company’s Current Report on Form 8-K filed on October 25, 2023.</w:t>
              </w:r>
            </w:hyperlink>
          </w:p>
        </w:tc>
      </w:tr>
      <w:tr>
        <w:trPr/>
        <w:tc>
          <w:tcPr>
            <w:tcW w:w="664" w:type="dxa"/>
            <w:tcBorders/>
            <w:vAlign w:val="center"/>
          </w:tcPr>
          <w:p>
            <w:pPr>
              <w:pStyle w:val="TableContents"/>
              <w:bidi w:val="0"/>
              <w:spacing w:before="0" w:after="283"/>
              <w:jc w:val="left"/>
              <w:rPr/>
            </w:pPr>
            <w:r>
              <w:rPr/>
              <w:t>10.25</w:t>
            </w:r>
          </w:p>
        </w:tc>
        <w:tc>
          <w:tcPr>
            <w:tcW w:w="60" w:type="dxa"/>
            <w:tcBorders/>
            <w:vAlign w:val="center"/>
          </w:tcPr>
          <w:p>
            <w:pPr>
              <w:pStyle w:val="TableContents"/>
              <w:bidi w:val="0"/>
              <w:spacing w:before="0" w:after="283"/>
              <w:jc w:val="left"/>
              <w:rPr/>
            </w:pPr>
            <w:r>
              <w:rPr/>
              <w:t> </w:t>
            </w:r>
          </w:p>
        </w:tc>
        <w:tc>
          <w:tcPr>
            <w:tcW w:w="9481" w:type="dxa"/>
            <w:tcBorders/>
            <w:vAlign w:val="center"/>
          </w:tcPr>
          <w:p>
            <w:pPr>
              <w:pStyle w:val="TableContents"/>
              <w:bidi w:val="0"/>
              <w:spacing w:before="0" w:after="283"/>
              <w:jc w:val="both"/>
              <w:rPr/>
            </w:pPr>
            <w:hyperlink r:id="rId31">
              <w:r>
                <w:rPr>
                  <w:rStyle w:val="InternetLink"/>
                </w:rPr>
                <w:t>Amendment No. 1 to Financing Agreement, dated March 29, 2024. Incorporated by reference to Exhibit 10.1 to the Company’s Current Report on Form 8-K filed on April 2, 2024.</w:t>
              </w:r>
            </w:hyperlink>
          </w:p>
        </w:tc>
      </w:tr>
      <w:tr>
        <w:trPr/>
        <w:tc>
          <w:tcPr>
            <w:tcW w:w="664" w:type="dxa"/>
            <w:tcBorders/>
            <w:shd w:fill="CCEEFF" w:val="clear"/>
            <w:vAlign w:val="center"/>
          </w:tcPr>
          <w:p>
            <w:pPr>
              <w:pStyle w:val="TableContents"/>
              <w:bidi w:val="0"/>
              <w:spacing w:before="0" w:after="283"/>
              <w:jc w:val="left"/>
              <w:rPr/>
            </w:pPr>
            <w:r>
              <w:rPr/>
              <w:t>10.26*†**</w:t>
            </w:r>
          </w:p>
        </w:tc>
        <w:tc>
          <w:tcPr>
            <w:tcW w:w="60" w:type="dxa"/>
            <w:tcBorders/>
            <w:shd w:fill="CCEEFF" w:val="clear"/>
            <w:vAlign w:val="center"/>
          </w:tcPr>
          <w:p>
            <w:pPr>
              <w:pStyle w:val="TableContents"/>
              <w:bidi w:val="0"/>
              <w:spacing w:before="0" w:after="283"/>
              <w:jc w:val="left"/>
              <w:rPr/>
            </w:pPr>
            <w:r>
              <w:rPr/>
              <w:t> </w:t>
            </w:r>
          </w:p>
        </w:tc>
        <w:tc>
          <w:tcPr>
            <w:tcW w:w="9481" w:type="dxa"/>
            <w:tcBorders/>
            <w:shd w:fill="CCEEFF" w:val="clear"/>
            <w:vAlign w:val="center"/>
          </w:tcPr>
          <w:p>
            <w:pPr>
              <w:pStyle w:val="TableContents"/>
              <w:bidi w:val="0"/>
              <w:spacing w:before="0" w:after="283"/>
              <w:jc w:val="both"/>
              <w:rPr/>
            </w:pPr>
            <w:hyperlink w:anchor="ea020384801ex10-26_optimize.htm">
              <w:r>
                <w:rPr>
                  <w:rStyle w:val="InternetLink"/>
                </w:rPr>
                <w:t>Amended and Restated Employment Agreement by and between the Company and William J. Febbo dated April 12, 2024.</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8"/>
        <w:gridCol w:w="60"/>
        <w:gridCol w:w="9257"/>
      </w:tblGrid>
      <w:tr>
        <w:trPr/>
        <w:tc>
          <w:tcPr>
            <w:tcW w:w="888" w:type="dxa"/>
            <w:tcBorders/>
            <w:shd w:fill="CCEEFF" w:val="clear"/>
            <w:vAlign w:val="center"/>
          </w:tcPr>
          <w:p>
            <w:pPr>
              <w:pStyle w:val="TableContents"/>
              <w:bidi w:val="0"/>
              <w:spacing w:before="0" w:after="283"/>
              <w:jc w:val="left"/>
              <w:rPr/>
            </w:pPr>
            <w:r>
              <w:rPr/>
              <w:t>10.27*†**</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hyperlink w:anchor="ea020384801ex10-27_optimize.htm">
              <w:r>
                <w:rPr>
                  <w:rStyle w:val="InternetLink"/>
                </w:rPr>
                <w:t>Amended and Restated Employment Agreement by and between the Company and Stephen Silvestro dated April 12, 2024.</w:t>
              </w:r>
            </w:hyperlink>
          </w:p>
        </w:tc>
      </w:tr>
      <w:tr>
        <w:trPr/>
        <w:tc>
          <w:tcPr>
            <w:tcW w:w="888" w:type="dxa"/>
            <w:tcBorders/>
            <w:vAlign w:val="center"/>
          </w:tcPr>
          <w:p>
            <w:pPr>
              <w:pStyle w:val="TableContents"/>
              <w:bidi w:val="0"/>
              <w:spacing w:before="0" w:after="283"/>
              <w:jc w:val="left"/>
              <w:rPr/>
            </w:pPr>
            <w:r>
              <w:rPr/>
              <w:t>10.28†**</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hyperlink w:anchor="ea020384801ex10-28_optimize.htm">
              <w:r>
                <w:rPr>
                  <w:rStyle w:val="InternetLink"/>
                </w:rPr>
                <w:t>Amended OptimizeRx Corporation Executive Severance Plan dated April 12, 2024.</w:t>
              </w:r>
            </w:hyperlink>
          </w:p>
        </w:tc>
      </w:tr>
      <w:tr>
        <w:trPr/>
        <w:tc>
          <w:tcPr>
            <w:tcW w:w="888" w:type="dxa"/>
            <w:tcBorders/>
            <w:shd w:fill="CCEEFF" w:val="clear"/>
            <w:vAlign w:val="center"/>
          </w:tcPr>
          <w:p>
            <w:pPr>
              <w:pStyle w:val="TableContents"/>
              <w:bidi w:val="0"/>
              <w:spacing w:before="0" w:after="283"/>
              <w:jc w:val="left"/>
              <w:rPr/>
            </w:pPr>
            <w:r>
              <w:rPr/>
              <w:t>14.1</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hyperlink r:id="rId32">
              <w:r>
                <w:rPr>
                  <w:rStyle w:val="InternetLink"/>
                </w:rPr>
                <w:t>Code of Business Conduct and Ethics Incorporated by reference to Exhibit 14.1 to the Company’s Current Report on Form 8-K filed on June 25, 2021.</w:t>
              </w:r>
            </w:hyperlink>
          </w:p>
        </w:tc>
      </w:tr>
      <w:tr>
        <w:trPr/>
        <w:tc>
          <w:tcPr>
            <w:tcW w:w="888" w:type="dxa"/>
            <w:tcBorders/>
            <w:vAlign w:val="center"/>
          </w:tcPr>
          <w:p>
            <w:pPr>
              <w:pStyle w:val="TableContents"/>
              <w:bidi w:val="0"/>
              <w:spacing w:before="0" w:after="283"/>
              <w:jc w:val="left"/>
              <w:rPr/>
            </w:pPr>
            <w:r>
              <w:rPr/>
              <w:t>19.1**</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hyperlink w:anchor="ea020384801ex19-1_optimize.htm">
              <w:r>
                <w:rPr>
                  <w:rStyle w:val="InternetLink"/>
                </w:rPr>
                <w:t>OptimizeRx Corporation Insider Trading Policy</w:t>
              </w:r>
            </w:hyperlink>
          </w:p>
        </w:tc>
      </w:tr>
      <w:tr>
        <w:trPr/>
        <w:tc>
          <w:tcPr>
            <w:tcW w:w="888" w:type="dxa"/>
            <w:tcBorders/>
            <w:shd w:fill="CCEEFF" w:val="clear"/>
            <w:vAlign w:val="center"/>
          </w:tcPr>
          <w:p>
            <w:pPr>
              <w:pStyle w:val="TableContents"/>
              <w:bidi w:val="0"/>
              <w:spacing w:before="0" w:after="283"/>
              <w:jc w:val="left"/>
              <w:rPr/>
            </w:pPr>
            <w:r>
              <w:rPr/>
              <w:t>21.1**</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hyperlink w:anchor="ea020384801ex21-1_optimize.htm">
              <w:r>
                <w:rPr>
                  <w:rStyle w:val="InternetLink"/>
                </w:rPr>
                <w:t>List of Subsidiaries</w:t>
              </w:r>
            </w:hyperlink>
          </w:p>
        </w:tc>
      </w:tr>
      <w:tr>
        <w:trPr/>
        <w:tc>
          <w:tcPr>
            <w:tcW w:w="888" w:type="dxa"/>
            <w:tcBorders/>
            <w:vAlign w:val="center"/>
          </w:tcPr>
          <w:p>
            <w:pPr>
              <w:pStyle w:val="TableContents"/>
              <w:bidi w:val="0"/>
              <w:spacing w:before="0" w:after="283"/>
              <w:jc w:val="left"/>
              <w:rPr/>
            </w:pPr>
            <w:r>
              <w:rPr/>
              <w:t>23.1**</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hyperlink w:anchor="ea020384801ex23-1_optimize.htm">
              <w:r>
                <w:rPr>
                  <w:rStyle w:val="InternetLink"/>
                </w:rPr>
                <w:t>Consent of UHY LLP</w:t>
              </w:r>
            </w:hyperlink>
          </w:p>
        </w:tc>
      </w:tr>
      <w:tr>
        <w:trPr/>
        <w:tc>
          <w:tcPr>
            <w:tcW w:w="888" w:type="dxa"/>
            <w:tcBorders/>
            <w:shd w:fill="CCEEFF" w:val="clear"/>
            <w:vAlign w:val="center"/>
          </w:tcPr>
          <w:p>
            <w:pPr>
              <w:pStyle w:val="TableContents"/>
              <w:bidi w:val="0"/>
              <w:spacing w:before="0" w:after="283"/>
              <w:jc w:val="left"/>
              <w:rPr/>
            </w:pPr>
            <w:r>
              <w:rPr/>
              <w:t>31.1**</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hyperlink w:anchor="ea020384801ex31-1_optimize.htm">
              <w:r>
                <w:rPr>
                  <w:rStyle w:val="InternetLink"/>
                </w:rPr>
                <w:t>Certification of Chief Executive Officer pursuant to Securities Exchange Act Rule 13a-14(a)/15d-14(a), as adopted pursuant to Section 302 of the Sarbanes-Oxley Act of 2002</w:t>
              </w:r>
            </w:hyperlink>
          </w:p>
        </w:tc>
      </w:tr>
      <w:tr>
        <w:trPr/>
        <w:tc>
          <w:tcPr>
            <w:tcW w:w="888" w:type="dxa"/>
            <w:tcBorders/>
            <w:vAlign w:val="center"/>
          </w:tcPr>
          <w:p>
            <w:pPr>
              <w:pStyle w:val="TableContents"/>
              <w:bidi w:val="0"/>
              <w:spacing w:before="0" w:after="283"/>
              <w:jc w:val="left"/>
              <w:rPr/>
            </w:pPr>
            <w:r>
              <w:rPr/>
              <w:t>31.2**</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hyperlink w:anchor="ea020384801ex31-2_optimize.htm">
              <w:r>
                <w:rPr>
                  <w:rStyle w:val="InternetLink"/>
                </w:rPr>
                <w:t>Certification of Chief Financial Officer pursuant to Securities Exchange Act Rule 13a-14(a)/15d-14(a), as adopted pursuant to Section 302 of the Sarbanes-Oxley Act of 2002</w:t>
              </w:r>
            </w:hyperlink>
          </w:p>
        </w:tc>
      </w:tr>
      <w:tr>
        <w:trPr/>
        <w:tc>
          <w:tcPr>
            <w:tcW w:w="888" w:type="dxa"/>
            <w:tcBorders/>
            <w:shd w:fill="CCEEFF" w:val="clear"/>
            <w:vAlign w:val="center"/>
          </w:tcPr>
          <w:p>
            <w:pPr>
              <w:pStyle w:val="TableContents"/>
              <w:bidi w:val="0"/>
              <w:spacing w:before="0" w:after="283"/>
              <w:jc w:val="left"/>
              <w:rPr/>
            </w:pPr>
            <w:r>
              <w:rPr/>
              <w:t>32.1**</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hyperlink w:anchor="ea020384801ex32-1_optimize.htm">
              <w:r>
                <w:rPr>
                  <w:rStyle w:val="InternetLink"/>
                </w:rPr>
                <w:t>Certification of Chief Executive Officer and Chief Financial Officer pursuant to 18 U.S.C. Section 1350, as adopted pursuant to Section 906 of the Sarbanes-Oxley Act of 2002</w:t>
              </w:r>
            </w:hyperlink>
          </w:p>
        </w:tc>
      </w:tr>
      <w:tr>
        <w:trPr/>
        <w:tc>
          <w:tcPr>
            <w:tcW w:w="888" w:type="dxa"/>
            <w:tcBorders/>
            <w:vAlign w:val="center"/>
          </w:tcPr>
          <w:p>
            <w:pPr>
              <w:pStyle w:val="TableContents"/>
              <w:bidi w:val="0"/>
              <w:spacing w:before="0" w:after="283"/>
              <w:jc w:val="left"/>
              <w:rPr/>
            </w:pPr>
            <w:r>
              <w:rPr/>
              <w:t>97.1**</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hyperlink w:anchor="ea020384801ex97-1_optimize.htm">
              <w:r>
                <w:rPr>
                  <w:rStyle w:val="InternetLink"/>
                </w:rPr>
                <w:t>OptimizeRx Corporation Clawback Policy</w:t>
              </w:r>
            </w:hyperlink>
          </w:p>
        </w:tc>
      </w:tr>
      <w:tr>
        <w:trPr/>
        <w:tc>
          <w:tcPr>
            <w:tcW w:w="888" w:type="dxa"/>
            <w:tcBorders/>
            <w:shd w:fill="CCEEFF" w:val="clear"/>
            <w:vAlign w:val="center"/>
          </w:tcPr>
          <w:p>
            <w:pPr>
              <w:pStyle w:val="TableContents"/>
              <w:bidi w:val="0"/>
              <w:spacing w:before="0" w:after="283"/>
              <w:jc w:val="left"/>
              <w:rPr/>
            </w:pPr>
            <w:r>
              <w:rPr/>
              <w:t>101.INS**</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r>
              <w:rPr/>
              <w:t>Inline XBRL Instance Document</w:t>
            </w:r>
          </w:p>
        </w:tc>
      </w:tr>
      <w:tr>
        <w:trPr/>
        <w:tc>
          <w:tcPr>
            <w:tcW w:w="888"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r>
              <w:rPr/>
              <w:t>Inline XBRL Schema Document</w:t>
            </w:r>
          </w:p>
        </w:tc>
      </w:tr>
      <w:tr>
        <w:trPr/>
        <w:tc>
          <w:tcPr>
            <w:tcW w:w="888" w:type="dxa"/>
            <w:tcBorders/>
            <w:shd w:fill="CCEEFF" w:val="clear"/>
            <w:vAlign w:val="center"/>
          </w:tcPr>
          <w:p>
            <w:pPr>
              <w:pStyle w:val="TableContents"/>
              <w:bidi w:val="0"/>
              <w:spacing w:before="0" w:after="283"/>
              <w:jc w:val="left"/>
              <w:rPr/>
            </w:pPr>
            <w:r>
              <w:rPr/>
              <w:t>101.CAL**</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r>
              <w:rPr/>
              <w:t>Inline XBRL Calculation Linkbase Document</w:t>
            </w:r>
          </w:p>
        </w:tc>
      </w:tr>
      <w:tr>
        <w:trPr/>
        <w:tc>
          <w:tcPr>
            <w:tcW w:w="888" w:type="dxa"/>
            <w:tcBorders/>
            <w:vAlign w:val="center"/>
          </w:tcPr>
          <w:p>
            <w:pPr>
              <w:pStyle w:val="TableContents"/>
              <w:bidi w:val="0"/>
              <w:spacing w:before="0" w:after="283"/>
              <w:jc w:val="left"/>
              <w:rPr/>
            </w:pPr>
            <w:r>
              <w:rPr/>
              <w:t>101.DEF**</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r>
              <w:rPr/>
              <w:t>Inline XBRL Definition Linkbase Document</w:t>
            </w:r>
          </w:p>
        </w:tc>
      </w:tr>
      <w:tr>
        <w:trPr/>
        <w:tc>
          <w:tcPr>
            <w:tcW w:w="888" w:type="dxa"/>
            <w:tcBorders/>
            <w:shd w:fill="CCEEFF" w:val="clear"/>
            <w:vAlign w:val="center"/>
          </w:tcPr>
          <w:p>
            <w:pPr>
              <w:pStyle w:val="TableContents"/>
              <w:bidi w:val="0"/>
              <w:spacing w:before="0" w:after="283"/>
              <w:jc w:val="left"/>
              <w:rPr/>
            </w:pPr>
            <w:r>
              <w:rPr/>
              <w:t>101.LAB**</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r>
              <w:rPr/>
              <w:t>Inline XBRL Label Linkbase Document</w:t>
            </w:r>
          </w:p>
        </w:tc>
      </w:tr>
      <w:tr>
        <w:trPr/>
        <w:tc>
          <w:tcPr>
            <w:tcW w:w="888" w:type="dxa"/>
            <w:tcBorders/>
            <w:vAlign w:val="center"/>
          </w:tcPr>
          <w:p>
            <w:pPr>
              <w:pStyle w:val="TableContents"/>
              <w:bidi w:val="0"/>
              <w:spacing w:before="0" w:after="283"/>
              <w:jc w:val="left"/>
              <w:rPr/>
            </w:pPr>
            <w:r>
              <w:rPr/>
              <w:t>101.PRE**</w:t>
            </w:r>
          </w:p>
        </w:tc>
        <w:tc>
          <w:tcPr>
            <w:tcW w:w="60" w:type="dxa"/>
            <w:tcBorders/>
            <w:vAlign w:val="center"/>
          </w:tcPr>
          <w:p>
            <w:pPr>
              <w:pStyle w:val="TableContents"/>
              <w:bidi w:val="0"/>
              <w:spacing w:before="0" w:after="283"/>
              <w:jc w:val="left"/>
              <w:rPr/>
            </w:pPr>
            <w:r>
              <w:rPr/>
              <w:t> </w:t>
            </w:r>
          </w:p>
        </w:tc>
        <w:tc>
          <w:tcPr>
            <w:tcW w:w="9257" w:type="dxa"/>
            <w:tcBorders/>
            <w:vAlign w:val="center"/>
          </w:tcPr>
          <w:p>
            <w:pPr>
              <w:pStyle w:val="TableContents"/>
              <w:bidi w:val="0"/>
              <w:spacing w:before="0" w:after="283"/>
              <w:jc w:val="both"/>
              <w:rPr/>
            </w:pPr>
            <w:r>
              <w:rPr/>
              <w:t>Inline Presentation Linkbase Document</w:t>
            </w:r>
          </w:p>
        </w:tc>
      </w:tr>
      <w:tr>
        <w:trPr/>
        <w:tc>
          <w:tcPr>
            <w:tcW w:w="888"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9257" w:type="dxa"/>
            <w:tcBorders/>
            <w:shd w:fill="CCEEFF" w:val="cle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55"/>
        <w:gridCol w:w="7370"/>
      </w:tblGrid>
      <w:tr>
        <w:trPr/>
        <w:tc>
          <w:tcPr>
            <w:tcW w:w="15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w:t>
            </w:r>
          </w:p>
        </w:tc>
        <w:tc>
          <w:tcPr>
            <w:tcW w:w="7370" w:type="dxa"/>
            <w:tcBorders/>
            <w:vAlign w:val="center"/>
          </w:tcPr>
          <w:p>
            <w:pPr>
              <w:pStyle w:val="TableContents"/>
              <w:bidi w:val="0"/>
              <w:spacing w:before="0" w:after="283"/>
              <w:jc w:val="both"/>
              <w:rPr/>
            </w:pPr>
            <w:r>
              <w:rPr/>
              <w:t>Management Contracts and Compensatory Plans, Contracts or Arrangements.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Exhibits have been omitted pursuant to Item 601(a)(5) of Regulation S-K. The Company agrees to furnish supplementally a copy of any omitted exhibit to the SEC upon request.</w:t>
            </w:r>
          </w:p>
        </w:tc>
      </w:tr>
    </w:tbl>
    <w:p>
      <w:pPr>
        <w:pStyle w:val="TextBody"/>
        <w:bidi w:val="0"/>
        <w:spacing w:before="0" w:after="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pPr>
            <w:r>
              <w:rPr/>
              <w:t>Provided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590"/>
        <w:gridCol w:w="2375"/>
        <w:gridCol w:w="75"/>
      </w:tblGrid>
      <w:tr>
        <w:trPr/>
        <w:tc>
          <w:tcPr>
            <w:tcW w:w="2965" w:type="dxa"/>
            <w:gridSpan w:val="2"/>
            <w:tcBorders/>
            <w:vAlign w:val="center"/>
          </w:tcPr>
          <w:p>
            <w:pPr>
              <w:pStyle w:val="TableContents"/>
              <w:bidi w:val="0"/>
              <w:spacing w:before="0" w:after="283"/>
              <w:jc w:val="left"/>
              <w:rPr>
                <w:b/>
              </w:rPr>
            </w:pPr>
            <w:r>
              <w:rPr>
                <w:b/>
              </w:rPr>
              <w:t>OptimizeRx Corporation</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By:</w:t>
            </w:r>
          </w:p>
        </w:tc>
        <w:tc>
          <w:tcPr>
            <w:tcW w:w="2375" w:type="dxa"/>
            <w:tcBorders>
              <w:bottom w:val="single" w:sz="12" w:space="0" w:color="000000"/>
            </w:tcBorders>
            <w:tcMar>
              <w:bottom w:w="28" w:type="dxa"/>
            </w:tcMar>
            <w:vAlign w:val="center"/>
          </w:tcPr>
          <w:p>
            <w:pPr>
              <w:pStyle w:val="TableContents"/>
              <w:bidi w:val="0"/>
              <w:spacing w:before="0" w:after="283"/>
              <w:jc w:val="left"/>
              <w:rPr/>
            </w:pPr>
            <w:r>
              <w:rPr/>
              <w:t>/s/ William J. Febbo</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Title: </w:t>
            </w:r>
          </w:p>
        </w:tc>
        <w:tc>
          <w:tcPr>
            <w:tcW w:w="237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Date:</w:t>
            </w:r>
          </w:p>
        </w:tc>
        <w:tc>
          <w:tcPr>
            <w:tcW w:w="2375" w:type="dxa"/>
            <w:tcBorders/>
            <w:vAlign w:val="center"/>
          </w:tcPr>
          <w:p>
            <w:pPr>
              <w:pStyle w:val="TableContents"/>
              <w:bidi w:val="0"/>
              <w:spacing w:before="0" w:after="283"/>
              <w:jc w:val="left"/>
              <w:rPr/>
            </w:pPr>
            <w:r>
              <w:rPr/>
              <w:t>April 15, 2024</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By:</w:t>
            </w:r>
          </w:p>
        </w:tc>
        <w:tc>
          <w:tcPr>
            <w:tcW w:w="2375" w:type="dxa"/>
            <w:tcBorders>
              <w:bottom w:val="single" w:sz="12" w:space="0" w:color="000000"/>
            </w:tcBorders>
            <w:tcMar>
              <w:bottom w:w="28" w:type="dxa"/>
            </w:tcMar>
            <w:vAlign w:val="center"/>
          </w:tcPr>
          <w:p>
            <w:pPr>
              <w:pStyle w:val="TableContents"/>
              <w:bidi w:val="0"/>
              <w:spacing w:before="0" w:after="283"/>
              <w:jc w:val="left"/>
              <w:rPr/>
            </w:pPr>
            <w:r>
              <w:rPr/>
              <w:t>/s/ Edward Stelmakh</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Edward Stelmakh</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Title:</w:t>
            </w:r>
          </w:p>
        </w:tc>
        <w:tc>
          <w:tcPr>
            <w:tcW w:w="2375"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Chief Operations Officer</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Date:</w:t>
            </w:r>
          </w:p>
        </w:tc>
        <w:tc>
          <w:tcPr>
            <w:tcW w:w="2375" w:type="dxa"/>
            <w:tcBorders/>
            <w:vAlign w:val="center"/>
          </w:tcPr>
          <w:p>
            <w:pPr>
              <w:pStyle w:val="TableContents"/>
              <w:bidi w:val="0"/>
              <w:spacing w:before="0" w:after="283"/>
              <w:jc w:val="left"/>
              <w:rPr/>
            </w:pPr>
            <w:r>
              <w:rPr/>
              <w:t>April 15,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1925"/>
        <w:gridCol w:w="60"/>
        <w:gridCol w:w="4250"/>
        <w:gridCol w:w="60"/>
        <w:gridCol w:w="1220"/>
      </w:tblGrid>
      <w:tr>
        <w:trPr/>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2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Febbo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Febbo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Stelmakh</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Chief Operations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Stelmakh</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Lynn O’Connor Vos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Chairperson</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O’Connor Vos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Gus D. Halas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Gus D. Halas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Spangler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Spangler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Lang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Lang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Greg Wasson</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Wasson</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Catherine Klema</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2024</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Catherine Klema</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7" w:name="ea020384801ex10-26_optimize.htm"/>
      <w:bookmarkStart w:id="38" w:name="ksea020384801ex1026_optimize"/>
      <w:bookmarkEnd w:id="37"/>
      <w:bookmarkEnd w:id="38"/>
      <w:r>
        <w:rPr>
          <w:b/>
        </w:rPr>
        <w:t>Exhibit 10.26</w:t>
      </w:r>
      <w:r>
        <w:br w:type="page"/>
      </w:r>
    </w:p>
    <w:p>
      <w:pPr>
        <w:pStyle w:val="TextBody"/>
        <w:bidi w:val="0"/>
        <w:jc w:val="center"/>
        <w:rPr/>
      </w:pPr>
      <w:r>
        <w:rPr/>
        <w:t> </w:t>
      </w:r>
    </w:p>
    <w:p>
      <w:pPr>
        <w:pStyle w:val="TextBody"/>
        <w:bidi w:val="0"/>
        <w:jc w:val="center"/>
        <w:rPr/>
      </w:pPr>
      <w:r>
        <w:rPr/>
        <w:drawing>
          <wp:inline distT="0" distB="0" distL="0" distR="0">
            <wp:extent cx="310515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3105150" cy="723900"/>
                    </a:xfrm>
                    <a:prstGeom prst="rect">
                      <a:avLst/>
                    </a:prstGeom>
                  </pic:spPr>
                </pic:pic>
              </a:graphicData>
            </a:graphic>
          </wp:inline>
        </w:drawing>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J. Febbo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Calle Violeta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Juan, Puerto Rico 00927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OptimizeRx Corporation (the “Company”), we are excited to make this amended and restated employment offer to you for the full-time, exempt position of Chief Executive Officer and member of the Company Board of Directors (this “Amended and Restatement Employment Agreement”), effective upon execution of this Amended and Restatement Employment Agreement (the “Effective Date”). For purposes of determining employment tenure, February 22, 2016 shall be recognized as your start date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You will be entitled to receive an annual base salary of $450,000.00 at the rate of $18,750.00 per semi-monthly pay period, representing payment for all hours worked, with such increases (but no decreases, unless mutually agreed) as may be determined by the Compensation Committee of the Company’s Board of Directors (the “Compensation Committee”) from time to time (as increased from time to time, the “Base Salary”). Your Base Salary is payable in accordance with the Company’s regular payroll practices and subject to customary and required withholdings and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In addition to the Base Salary, you will be eligible to receive annual cash bonuses under the Company’s 2022 Cash Bonus Plan and/or any other cash incentive plan maintained by the Company (such plan, the “Bonus Plan”), as determined by the Compensation Committee in its sole discretion within the parameters, and subject to the terms and conditions, of the Bonus Plan, with a target bonus of 100% of your Base Salary. Any bonus payments paid to you is entirely at the discretion of the Compensation Committee and will be subject to the Company’s and your personal performance achievements and to customary tax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Equity.</w:t>
      </w:r>
      <w:r>
        <w:rPr>
          <w:rFonts w:ascii="Times New Roman;Times;Serif" w:hAnsi="Times New Roman;Times;Serif"/>
          <w:b w:val="false"/>
          <w:i w:val="false"/>
          <w:caps w:val="false"/>
          <w:smallCaps w:val="false"/>
          <w:sz w:val="20"/>
        </w:rPr>
        <w:t xml:space="preserve"> The Compensation Committee has authorized the Company to grant you sixty thousand (60,000) restricted stock units (“RSUs”). Subject to the Board of Directors’ approval, the grant date will be April 15, 2024. The RSUs shall vest in equal one-third increments over a three (3) year period, commencing on the first anniversary of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you may receive additional grants of equity awards under the Company’s 2021 Equity Incentive Plan and/or any other equity-related incentive plan maintained by the Company (such plan, the “Equity Plan”), as determined by the Compensation Committee in its sole discretion within the parameters, and subject to the terms and conditions, of the Equity Plan. The treatment of any equity awards held by you under the Equity Plan in connection with the termination of your employment shall be determined under the Equity Plan and/or award agreement relating to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the applicable award agreements in substantially similar forms to those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and the Options for the awards shall be at an exercise price equal to the fair market value of the underlying common stock as determined by the closing trading price of the Company’s common stock on the Nasdaq Stock Exchange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You shall be eligible to receive such other compensation as may from time to time be awarded to you by the Compensation Committee,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If you undergo a Covered Termination as defined by the Company’s 2023 Executive Severance Plan (the “Severance Plan”), as amended, and attached hereto as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xml:space="preserve"> In addition to your compensation, you will continue to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Our 401k plan includes a company match of up to 4%, based on individual contribution. You will also be eligible to participate in our flexible Paid Time Off (PTO) policy. Please note that the Company reserves the right to change or discontinue any of our benefits, plans, providers, and policies,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Job Responsibilities</w:t>
      </w:r>
      <w:r>
        <w:rPr>
          <w:rFonts w:ascii="Times New Roman;Times;Serif" w:hAnsi="Times New Roman;Times;Serif"/>
          <w:b w:val="false"/>
          <w:i w:val="false"/>
          <w:caps w:val="false"/>
          <w:smallCaps w:val="false"/>
          <w:sz w:val="20"/>
        </w:rPr>
        <w:t xml:space="preserve">. As CEO, your responsibilities will be as outlined by the Board of Directors and relayed to you from time to time. You shall </w:t>
      </w:r>
      <w:r>
        <w:rPr>
          <w:rFonts w:ascii="Times New Roman;Times;Serif" w:hAnsi="Times New Roman;Times;Serif"/>
          <w:b w:val="false"/>
          <w:i w:val="false"/>
          <w:caps w:val="false"/>
          <w:smallCaps w:val="false"/>
          <w:sz w:val="20"/>
          <w:shd w:fill="FFFFFF" w:val="clear"/>
        </w:rPr>
        <w:t>devote substantially all of your business time (excluding periods of vacation and other approved leaves of absence) to the performance of your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duties with the Company, provided the foregoing shall not prevent you from participating in charitable, civic, educational, professional, community or industry affairs or, with prior written approval of the Board in accordance with the Company’s Corporate Governance Guidelines, serving on the board of directors or advisory boards of other companies. If at any time service on any board of directors or advisory board would, in the good faith judgment of the Board, conflict with your fiduciary duty to the Company or create any appearance thereof, you shall, as soon as reasonably practicable considering any fiduciary duty to the other entity, resign from such other board of directors or advisory board after written notice of the conflict is received from the Board. Service on the boards of directors or advisory boards disclosed by you to the Company on which you are serving as of the Effective Date are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 Reimbursement</w:t>
      </w:r>
      <w:r>
        <w:rPr>
          <w:rFonts w:ascii="Times New Roman;Times;Serif" w:hAnsi="Times New Roman;Times;Serif"/>
          <w:b w:val="false"/>
          <w:i w:val="false"/>
          <w:caps w:val="false"/>
          <w:smallCaps w:val="false"/>
          <w:sz w:val="20"/>
        </w:rPr>
        <w:t>. We will reimburse you for all approved business expenditures including travel costs incurred by you pursuant to the terms of the Company travel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At-Will Employment.</w:t>
      </w:r>
      <w:r>
        <w:rPr>
          <w:rFonts w:ascii="Times New Roman;Times;Serif" w:hAnsi="Times New Roman;Times;Serif"/>
          <w:b w:val="false"/>
          <w:i w:val="false"/>
          <w:caps w:val="false"/>
          <w:smallCaps w:val="false"/>
          <w:sz w:val="20"/>
        </w:rPr>
        <w:t xml:space="preserve"> Please note that you are not being offered employment for a definite period of time, and that either you or the Company may terminate your employment at any time for any reason, with or without cause or notice, except as prohibited by law. Nothing in this Amended and Restatement Employment Agreement should be interpreted as creating anything other than an at-will employment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Business Protection Agreement.</w:t>
      </w:r>
      <w:r>
        <w:rPr>
          <w:rFonts w:ascii="Times New Roman;Times;Serif" w:hAnsi="Times New Roman;Times;Serif"/>
          <w:b w:val="false"/>
          <w:i w:val="false"/>
          <w:caps w:val="false"/>
          <w:smallCaps w:val="false"/>
          <w:sz w:val="20"/>
        </w:rPr>
        <w:t xml:space="preserve"> The Company considers the protection of its confidential information, proprietary materials and goodwill to be extremely important. The Business Protection Agreement you executed on March 5, 2024, and as attached hereto as </w:t>
      </w:r>
      <w:r>
        <w:rPr>
          <w:rFonts w:ascii="Times New Roman;Times;Serif" w:hAnsi="Times New Roman;Times;Serif"/>
          <w:b/>
          <w:i w:val="false"/>
          <w:caps w:val="false"/>
          <w:smallCaps w:val="false"/>
          <w:sz w:val="20"/>
          <w:u w:val="single"/>
        </w:rPr>
        <w:t>Exhibit D</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Certifications.</w:t>
      </w:r>
      <w:r>
        <w:rPr>
          <w:rFonts w:ascii="Times New Roman;Times;Serif" w:hAnsi="Times New Roman;Times;Serif"/>
          <w:b w:val="false"/>
          <w:i w:val="false"/>
          <w:caps w:val="false"/>
          <w:smallCaps w:val="false"/>
          <w:sz w:val="20"/>
        </w:rPr>
        <w:t xml:space="preserve"> 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a condition of your employment, you certify and reaffirm that you will not disclose to or use for the benefit of the Company any trade secret or confidential or proprietary information of any previous employer. You further certify and reaffirm that you have not divulged or used any such information for the benefit of the Company, and that you have not and will not misappropriate any such information from any former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Amended and Restatement Employment Agreement and your signed Business Protection Agreement, states the terms of your employment and supersedes and cancels any prior oral or written representations, offers or promises made by the Company and any understandings or agreements, whether written or oral, between the Company and you, including but not limited to the employment offer made to you on February 12, 2016, as amended on March 10, 2020, September 24, 2020, October 15, 2021, and March 8, 2023 (the “Original Febbo Employment Agreement”). Upon execution of this Amended and Restatement Employment Agreement, the Original Febbo Employment Agreement shall terminate in its entirety and the terms set forth therein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do not hesitate to call me to discuss. Please sign and date below and return one copy of this letter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best regards,</w:t>
      </w:r>
    </w:p>
    <w:p>
      <w:pPr>
        <w:pStyle w:val="TextBody"/>
        <w:bidi w:val="0"/>
        <w:spacing w:before="0" w:after="0"/>
        <w:ind w:left="0" w:right="0" w:hanging="0"/>
        <w:jc w:val="both"/>
        <w:rPr>
          <w:caps w:val="false"/>
          <w:smallCaps w:val="false"/>
        </w:rPr>
      </w:pPr>
      <w:r>
        <w:rPr>
          <w:caps w:val="false"/>
          <w:smallCaps w:val="false"/>
        </w:rPr>
        <w:t> </w:t>
      </w:r>
    </w:p>
    <w:tbl>
      <w:tblPr>
        <w:tblW w:w="3785" w:type="dxa"/>
        <w:jc w:val="left"/>
        <w:tblInd w:w="0" w:type="dxa"/>
        <w:tblLayout w:type="fixed"/>
        <w:tblCellMar>
          <w:top w:w="0" w:type="dxa"/>
          <w:left w:w="0" w:type="dxa"/>
          <w:bottom w:w="28" w:type="dxa"/>
          <w:right w:w="0" w:type="dxa"/>
        </w:tblCellMar>
      </w:tblPr>
      <w:tblGrid>
        <w:gridCol w:w="3710"/>
        <w:gridCol w:w="75"/>
      </w:tblGrid>
      <w:tr>
        <w:trPr/>
        <w:tc>
          <w:tcPr>
            <w:tcW w:w="371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Marion Odence-Ford</w:t>
            </w:r>
          </w:p>
        </w:tc>
        <w:tc>
          <w:tcPr>
            <w:tcW w:w="75"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Marion Odence-Ford</w:t>
            </w:r>
          </w:p>
        </w:tc>
        <w:tc>
          <w:tcPr>
            <w:tcW w:w="75"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Chief Compliance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28" w:type="dxa"/>
          <w:right w:w="0" w:type="dxa"/>
        </w:tblCellMar>
      </w:tblPr>
      <w:tblGrid>
        <w:gridCol w:w="1655"/>
        <w:gridCol w:w="60"/>
        <w:gridCol w:w="1220"/>
      </w:tblGrid>
      <w:tr>
        <w:trPr/>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J. Febbo</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Printed Name</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6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J. Febbo</w:t>
            </w:r>
          </w:p>
        </w:tc>
        <w:tc>
          <w:tcPr>
            <w:tcW w:w="60" w:type="dxa"/>
            <w:tcBorders/>
            <w:tcMar>
              <w:bottom w:w="0" w:type="dxa"/>
            </w:tcMar>
            <w:vAlign w:val="center"/>
          </w:tcPr>
          <w:p>
            <w:pPr>
              <w:pStyle w:val="TableContents"/>
              <w:bidi w:val="0"/>
              <w:spacing w:before="0" w:after="283"/>
              <w:jc w:val="center"/>
              <w:rPr/>
            </w:pPr>
            <w:r>
              <w:rPr/>
              <w:t> </w:t>
            </w:r>
          </w:p>
        </w:tc>
        <w:tc>
          <w:tcPr>
            <w:tcW w:w="122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12, 2024</w:t>
            </w:r>
          </w:p>
        </w:tc>
      </w:tr>
      <w:tr>
        <w:trPr/>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Forms of Award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Executive Severance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Febbo Business Protection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0384801ex10-27_optimize.htm"/>
      <w:bookmarkStart w:id="40" w:name="ksea020384801ex1027_optimize"/>
      <w:bookmarkEnd w:id="39"/>
      <w:bookmarkEnd w:id="40"/>
      <w:r>
        <w:rPr>
          <w:rFonts w:ascii="Times New Roman;Times;Serif" w:hAnsi="Times New Roman;Times;Serif"/>
          <w:b/>
          <w:i w:val="false"/>
          <w:caps w:val="false"/>
          <w:smallCaps w:val="false"/>
          <w:sz w:val="20"/>
        </w:rPr>
        <w:t>Exhibit 10.27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0515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3105150" cy="723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Silvestro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Fletcher Lane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Hollis, NH 03049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Steve,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OptimizeRx Corporation (the “Company”), we are excited to make this amended and restated employment offer to you for the full-time, exempt position of President (this “Amended and Restatement Employment Agreement”), effective upon execution of this Amended and Restatement Employment Agreement (the “Effective Date”). For purposes of determining employment tenure, April 29, 2019 shall be recognized as your start date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You will be entitled to receive an annual base salary of $400,000.00 at the rate of $16,666.66 per semi-monthly pay period, representing payment for all hours worked, with such increases (but no decreases, unless mutually agreed) as may be determined by the Compensation Committee of the Company’s Board of Directors (the “Compensation Committee”) from time to time (as increased from time to time, the “Base Salary”). Your Base Salary is payable in accordance with the Company’s regular payroll practices and subject to customary and required withholdings and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In addition to the Base Salary, you will be eligible to receive annual cash bonuses under the Company’s 2022 Cash Bonus Plan and/or any other cash incentive plan maintained by the Company (such plan, the “Bonus Plan”), as determined by the Compensation Committee in its sole discretion within the parameters, and subject to the terms and conditions, of the Bonus Plan, with a target bonus of 60% of your Base Salary. Any bonus payments paid to you is entirely at the discretion of the Compensation Committee and will be subject to the Company’s and your personal performance achievements and to customary tax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Equity.</w:t>
      </w:r>
      <w:r>
        <w:rPr>
          <w:rFonts w:ascii="Times New Roman;Times;Serif" w:hAnsi="Times New Roman;Times;Serif"/>
          <w:b w:val="false"/>
          <w:i w:val="false"/>
          <w:caps w:val="false"/>
          <w:smallCaps w:val="false"/>
          <w:sz w:val="20"/>
        </w:rPr>
        <w:t xml:space="preserve"> Following the Effective Date, you may receive grants of equity awards under the Company’s 2021 Equity Incentive Plan and/or any other equity-related incentive plan maintained by the Company (such plan, the “Equity Plan”), as determined by the Compensation Committee in its sole discretion within the parameters, and subject to the terms and conditions, of the Equity Plan. The treatment of any equity awards held by you under the Equity Plan in connection with the termination of your employment shall be determined under the Equity Plan and/or award agreement relating to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the applicable award agreements in substantially similar forms to those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and the Options for the awards shall be at an exercise price equal to the fair market value of the underlying common stock as determined by the closing trading price of the Company’s common stock on the Nasdaq Stock Exchange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Compensation</w:t>
      </w:r>
      <w:r>
        <w:rPr>
          <w:rFonts w:ascii="Times New Roman;Times;Serif" w:hAnsi="Times New Roman;Times;Serif"/>
          <w:b w:val="false"/>
          <w:i w:val="false"/>
          <w:caps w:val="false"/>
          <w:smallCaps w:val="false"/>
          <w:sz w:val="20"/>
        </w:rPr>
        <w:t>. You shall be eligible to receive such other compensation as may from time to time be awarded to you by the Compensation Committee,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If you undergo a Covered Termination as defined by the Company’s 2023 Executive Severance Plan (the “Severance Plan”), as amended, and attached hereto as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xml:space="preserve"> In addition to your compensation, you will continue to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Our 401k plan includes a company match of up to 4%, based on individual contribution. You will also be eligible to participate in our flexible Paid Time Off (PTO) policy. Please note that the Company reserves the right to change or discontinue any of our benefits, plans, providers, and policies,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Job Responsibilities</w:t>
      </w:r>
      <w:r>
        <w:rPr>
          <w:rFonts w:ascii="Times New Roman;Times;Serif" w:hAnsi="Times New Roman;Times;Serif"/>
          <w:b w:val="false"/>
          <w:i w:val="false"/>
          <w:caps w:val="false"/>
          <w:smallCaps w:val="false"/>
          <w:sz w:val="20"/>
        </w:rPr>
        <w:t xml:space="preserve">. As President, your responsibilities are outlined in the job description attached hereto as </w:t>
      </w:r>
      <w:r>
        <w:rPr>
          <w:rFonts w:ascii="Times New Roman;Times;Serif" w:hAnsi="Times New Roman;Times;Serif"/>
          <w:b/>
          <w:i w:val="false"/>
          <w:caps w:val="false"/>
          <w:smallCaps w:val="false"/>
          <w:sz w:val="20"/>
          <w:u w:val="single"/>
        </w:rPr>
        <w:t>Exhibit D</w:t>
      </w:r>
      <w:r>
        <w:rPr>
          <w:rFonts w:ascii="Times New Roman;Times;Serif" w:hAnsi="Times New Roman;Times;Serif"/>
          <w:b w:val="false"/>
          <w:i w:val="false"/>
          <w:caps w:val="false"/>
          <w:smallCaps w:val="false"/>
          <w:sz w:val="20"/>
        </w:rPr>
        <w:t xml:space="preserve">. You shall </w:t>
      </w:r>
      <w:r>
        <w:rPr>
          <w:rFonts w:ascii="Times New Roman;Times;Serif" w:hAnsi="Times New Roman;Times;Serif"/>
          <w:b w:val="false"/>
          <w:i w:val="false"/>
          <w:caps w:val="false"/>
          <w:smallCaps w:val="false"/>
          <w:sz w:val="20"/>
          <w:shd w:fill="FFFFFF" w:val="clear"/>
        </w:rPr>
        <w:t>devote substantially all of your business time (excluding periods of vacation and other approved leaves of absence) to the performance of your duties with the Company, provided the foregoing shall not prevent you from participating in charitable, civic, educational, professional, community or industry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 Reimbursement</w:t>
      </w:r>
      <w:r>
        <w:rPr>
          <w:rFonts w:ascii="Times New Roman;Times;Serif" w:hAnsi="Times New Roman;Times;Serif"/>
          <w:b w:val="false"/>
          <w:i w:val="false"/>
          <w:caps w:val="false"/>
          <w:smallCaps w:val="false"/>
          <w:sz w:val="20"/>
        </w:rPr>
        <w:t>. We will reimburse you for all approved business expenditures including travel costs incurred by you pursuant to the terms of the Company travel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At-Will Employment.</w:t>
      </w:r>
      <w:r>
        <w:rPr>
          <w:rFonts w:ascii="Times New Roman;Times;Serif" w:hAnsi="Times New Roman;Times;Serif"/>
          <w:b w:val="false"/>
          <w:i w:val="false"/>
          <w:caps w:val="false"/>
          <w:smallCaps w:val="false"/>
          <w:sz w:val="20"/>
        </w:rPr>
        <w:t xml:space="preserve"> Please note that you are not being offered employment for a definite period of time, and that either you or the Company may terminate your employment at any time for any reason, with or without cause or notice, except as prohibited by law. Nothing in this Amended and Restatement Employment Agreement should be interpreted as creating anything other than an at-will employment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Business Protection Agreement.</w:t>
      </w:r>
      <w:r>
        <w:rPr>
          <w:rFonts w:ascii="Times New Roman;Times;Serif" w:hAnsi="Times New Roman;Times;Serif"/>
          <w:b w:val="false"/>
          <w:i w:val="false"/>
          <w:caps w:val="false"/>
          <w:smallCaps w:val="false"/>
          <w:sz w:val="20"/>
        </w:rPr>
        <w:t xml:space="preserve"> The Company considers the protection of its confidential information, proprietary materials and goodwill to be extremely important. The Business Protection Agreement you executed on March 25, 2019, and as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Certifications.</w:t>
      </w:r>
      <w:r>
        <w:rPr>
          <w:rFonts w:ascii="Times New Roman;Times;Serif" w:hAnsi="Times New Roman;Times;Serif"/>
          <w:b w:val="false"/>
          <w:i w:val="false"/>
          <w:caps w:val="false"/>
          <w:smallCaps w:val="false"/>
          <w:sz w:val="20"/>
        </w:rPr>
        <w:t xml:space="preserve"> 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a condition of your employment, you certify and reaffirm that you will not disclose to or use for the benefit of the Company any trade secret or confidential or proprietary information of any previous employer. You further certify and reaffirm that you have not divulged or used any such information for the benefit of the Company, and that you have not and will not misappropriate any such information from any former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Amended and Restatement Employment Agreement and your signed Business Protection Agreement, states the terms of your employment and supersedes and cancels any prior oral or written representations, offers or promises made by the Company and any understandings or agreements, whether written or oral, between the Company and you, including the employment offer made to you on March 18, 2019, as amended on March 10, 2020 and February 28, 2022 (the “Original Silvestro Employment Agreement”). Upon execution of this Amended and Restatement Employment Agreement, the Original Silvestro Employment Agreement shall terminate and the terms set forth therein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do not hesitate to call me to discuss. Please sign and date below and return one copy of this letter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best regards,</w:t>
      </w:r>
    </w:p>
    <w:p>
      <w:pPr>
        <w:pStyle w:val="TextBody"/>
        <w:bidi w:val="0"/>
        <w:spacing w:before="0" w:after="0"/>
        <w:ind w:left="0" w:right="0" w:hanging="0"/>
        <w:jc w:val="both"/>
        <w:rPr>
          <w:caps w:val="false"/>
          <w:smallCaps w:val="false"/>
        </w:rPr>
      </w:pPr>
      <w:r>
        <w:rPr>
          <w:caps w:val="false"/>
          <w:smallCaps w:val="false"/>
        </w:rPr>
        <w:t> </w:t>
      </w:r>
    </w:p>
    <w:tbl>
      <w:tblPr>
        <w:tblW w:w="3785" w:type="dxa"/>
        <w:jc w:val="left"/>
        <w:tblInd w:w="0" w:type="dxa"/>
        <w:tblLayout w:type="fixed"/>
        <w:tblCellMar>
          <w:top w:w="0" w:type="dxa"/>
          <w:left w:w="0" w:type="dxa"/>
          <w:bottom w:w="28" w:type="dxa"/>
          <w:right w:w="0" w:type="dxa"/>
        </w:tblCellMar>
      </w:tblPr>
      <w:tblGrid>
        <w:gridCol w:w="3710"/>
        <w:gridCol w:w="75"/>
      </w:tblGrid>
      <w:tr>
        <w:trPr/>
        <w:tc>
          <w:tcPr>
            <w:tcW w:w="3710"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/s/Marion Odence-Ford</w:t>
            </w:r>
          </w:p>
        </w:tc>
        <w:tc>
          <w:tcPr>
            <w:tcW w:w="75" w:type="dxa"/>
            <w:tcBorders/>
            <w:tcMar>
              <w:bottom w:w="0" w:type="dxa"/>
            </w:tcMar>
            <w:vAlign w:val="center"/>
          </w:tcPr>
          <w:p>
            <w:pPr>
              <w:pStyle w:val="TableContents"/>
              <w:bidi w:val="0"/>
              <w:spacing w:before="0" w:after="283"/>
              <w:jc w:val="both"/>
              <w:rPr/>
            </w:pPr>
            <w:r>
              <w:rPr/>
              <w:t> </w:t>
            </w:r>
          </w:p>
        </w:tc>
      </w:tr>
      <w:tr>
        <w:trPr/>
        <w:tc>
          <w:tcPr>
            <w:tcW w:w="37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Marion Odence-Ford</w:t>
            </w:r>
          </w:p>
        </w:tc>
        <w:tc>
          <w:tcPr>
            <w:tcW w:w="75" w:type="dxa"/>
            <w:tcBorders/>
            <w:tcMar>
              <w:bottom w:w="0" w:type="dxa"/>
            </w:tcMar>
            <w:vAlign w:val="center"/>
          </w:tcPr>
          <w:p>
            <w:pPr>
              <w:pStyle w:val="TableContents"/>
              <w:bidi w:val="0"/>
              <w:spacing w:before="0" w:after="283"/>
              <w:jc w:val="both"/>
              <w:rPr/>
            </w:pPr>
            <w:r>
              <w:rPr/>
              <w:t> </w:t>
            </w:r>
          </w:p>
        </w:tc>
      </w:tr>
      <w:tr>
        <w:trPr/>
        <w:tc>
          <w:tcPr>
            <w:tcW w:w="3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Chief Compliance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28" w:type="dxa"/>
          <w:right w:w="0" w:type="dxa"/>
        </w:tblCellMar>
      </w:tblPr>
      <w:tblGrid>
        <w:gridCol w:w="1700"/>
        <w:gridCol w:w="60"/>
        <w:gridCol w:w="1220"/>
      </w:tblGrid>
      <w:tr>
        <w:trPr/>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Silvestro</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Printed Name</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7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r>
      <w:tr>
        <w:trPr/>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Stephen Silvestro</w:t>
            </w:r>
          </w:p>
        </w:tc>
        <w:tc>
          <w:tcPr>
            <w:tcW w:w="60" w:type="dxa"/>
            <w:tcBorders/>
            <w:tcMar>
              <w:bottom w:w="0" w:type="dxa"/>
            </w:tcMar>
            <w:vAlign w:val="center"/>
          </w:tcPr>
          <w:p>
            <w:pPr>
              <w:pStyle w:val="TableContents"/>
              <w:bidi w:val="0"/>
              <w:spacing w:before="0" w:after="283"/>
              <w:jc w:val="center"/>
              <w:rPr/>
            </w:pPr>
            <w:r>
              <w:rPr/>
              <w:t> </w:t>
            </w:r>
          </w:p>
        </w:tc>
        <w:tc>
          <w:tcPr>
            <w:tcW w:w="122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12, 2024</w:t>
            </w:r>
          </w:p>
        </w:tc>
      </w:tr>
      <w:tr>
        <w:trPr/>
        <w:tc>
          <w:tcPr>
            <w:tcW w:w="17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Forms of Award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Executive Severance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Job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Silvestro Business Protection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1" w:name="ea020384801ex10-28_optimize.htm"/>
      <w:bookmarkStart w:id="42" w:name="ksea020384801ex1028_optimize"/>
      <w:bookmarkEnd w:id="41"/>
      <w:bookmarkEnd w:id="42"/>
      <w:r>
        <w:rPr>
          <w:rFonts w:ascii="Times New Roman;Times;Serif" w:hAnsi="Times New Roman;Times;Serif"/>
          <w:b/>
          <w:i w:val="false"/>
          <w:caps w:val="false"/>
          <w:smallCaps w:val="false"/>
          <w:sz w:val="20"/>
        </w:rPr>
        <w:t>Exhibit 10.28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br/>
        <w:t>EXECUTIVE SEVERANCE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Document/Summary Plan Description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adopted this OptimizeRx Corporation Executive Severance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for the benefit of certain employees of the Company and its subsidiaries (hereinafter referred to as the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on the terms and conditions hereinafter stated, effective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intended to be an “employee pension benefit plan” or “pension plan” within the meaning of Section 3(2) of ERISA.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This document serves as both the plan document as required under Section 402 of ERISA as well as a summary plan description as required under Section 104(b)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Capitalized terms used in this Plan shall have the meanings ascribed to such terms in Appendix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Eligibility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under the Plan, each Participant is eligible to receive severance pay and severance benefits under the Plan if such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remains in the employ of the Employer through the date of a Covered Termination, death or Disability;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fulfills the normal responsibilities of such Participant’s position, including, but not limited to, meeting regular attendance, specific transitional activities, workload and other standards of the Employer,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executes and does not revoke the Release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complies with and, during the term of the Severance Period (and in some instances, for some period following the expiration of the Severance Period in accordance with the terms of the BPA), remains compliant with, all the terms of such BPA.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Payments on Covered Termination</w:t>
      </w:r>
      <w:r>
        <w:rPr>
          <w:rFonts w:ascii="Times New Roman;Times;Serif" w:hAnsi="Times New Roman;Times;Serif"/>
          <w:b w:val="false"/>
          <w:i w:val="false"/>
          <w:caps w:val="false"/>
          <w:smallCaps w:val="false"/>
          <w:sz w:val="20"/>
        </w:rPr>
        <w:t xml:space="preserve">. If a Participant designated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hereto undergoes a Covered Termination, in addition to any Accrued Obligations,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payments and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Target Bonus, which will be payable to the Participant in a lump sum within 60 days following the date of termination,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the applicable Cash Severance Amount set forth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payable in substantially equal installments as continuous pay in accordance with the Company’s payroll practices as in effect from time to time over the applicable number of months set forth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commencing on the 60th day following the date of termination,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first such payment shall include all amounts that would have been paid to the Participant in accordance with the Company’s payroll practices if such payments had begun on the date of the Participant’s Covered Termination; and (B) the COBRA Payment, payable in monthly installments during the Subsidized COBRA Period (or apply such amount to the payment of such continuation coverage), commencing on the 60th day following the date of termination,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first such payment shall include all amounts that would have been paid or provided to Participant in accordance with the Company’s payroll practices if such payments had begun on the date of the Participant’s Covered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Payments on Change in Control Covered Termination</w:t>
      </w:r>
      <w:r>
        <w:rPr>
          <w:rFonts w:ascii="Times New Roman;Times;Serif" w:hAnsi="Times New Roman;Times;Serif"/>
          <w:b w:val="false"/>
          <w:i w:val="false"/>
          <w:caps w:val="false"/>
          <w:smallCaps w:val="false"/>
          <w:sz w:val="20"/>
        </w:rPr>
        <w:t xml:space="preserve">. If a Participant undergoes a Change in Control Covered Termination,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 in addition to the payments and benefits set forth in Section 3(a): a lump-sum cash payment equal to the applicable CIC Covered Termination Payment Amount set forth on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xml:space="preserve">, payable within 60 days following the later of (A) the date of the Participant’s Change in Control Covered Termination or (B) the closing date of the applicable Change in Control.For the avoidance of doubt, if a Participant’s name is not set forth on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xml:space="preserve"> hereto, such Participant is ineligible to receive any payments under this Section 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and benefits described under subsections (a) and (b) may be made by the Company or any other member of the Company Group, as determined by the Company in its sole discretion, including, without limitation, the Employer.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 on Death or Disability</w:t>
      </w:r>
      <w:r>
        <w:rPr>
          <w:rFonts w:ascii="Times New Roman;Times;Serif" w:hAnsi="Times New Roman;Times;Serif"/>
          <w:b w:val="false"/>
          <w:i w:val="false"/>
          <w:caps w:val="false"/>
          <w:smallCaps w:val="false"/>
          <w:sz w:val="20"/>
        </w:rPr>
        <w:t xml:space="preserve">. In the event a Participant’s employment with the Employer is terminated due to such Participant’s death or Disability, in addition to any Accrued Obligations, the Participant (or the Participant’s estate, as applicable) shall receive the Target Bonus, payable in a lump sum within 60 days following the date of termination;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in the case of the Participant’s termination due to Disability, the Participant must execute, deliver to the Company, and not revoke the Release Agreement, as contemplated in subsection (e) below, and continue to comply with the BPA during the Severance Period (and in some instances, for some period following the expiration of the Severance Period in accordance with the terms of the BPA).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Termination Events</w:t>
      </w:r>
      <w:r>
        <w:rPr>
          <w:rFonts w:ascii="Times New Roman;Times;Serif" w:hAnsi="Times New Roman;Times;Serif"/>
          <w:b w:val="false"/>
          <w:i w:val="false"/>
          <w:caps w:val="false"/>
          <w:smallCaps w:val="false"/>
          <w:sz w:val="20"/>
        </w:rPr>
        <w:t>. If a Participant’s employment is terminated for any reason other than pursuant to a Covered Termination, death or Disability, such Participant shall not be entitled to the Severance Pay or other benefits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Release Agreement</w:t>
      </w:r>
      <w:r>
        <w:rPr>
          <w:rFonts w:ascii="Times New Roman;Times;Serif" w:hAnsi="Times New Roman;Times;Serif"/>
          <w:b w:val="false"/>
          <w:i w:val="false"/>
          <w:caps w:val="false"/>
          <w:smallCaps w:val="false"/>
          <w:sz w:val="20"/>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or timely revokes his or her acceptance of such release following its execution, such Participant shall not be entitled to Severance Pay or any other benefits under the Plan. Further, to the extent that any of the payments hereunder constitute “nonqualified deferred compensation” for purposes of Section 409A of the Code, any payment of any amount or provision of any benefit otherwise scheduled to occur prior to the 60th day following the date of such Covered Termination, but for the condition of executing the Release Agreement as set forth herein, shall not be made until the first regularly scheduled payroll date following such 60th day, after which any remaining payments shall thereafter be provided to the Participant according to the applicable schedule set forth 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Clawback/Forfeiture</w:t>
      </w:r>
      <w:r>
        <w:rPr>
          <w:rFonts w:ascii="Times New Roman;Times;Serif" w:hAnsi="Times New Roman;Times;Serif"/>
          <w:b w:val="false"/>
          <w:i w:val="false"/>
          <w:caps w:val="false"/>
          <w:smallCaps w:val="false"/>
          <w:sz w:val="20"/>
        </w:rPr>
        <w:t>. Notwithstanding any provision herein to the contrary, the payment of any amount or provision of any benefit pursuant to subsections (a) or (b) above (other than the Accrued Obligations) shall be conditioned upon and subject to the Clawback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Treatment of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outstanding Awards granted to the Participant under (i) the Stock Plan shall vest in accordance with the terms of the Stock Plan and the applicable award agreement, or (ii) the Company’s 2013 Equity Incentive Plan, as amended, shall vest in accordance with the terms of the 2013 Equity Incentive Plan, as amended,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Additional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deductions will be taken for any retirement and savings plan and such plans will not accrue any benefits attributable to payments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Set-Off; Mitigation</w:t>
      </w:r>
      <w:r>
        <w:rPr>
          <w:rFonts w:ascii="Times New Roman;Times;Serif" w:hAnsi="Times New Roman;Times;Serif"/>
          <w:b w:val="false"/>
          <w:i w:val="false"/>
          <w:caps w:val="false"/>
          <w:smallCaps w:val="false"/>
          <w:sz w:val="20"/>
        </w:rPr>
        <w:t>. 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Specified Employees</w:t>
      </w:r>
      <w:r>
        <w:rPr>
          <w:rFonts w:ascii="Times New Roman;Times;Serif" w:hAnsi="Times New Roman;Times;Serif"/>
          <w:b w:val="false"/>
          <w:i w:val="false"/>
          <w:caps w:val="false"/>
          <w:smallCaps w:val="false"/>
          <w:sz w:val="20"/>
        </w:rPr>
        <w:t xml:space="preserve">.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 additional cost to the Company. The Company shall consult with its legal counsel and tax advisors in good faith regarding the implementation of this Section 5(c);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none of the Company any other member of the Company Group, or any of their respective employees or representatives, shall have any liability to the Participant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Termination or Amendment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may be amended, terminated or discontinued in whole or in part, at any time and from time to time at the discretion of the Board or the Committee;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Times New Roman;Times;Serif" w:hAnsi="Times New Roman;Times;Serif"/>
          <w:b w:val="false"/>
          <w:i/>
          <w:caps w:val="false"/>
          <w:smallCaps w:val="false"/>
          <w:sz w:val="20"/>
          <w:u w:val="single"/>
        </w:rPr>
        <w:t>provided further</w:t>
      </w:r>
      <w:r>
        <w:rPr>
          <w:rFonts w:ascii="Times New Roman;Times;Serif" w:hAnsi="Times New Roman;Times;Serif"/>
          <w:b w:val="false"/>
          <w:i w:val="false"/>
          <w:caps w:val="false"/>
          <w:smallCaps w:val="false"/>
          <w:sz w:val="20"/>
        </w:rPr>
        <w:t>, that following (x) the date the Company has entered into an agreement the consummation of which would result in a Change in Control (until such time as the Change in Control occurs or such agreement is terminated) or (y) a Change in Control, the Plan may not be amended, terminated or discontinued in whole or in part, at any time prior to the second anniversary of the date of such Change in Control without the written consent of each affected Participant.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Limitation of Certain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an individual employment agreement, 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(as defined under Section 280G of the Code) is below 300% of such Participant’s “base amount” (as defined under Section 280G of the Code), and by accepting participation in the Plan. Notwithstanding the foregoing, no payments or benefits shall be reduced under this Section 7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(A) a reduction shall occur first with respect to amounts that are not “deferred compensation” within the meaning of Section 409A of the Code and then with respect to amounts that are and (B) to the extent that any such amounts are to be made over time (e.g., in installments, etc.), then the amounts shall be reduced in reverse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 to Continued Employment</w:t>
      </w:r>
      <w:r>
        <w:rPr>
          <w:rFonts w:ascii="Times New Roman;Times;Serif" w:hAnsi="Times New Roman;Times;Serif"/>
          <w:b w:val="false"/>
          <w:i w:val="false"/>
          <w:caps w:val="false"/>
          <w:smallCaps w:val="false"/>
          <w:sz w:val="20"/>
        </w:rPr>
        <w:t>. Nothing contained in the Plan shall confer upon any Participant any right to continue in the employ of any member of the Company Group nor interfere in any way with the right of the Company Group to terminate his or her employment, with or without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Not Funded</w:t>
      </w:r>
      <w:r>
        <w:rPr>
          <w:rFonts w:ascii="Times New Roman;Times;Serif" w:hAnsi="Times New Roman;Times;Serif"/>
          <w:b w:val="false"/>
          <w:i w:val="false"/>
          <w:caps w:val="false"/>
          <w:smallCaps w:val="false"/>
          <w:sz w:val="20"/>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Non-Transferability of Benefits and Interests</w:t>
      </w:r>
      <w:r>
        <w:rPr>
          <w:rFonts w:ascii="Times New Roman;Times;Serif" w:hAnsi="Times New Roman;Times;Serif"/>
          <w:b w:val="false"/>
          <w:i w:val="false"/>
          <w:caps w:val="false"/>
          <w:smallCaps w:val="false"/>
          <w:sz w:val="20"/>
        </w:rPr>
        <w:t>. All amounts payable under the Plan are non-transferable, and no amount payable under the Plan shall be subject in any manner to sale, transfer, anticipation, alienation, assignment, pledge, encumbrance or charge. This Section 9(c)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Discretion of Company, Board and Committee</w:t>
      </w:r>
      <w:r>
        <w:rPr>
          <w:rFonts w:ascii="Times New Roman;Times;Serif" w:hAnsi="Times New Roman;Times;Serif"/>
          <w:b w:val="false"/>
          <w:i w:val="false"/>
          <w:caps w:val="false"/>
          <w:smallCaps w:val="false"/>
          <w:sz w:val="20"/>
        </w:rPr>
        <w:t>. Any decision made or action taken by, or inaction of, the Company, the Board, or the Committee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Neither the Board nor the Committee, nor any employee of the Company, nor any Person acting at the direction thereof (each such Person an “</w:t>
      </w:r>
      <w:r>
        <w:rPr>
          <w:rFonts w:ascii="Times New Roman;Times;Serif" w:hAnsi="Times New Roman;Times;Serif"/>
          <w:b w:val="false"/>
          <w:i w:val="false"/>
          <w:caps w:val="false"/>
          <w:smallCaps w:val="false"/>
          <w:sz w:val="20"/>
          <w:u w:val="single"/>
        </w:rPr>
        <w:t>Affected Person</w:t>
      </w:r>
      <w:r>
        <w:rPr>
          <w:rFonts w:ascii="Times New Roman;Times;Serif" w:hAnsi="Times New Roman;Times;Serif"/>
          <w:b w:val="false"/>
          <w:i w:val="false"/>
          <w:caps w:val="false"/>
          <w:smallCaps w:val="false"/>
          <w:sz w:val="20"/>
        </w:rPr>
        <w:t xml:space="preserve">”),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For purposes of the application of Section 409A of the Code, each payment in a series of payments under this Plan will be deemed a separate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Duplication; Treatment of Other Severance Arrangements</w:t>
      </w:r>
      <w:r>
        <w:rPr>
          <w:rFonts w:ascii="Times New Roman;Times;Serif" w:hAnsi="Times New Roman;Times;Serif"/>
          <w:b w:val="false"/>
          <w:i w:val="false"/>
          <w:caps w:val="false"/>
          <w:smallCaps w:val="false"/>
          <w:sz w:val="20"/>
        </w:rPr>
        <w:t xml:space="preserve">. In no event shall any Participant receive the severance benefits provided for herein in addition to severance benefits provided for under any Other Severance Arrangement;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if such Participant is covered by any Other Severance Arrangement, such Participant shall only be entitled to receive the greater of (x) the payments and benefits set forth in this Plan and (y) the payments and benefits set forth in, and subject to the terms, conditions and restrictions of, the Other Severance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pertaining to the construction, regulation, validity and effect of the provisions of the Plan shall be determined in accordance with the laws of the State of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Charles Street, Suite 302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General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The Plan shall inure to the benefit of and be binding upon the Company and its successors.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entity which, at the time of reference, directly, or indirectly through one or more intermediaries, controls,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Bonus Program</w:t>
      </w:r>
      <w:r>
        <w:rPr>
          <w:rFonts w:ascii="Times New Roman;Times;Serif" w:hAnsi="Times New Roman;Times;Serif"/>
          <w:b w:val="false"/>
          <w:i w:val="false"/>
          <w:caps w:val="false"/>
          <w:smallCaps w:val="false"/>
          <w:sz w:val="20"/>
        </w:rPr>
        <w:t>” means the annual cash incentive bonus program in which the Participant participates as of the date of such Participant’s Covered Termination,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Anticipatory Termination</w:t>
      </w:r>
      <w:r>
        <w:rPr>
          <w:rFonts w:ascii="Times New Roman;Times;Serif" w:hAnsi="Times New Roman;Times;Serif"/>
          <w:b w:val="false"/>
          <w:i w:val="false"/>
          <w:caps w:val="false"/>
          <w:smallCaps w:val="false"/>
          <w:sz w:val="20"/>
        </w:rPr>
        <w:t xml:space="preserve">” means a Covered Termination occurring within the three months prior to the occurrence of a Change in Control;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it is reasonably demonstrated that such termination (A) was at the request of a third party who has taken steps reasonably calculated or intended to effect the Change in Control (and such transaction is actually consummated) or (B) otherwise arose in connection with or in anticipation of the Change in Control (and such transaction is actually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means a Change in Control resulting from the consummation of a sale or other disposition of all or substantially all of the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has the meaning set forth in the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means the Participant’s then current annual base salary rate immediately prior to his or her Covered Termination (or, if higher, the annual base salary immediately prior to an event that constitutes Good Reason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Business Protection Agreement</w:t>
      </w:r>
      <w:r>
        <w:rPr>
          <w:rFonts w:ascii="Times New Roman;Times;Serif" w:hAnsi="Times New Roman;Times;Serif"/>
          <w:b w:val="false"/>
          <w:i w:val="false"/>
          <w:caps w:val="false"/>
          <w:smallCaps w:val="false"/>
          <w:sz w:val="20"/>
        </w:rPr>
        <w:t xml:space="preserve">” or “BPA” shall mean the Business Protection Agreement executed by Participant, as may be updated or amended from time to time to reflect changes in law and/or differences in applicable state law. BPA shall mean the agreement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may be updated or amended from time to time to reflect changes in law and/or differences in applicable state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Severance Amount</w:t>
      </w:r>
      <w:r>
        <w:rPr>
          <w:rFonts w:ascii="Times New Roman;Times;Serif" w:hAnsi="Times New Roman;Times;Serif"/>
          <w:b w:val="false"/>
          <w:i w:val="false"/>
          <w:caps w:val="false"/>
          <w:smallCaps w:val="false"/>
          <w:sz w:val="20"/>
        </w:rPr>
        <w:t xml:space="preserve">” means, with respect to any Participant, the “Cash Severance Amount,” as set forth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as attached hereto,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the occurrence of any of the following as determined by the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Participant’s conviction of, or plea of guilty or </w:t>
      </w:r>
      <w:r>
        <w:rPr>
          <w:rFonts w:ascii="Times New Roman;Times;Serif" w:hAnsi="Times New Roman;Times;Serif"/>
          <w:b w:val="false"/>
          <w:i/>
          <w:caps w:val="false"/>
          <w:smallCaps w:val="false"/>
          <w:sz w:val="20"/>
        </w:rPr>
        <w:t xml:space="preserve">nolo contendere </w:t>
      </w:r>
      <w:r>
        <w:rPr>
          <w:rFonts w:ascii="Times New Roman;Times;Serif" w:hAnsi="Times New Roman;Times;Serif"/>
          <w:b w:val="false"/>
          <w:i w:val="false"/>
          <w:caps w:val="false"/>
          <w:smallCaps w:val="false"/>
          <w:sz w:val="20"/>
        </w:rPr>
        <w:t>to, (1) a felony under federal law or the law of the state in which such action occurred or (2) any other crime involving moral turpitude;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Participant’s willful and continued failure to perform the Participant’s employment duties (other than any such failure resulting from the Participant’s incapacity due to a Disability);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Company shall have provided the Participant with written notice that such actions are occurring and, where practical, the Participant has been afforded at least 15 days to cure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Participant’s willfully engaging in misconduct in the performance of the Participant’s duties for the Employer (including, but not limited to, theft, fraud, embezzlement and securities law violations, a violation of the Company’s “Code of Ethics and Business Conduct” or other written policies, or a material breach of the Business Protection Agreement or any other restrictive covenants to which the Participant is subject) that is materially injurious to the Company, or, in the good faith determination of the Committee, is potentially materially injurious to the Company, monetarily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1(j), no act, or failure to act, on the part of the Participant shall be considered “willful,” unless done, or omitted to be done, by the Participant in bad faith and without a reasonable belief that the Participant’s action or omission was in, or not opposed to, the best interests of the Company (including reputationally). Prior to any termination for Cause, the Participant will be given five business days written notice specifying the alleged Cause event. After providing the notice in foregoing sentence, the Board or the Chief Executive Officer of the Company may suspend the Participant with full pay and benefits until a final determination has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has the meaning set forth in the Stock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Change in Control Covered Termination</w:t>
      </w:r>
      <w:r>
        <w:rPr>
          <w:rFonts w:ascii="Times New Roman;Times;Serif" w:hAnsi="Times New Roman;Times;Serif"/>
          <w:b w:val="false"/>
          <w:i w:val="false"/>
          <w:caps w:val="false"/>
          <w:smallCaps w:val="false"/>
          <w:sz w:val="20"/>
        </w:rPr>
        <w:t>” means a (i) a Covered Termination occurring during the two-year period commencing on the date of a Change in Control or (ii) an Anticipatory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CIC Covered Termination Payment Amount</w:t>
      </w:r>
      <w:r>
        <w:rPr>
          <w:rFonts w:ascii="Times New Roman;Times;Serif" w:hAnsi="Times New Roman;Times;Serif"/>
          <w:b w:val="false"/>
          <w:i w:val="false"/>
          <w:caps w:val="false"/>
          <w:smallCaps w:val="false"/>
          <w:sz w:val="20"/>
        </w:rPr>
        <w:t>” means, with respect to any Participant, the “</w:t>
      </w:r>
      <w:r>
        <w:rPr>
          <w:rFonts w:ascii="Times New Roman;Times;Serif" w:hAnsi="Times New Roman;Times;Serif"/>
          <w:b w:val="false"/>
          <w:i w:val="false"/>
          <w:caps w:val="false"/>
          <w:smallCaps w:val="false"/>
          <w:sz w:val="20"/>
          <w:u w:val="single"/>
        </w:rPr>
        <w:t>CIC Covered Termination Payment Amount</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as attached hereto, as applicable.(o)</w:t>
        <w:tab/>
        <w:t>“</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means any clawback, forfeiture or other similar policy adopted by the Board or the Committee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COBRA Payment</w:t>
      </w:r>
      <w:r>
        <w:rPr>
          <w:rFonts w:ascii="Times New Roman;Times;Serif" w:hAnsi="Times New Roman;Times;Serif"/>
          <w:b w:val="false"/>
          <w:i w:val="false"/>
          <w:caps w:val="false"/>
          <w:smallCaps w:val="false"/>
          <w:sz w:val="20"/>
        </w:rPr>
        <w:t xml:space="preserve">” means, provided the Participant validly elects continuation coverage under COBRA or similar state law for the Participant, his spouse and/or dependents, an amount equal to the monthly COBRA premium for continued health insurance coverage payable in monthly installments over the number of months in the Subsidized COBRA Period set forth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as attached hereto,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and the rules, regulations or other interpretative guidance promulgated thereunder, as well as any successor laws in replacement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Covered Termination</w:t>
      </w:r>
      <w:r>
        <w:rPr>
          <w:rFonts w:ascii="Times New Roman;Times;Serif" w:hAnsi="Times New Roman;Times;Serif"/>
          <w:b w:val="false"/>
          <w:i w:val="false"/>
          <w:caps w:val="false"/>
          <w:smallCaps w:val="false"/>
          <w:sz w:val="20"/>
        </w:rPr>
        <w:t xml:space="preserve">” means a Participant’s termination of employment with the Employer by the Employer without Cause or by the Participant for Good Reason;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no such termination shall be considered a Covered Termination if such Participant’s employment with the Employer is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solely by reason of a transfer to the employ of another member of the Company Group;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expiration of a leave of absence by reason of his or her failure to return to work at such time unless, at such time, there is not an available position for which such Participant is qualified;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connection with an Asset Sale if either (A) in connection with such Asset Sale such Participant was offered employment with the purchaser or an Affiliate thereof in an Asset Sale (I) within a 25-mile radius of such Participant’s current work site for a comparable position and (II) with the same or greater Base Salary, and with comparable annual bonus and equity compensation opportunity, and the Participant fails to accept such employment offer, or (B) notwithstanding the comparable terms and conditions of employment being available within a 25-mile radius, such Participant voluntarily elected not to participate in the selection process for employment with the purchaser or an Affiliate thereof in an Asset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a Participant’s substantial inability to perform Participant’s duties due to partial or total disability or incapacity resulting from a mental or physical illness, injury or other health-related cause for a period of 90 consecutive days or 180 non-consecutive days in any 12 months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March 8, 2023, as amended on March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Eligible Employee</w:t>
      </w:r>
      <w:r>
        <w:rPr>
          <w:rFonts w:ascii="Times New Roman;Times;Serif" w:hAnsi="Times New Roman;Times;Serif"/>
          <w:b w:val="false"/>
          <w:i w:val="false"/>
          <w:caps w:val="false"/>
          <w:smallCaps w:val="false"/>
          <w:sz w:val="20"/>
        </w:rPr>
        <w:t>” means each non-union, salaried, full-time employee of the Company Group. Eligible Employees shall, in no event, include: (i) independent contractors, (ii) temporary employees, (iii) individuals treated other than as employees for federal income and employment tax purposes at the time such individual performs services, (iv) employees who are regularly scheduled to work less than 20 hours per week, and (v) individuals who the Company designates as “non-benefits eligible.”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means, with respect to any Participant, the member of the Company Group by which such Participant is employed.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regulations or other interpretive guidance promulgated thereunder, as well as any successor laws in replacement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regulations or other interpretive guidance promulgated thereunder, as well as any successor laws in replacement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the occurrence of any of the following events without the Participant’s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diminution in the Participant’s title, authorities, duties or responsibilities;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reduction in the Participant’s Base Salary, other than a reduction of not more than 15% implemented in connection with an across-the-board reduction affecting all similarly-situated executive employees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assignment to the Participant of duties or responsibilities which are materially inconsistent with any of the Participant’s duties and responsibilities;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failure of any purchaser (or an Affiliate thereof) in an Asset Sale by agreement in writing, to expressly, absolutely and unconditionally assume and agree to perform the Plan, in the same manner and to the same extent that the Company would be required to perform the Plan if no such Asset Sale had taken place;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or within twenty-four (24) months following a Change in Control, (A) a reduction in the Participant’s Base Salary in effect immediately prior to the Change in Control or (B) a material reduction in the sum of (1) the Participant’s Target Bonus for the last completed fiscal year immediately prior to the Change in Control plus (2) the grant date fair value of equity or equity-based awards granted to the Participant under the Stock Plan for the last completed fiscal year immediately prior to the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any of the events described in clauses (i) – (iii) and (v) above shall constitute Good Reason only if the Participant provides the Company (or applicable employer following a Change in Control) with written objection to the event or condition within 90 days following the occurrence thereof, the Company (or applicable employer following a Change in Control) does not reverse or otherwise cure the event or condition within 30 days of receiving that written objection, and the Participant resigns employment within 30 days following the expiration of that cure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Other Severance Arrangements</w:t>
      </w:r>
      <w:r>
        <w:rPr>
          <w:rFonts w:ascii="Times New Roman;Times;Serif" w:hAnsi="Times New Roman;Times;Serif"/>
          <w:b w:val="false"/>
          <w:i w:val="false"/>
          <w:caps w:val="false"/>
          <w:smallCaps w:val="false"/>
          <w:sz w:val="20"/>
        </w:rPr>
        <w:t>” means any plans, policies, guidelines, arrangements, agreements, letters and/or other communication, whether formal or informal, written or oral sponsored by the Company or any of its Affiliates and/or entered into by any representative of the Company or any of its Affiliates that might otherwise provide severance benefits upon a Covered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 Eligible Employee who is designated as a Participant by the Committee, subject to the requirements of Section 2. For purposes hereof, the Committee shall be permitted to (i) designate groups of Eligible Employees by category, job title or other classification it deems appropriate as Participants without the need to identify any individual Participant by name, provided that the Committee may determine in its sole discretion that any one or more Eligible Employees within a designated group shall not be a Participant in the Plan and (ii) delegate to Company management the authority to determine whether specific individuals qualify as Participants within the parameters set forth by the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Release Agreement</w:t>
      </w:r>
      <w:r>
        <w:rPr>
          <w:rFonts w:ascii="Times New Roman;Times;Serif" w:hAnsi="Times New Roman;Times;Serif"/>
          <w:b w:val="false"/>
          <w:i w:val="false"/>
          <w:caps w:val="false"/>
          <w:smallCaps w:val="false"/>
          <w:sz w:val="20"/>
        </w:rPr>
        <w:t>” means a release and/or waiver of claims in the form customarily provided by the Company Group to terminated employees, pursuant to which a Participant may be required to (i) acknowledge the receipt of the severance payment and other benefits, and (ii) release the Company and its Affiliates (including the Employer and its Affiliates) and other Persons designated by the Company from any and all claims and liabilities, whether known or unknown, or suspected or unsuspected, from the beginning of time until Participant’s execution of the Release Agreement, including without limitation, those arising from his or her employment or termination thereof (other than with respect to the Participant’s rights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means the Cash Severance Amount set forth on </w:t>
      </w:r>
      <w:r>
        <w:rPr>
          <w:rFonts w:ascii="Times New Roman;Times;Serif" w:hAnsi="Times New Roman;Times;Serif"/>
          <w:b w:val="false"/>
          <w:i w:val="false"/>
          <w:caps w:val="false"/>
          <w:smallCaps w:val="false"/>
          <w:sz w:val="20"/>
          <w:u w:val="single"/>
        </w:rPr>
        <w:t>Appendix B for each Participant</w:t>
      </w:r>
      <w:r>
        <w:rPr>
          <w:rFonts w:ascii="Times New Roman;Times;Serif" w:hAnsi="Times New Roman;Times;Serif"/>
          <w:b w:val="false"/>
          <w:i w:val="false"/>
          <w:caps w:val="false"/>
          <w:smallCaps w:val="false"/>
          <w:sz w:val="20"/>
        </w:rPr>
        <w:t xml:space="preserve">, payable in substantially equal installments in accordance with the Company’s payroll practices as in effect from time to time over the applicable number of months set forth on </w:t>
      </w:r>
      <w:r>
        <w:rPr>
          <w:rFonts w:ascii="Times New Roman;Times;Serif" w:hAnsi="Times New Roman;Times;Serif"/>
          <w:b w:val="false"/>
          <w:i w:val="false"/>
          <w:caps w:val="false"/>
          <w:smallCaps w:val="false"/>
          <w:sz w:val="20"/>
          <w:u w:val="single"/>
        </w:rPr>
        <w:t>Appendix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means the number of months set forth on Appendix B indicating the time the Cash Severance Amount will be paid to each Participant for a Covered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Stock Plan</w:t>
      </w:r>
      <w:r>
        <w:rPr>
          <w:rFonts w:ascii="Times New Roman;Times;Serif" w:hAnsi="Times New Roman;Times;Serif"/>
          <w:b w:val="false"/>
          <w:i w:val="false"/>
          <w:caps w:val="false"/>
          <w:smallCaps w:val="false"/>
          <w:sz w:val="20"/>
        </w:rPr>
        <w:t>” means the OptimizeRx Corporation 2021 Equity Incentive Plan, as amended from time to time (or any successor plan thereto adopted by the Company for the purpose of providing equity and other incentive compensation to the employees and other service providers of the Company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Subsidized COBRA Period</w:t>
      </w:r>
      <w:r>
        <w:rPr>
          <w:rFonts w:ascii="Times New Roman;Times;Serif" w:hAnsi="Times New Roman;Times;Serif"/>
          <w:b w:val="false"/>
          <w:i w:val="false"/>
          <w:caps w:val="false"/>
          <w:smallCaps w:val="false"/>
          <w:sz w:val="20"/>
        </w:rPr>
        <w:t xml:space="preserve">” means, with respect to any Participant, the period set forth on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as attached hereto,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Target Bonus</w:t>
      </w:r>
      <w:r>
        <w:rPr>
          <w:rFonts w:ascii="Times New Roman;Times;Serif" w:hAnsi="Times New Roman;Times;Serif"/>
          <w:b w:val="false"/>
          <w:i w:val="false"/>
          <w:caps w:val="false"/>
          <w:smallCaps w:val="false"/>
          <w:sz w:val="20"/>
        </w:rPr>
        <w:t>” means the Participant’s target annual bonus under the Annual Bonus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Severance Payments on Covered Termination</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241"/>
        <w:gridCol w:w="6556"/>
        <w:gridCol w:w="2408"/>
      </w:tblGrid>
      <w:tr>
        <w:trPr/>
        <w:tc>
          <w:tcPr>
            <w:tcW w:w="1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Participant </w:t>
            </w:r>
          </w:p>
        </w:tc>
        <w:tc>
          <w:tcPr>
            <w:tcW w:w="655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Subsidized COBRA Period</w:t>
            </w:r>
          </w:p>
        </w:tc>
        <w:tc>
          <w:tcPr>
            <w:tcW w:w="240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Severance Amount</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Febbo</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times the Participant’s Base Salary, paid in equal installments over 18 months</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Silvestro</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times the Participant’s Base Salary, paid in equal installments over 18 months</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Stelmakh</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times the Participant’s Base Salary, paid in equal installments over 12 months</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Marion Odence-Ford</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12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times the Participant’s Base Salary, paid in equal installments over 12 months</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Besch</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6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times the Participant’s Base Salary, paid in equal installments over 6 months</w:t>
            </w:r>
          </w:p>
        </w:tc>
      </w:tr>
      <w:tr>
        <w:trPr/>
        <w:tc>
          <w:tcPr>
            <w:tcW w:w="1241"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Theresa Greco</w:t>
            </w:r>
          </w:p>
        </w:tc>
        <w:tc>
          <w:tcPr>
            <w:tcW w:w="6556" w:type="dxa"/>
            <w:tcBorders>
              <w:bottom w:val="single" w:sz="8" w:space="0" w:color="000000"/>
              <w:right w:val="single" w:sz="8" w:space="0" w:color="000000"/>
            </w:tcBorders>
            <w:tcMar>
              <w:top w:w="0" w:type="dxa"/>
              <w:left w:w="0" w:type="dxa"/>
              <w:right w:w="10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Covered Termination until the earliest of (x) 6 months thereafter, (y) the date the Participant becomes eligible for coverage under a subsequent employer’s health plan, or (z) the date the Participant and/or the Participant’s beneficiary(ies) cease to be eligible under COBRA.</w:t>
            </w:r>
          </w:p>
          <w:p>
            <w:pPr>
              <w:pStyle w:val="TableContents"/>
              <w:bidi w:val="0"/>
              <w:spacing w:before="0" w:after="0"/>
              <w:ind w:left="0" w:right="0" w:hanging="0"/>
              <w:jc w:val="left"/>
              <w:rPr>
                <w:caps w:val="false"/>
                <w:smallCaps w:val="false"/>
              </w:rPr>
            </w:pPr>
            <w:r>
              <w:rPr>
                <w:caps w:val="false"/>
                <w:smallCaps w:val="false"/>
              </w:rPr>
              <w:t> </w:t>
            </w:r>
          </w:p>
        </w:tc>
        <w:tc>
          <w:tcPr>
            <w:tcW w:w="240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times the Participant’s Base Salary, paid in equal installments over 6 months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Payments on Change in Control Covered Termination</w:t>
      </w:r>
    </w:p>
    <w:p>
      <w:pPr>
        <w:pStyle w:val="TextBody"/>
        <w:bidi w:val="0"/>
        <w:spacing w:before="0" w:after="0"/>
        <w:jc w:val="center"/>
        <w:rPr>
          <w:caps w:val="false"/>
          <w:smallCaps w:val="false"/>
        </w:rPr>
      </w:pPr>
      <w:r>
        <w:rPr>
          <w:caps w:val="false"/>
          <w:smallCaps w:val="false"/>
        </w:rPr>
        <w:t> </w:t>
      </w:r>
    </w:p>
    <w:tbl>
      <w:tblPr>
        <w:tblW w:w="5515" w:type="dxa"/>
        <w:jc w:val="left"/>
        <w:tblInd w:w="-10" w:type="dxa"/>
        <w:tblLayout w:type="fixed"/>
        <w:tblCellMar>
          <w:top w:w="40" w:type="dxa"/>
          <w:left w:w="28" w:type="dxa"/>
          <w:bottom w:w="40" w:type="dxa"/>
          <w:right w:w="28" w:type="dxa"/>
        </w:tblCellMar>
      </w:tblPr>
      <w:tblGrid>
        <w:gridCol w:w="1730"/>
        <w:gridCol w:w="3785"/>
      </w:tblGrid>
      <w:tr>
        <w:trPr/>
        <w:tc>
          <w:tcPr>
            <w:tcW w:w="17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w:t>
            </w:r>
          </w:p>
        </w:tc>
        <w:tc>
          <w:tcPr>
            <w:tcW w:w="3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CIC Covered Termination Payment Amount</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Febbo</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times the Participant’s Base Salary</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Silvestro</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times the Participant’s Base Salary</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Stelmakh</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times the Participant’s Base Salary</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Marion Odence-Ford</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times the Participant’s Base Salary</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Besch</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times the Participant’s Base Salary</w:t>
            </w:r>
          </w:p>
        </w:tc>
      </w:tr>
      <w:tr>
        <w:trPr/>
        <w:tc>
          <w:tcPr>
            <w:tcW w:w="1730"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Theresa Greco</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times the Participant’s Base Salary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PROTECTION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my employment with OptimizeRx Corporation, a Nevada corporation with its principal place of business in Waltham, Massachusetts, (the “Company”), and in recognition that (i) as an employee of the Company I will have access to Confidential Information (defined in Section 9 below), customers and corporate opportunities of Company, and (ii) if I become employed or affiliated with a Competing Organization (defined in Section 9 below), Company will be at risk, I agree with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Unauthorized Disclosure or Use</w:t>
      </w:r>
      <w:r>
        <w:rPr>
          <w:rFonts w:ascii="Times New Roman;Times;Serif" w:hAnsi="Times New Roman;Times;Serif"/>
          <w:b w:val="false"/>
          <w:i w:val="false"/>
          <w:caps w:val="false"/>
          <w:smallCaps w:val="false"/>
          <w:sz w:val="20"/>
        </w:rPr>
        <w:t>. While employed by Company and thereafter, I shall not, directly or indirectly, use or disclose to anyone outside of Company any Confidential Information other than pursuant to my employment by and for the benefit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Ownership of Confidential Information</w:t>
      </w:r>
      <w:r>
        <w:rPr>
          <w:rFonts w:ascii="Times New Roman;Times;Serif" w:hAnsi="Times New Roman;Times;Serif"/>
          <w:b w:val="false"/>
          <w:i w:val="false"/>
          <w:caps w:val="false"/>
          <w:smallCaps w:val="false"/>
          <w:sz w:val="20"/>
        </w:rPr>
        <w:t>. I agree that all originals and all copies of manuscripts, letters, notes, notebooks, reports, models, computer files and other materials containing, representing, evidencing, recording, or constituting any Confidential Information (created by myself or others) shall be the sole property of Company or the property of third parties who lawfully disclosed the Confidential Information under obligations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Third Party Confidential Information</w:t>
      </w:r>
      <w:r>
        <w:rPr>
          <w:rFonts w:ascii="Times New Roman;Times;Serif" w:hAnsi="Times New Roman;Times;Serif"/>
          <w:b w:val="false"/>
          <w:i w:val="false"/>
          <w:caps w:val="false"/>
          <w:smallCaps w:val="false"/>
          <w:sz w:val="20"/>
        </w:rPr>
        <w:t>. I understand that Company from time to time has in its possession information which is claimed by others to be proprietary or confidential and which Company has agreed or is under an obligation to keep confidential. I agree that all such information shall be Confidential Information for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Developments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I agree that all Developments (defined in Section 9 below) created during the period of my employment with Company (whether or not made on Company’s premises, during work hours or disclosed by me to Company), together with all products or services which embody these Developments, shall be the sole property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Assignment and Cooperation</w:t>
      </w:r>
      <w:r>
        <w:rPr>
          <w:rFonts w:ascii="Times New Roman;Times;Serif" w:hAnsi="Times New Roman;Times;Serif"/>
          <w:b w:val="false"/>
          <w:i w:val="false"/>
          <w:caps w:val="false"/>
          <w:smallCaps w:val="false"/>
          <w:sz w:val="20"/>
        </w:rPr>
        <w:t>. I agree, for all Developments created during the period of my employment with Company or during the six month period following termination of my employment with Company, (i) to make and maintain adequate and current written records of all Developments, and to disclose all Developments promptly, fully and in writing to Company immediately upon development of the same and at any time upon request, (ii) that I hereby assign and will assign to Company all my right, title and interest in and to all Developments and to anything tangible which evidences, incorporates, constitutes, represents or records any Developments, (iii) to cooperate and assist Company in obtaining and maintaining any governmental protection it may seek for Developments, and to execute all documents that may be required therefor, and (iv) if any Developments constitute works made for hire under the laws of the United States, they shall be exclusive property of the Company, and should any Developments be held by a court of competent jurisdiction not to be a ‘work made for hire’, I hereby and will assign to Company all copyrights, patents and other proprietary rights I may have in any Developments, together with rights to file for and own wholly without restriction United States and foreign copyrights, patents, and trademarks with respect thereto. In the event the Company is unable to secure my signature on any application for patent, copyright or other analogous protection relating to any Development, whether because of my physical or mental incapacity or for any other reason whatsoever, I hereby irrevocably designate and appoint the Company and its duly authorized officers and agents as my agent and attorney-in-fact (which designation and appointment shall be (i) deemed coupled with an interest and (ii) irrevocable, and shall survive my death or incapacity), to act for and in my behalf and stead to execute and file any application and to do all other lawfully permitted acts to further the prosecution and issuance of patents, copyrights or other analogous protections with the same legal force and effect as if executed by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Prior Developments</w:t>
      </w:r>
      <w:r>
        <w:rPr>
          <w:rFonts w:ascii="Times New Roman;Times;Serif" w:hAnsi="Times New Roman;Times;Serif"/>
          <w:b w:val="false"/>
          <w:i w:val="false"/>
          <w:caps w:val="false"/>
          <w:smallCaps w:val="false"/>
          <w:sz w:val="20"/>
        </w:rPr>
        <w:t>. I agree that the foregoing assignment covers all results, outputs and products of my work for Company prior to the date hereof (whether as an employee or as a consultant), and that all related copyrights, patents and other intellectual property rights, and that all such results, output and products are Developments and the sole property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Exceptions to this Agreement</w:t>
      </w:r>
      <w:r>
        <w:rPr>
          <w:rFonts w:ascii="Times New Roman;Times;Serif" w:hAnsi="Times New Roman;Times;Serif"/>
          <w:b w:val="false"/>
          <w:i w:val="false"/>
          <w:caps w:val="false"/>
          <w:smallCaps w:val="false"/>
          <w:sz w:val="20"/>
        </w:rPr>
        <w:t>. I understand that Company does not desire to acquire from me any trade secrets or confidential business information that I may have acquired from others. I have informed Company, in the space below, of any (i) continuing obligations that I may have to any previous employers which require me not to disclose information to Company or compete with any such previous employers; and (ii) confidential information or developments which I claim as my own or otherwise intend to exclude from this Agreement because it was developed by me prior to the date of this Agreement. I understand that after execution of this Agreement I shall have no right to exclude confidential information or developments from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none, please enter the word “None”; attach additional pages as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For obligations not to disclose information to Company or compete with any such previous employers, give the date of each obligation, identify the parties owed each obligation and the nature of any restriction. Please attach any such agreement(s) to this Agreement.</w:t>
      </w:r>
    </w:p>
    <w:p>
      <w:pPr>
        <w:pStyle w:val="TextBody"/>
        <w:pBdr>
          <w:bottom w:val="single" w:sz="8" w:space="1" w:color="000000"/>
        </w:pBdr>
        <w:bidi w:val="0"/>
        <w:spacing w:before="0" w:after="0"/>
        <w:ind w:left="0" w:right="0" w:firstLine="720"/>
        <w:jc w:val="both"/>
        <w:rPr>
          <w:caps w:val="false"/>
          <w:smallCaps w:val="false"/>
        </w:rPr>
      </w:pPr>
      <w:r>
        <w:rPr>
          <w:caps w:val="false"/>
          <w:smallCaps w:val="false"/>
        </w:rPr>
        <w:t> </w:t>
      </w:r>
    </w:p>
    <w:p>
      <w:pPr>
        <w:pStyle w:val="TextBody"/>
        <w:pBdr>
          <w:bottom w:val="single" w:sz="8" w:space="1" w:color="000000"/>
        </w:pBdr>
        <w:bidi w:val="0"/>
        <w:spacing w:before="0" w:after="0"/>
        <w:ind w:left="0" w:right="0" w:firstLine="720"/>
        <w:jc w:val="both"/>
        <w:rPr>
          <w:caps w:val="false"/>
          <w:smallCaps w:val="false"/>
        </w:rPr>
      </w:pPr>
      <w:r>
        <w:rPr>
          <w:caps w:val="false"/>
          <w:smallCaps w:val="false"/>
        </w:rPr>
        <w:t> </w:t>
      </w:r>
    </w:p>
    <w:p>
      <w:pPr>
        <w:pStyle w:val="TextBody"/>
        <w:pBdr>
          <w:bottom w:val="single" w:sz="8" w:space="1" w:color="000000"/>
        </w:pBd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Employee’s Obligation to Cooperate</w:t>
      </w:r>
      <w:r>
        <w:rPr>
          <w:rFonts w:ascii="Times New Roman;Times;Serif" w:hAnsi="Times New Roman;Times;Serif"/>
          <w:b w:val="false"/>
          <w:i w:val="false"/>
          <w:caps w:val="false"/>
          <w:smallCaps w:val="false"/>
          <w:sz w:val="20"/>
        </w:rPr>
        <w:t>. At any time upon the request of Company, I shall execute all documents and perform all acts which Company considers necessary or advisable to secure its rights hereunder and to carry out the intent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Return of Property</w:t>
      </w:r>
      <w:r>
        <w:rPr>
          <w:rFonts w:ascii="Times New Roman;Times;Serif" w:hAnsi="Times New Roman;Times;Serif"/>
          <w:b w:val="false"/>
          <w:i w:val="false"/>
          <w:caps w:val="false"/>
          <w:smallCaps w:val="false"/>
          <w:sz w:val="20"/>
        </w:rPr>
        <w:t>. At any time upon the request of Company, and in any event upon cessation of employment, I shall return promptly to Company all Company property, including all Confidential Information and Developments and any copies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Employment At-Will</w:t>
      </w:r>
      <w:r>
        <w:rPr>
          <w:rFonts w:ascii="Times New Roman;Times;Serif" w:hAnsi="Times New Roman;Times;Serif"/>
          <w:b w:val="false"/>
          <w:i w:val="false"/>
          <w:caps w:val="false"/>
          <w:smallCaps w:val="false"/>
          <w:sz w:val="20"/>
        </w:rPr>
        <w:t>. Nothing in this Agreement shall require that Company employ me for any period of time. I understand that I am an employee-at-will and that my employment relationship with Company may be terminated by Company or me at any time for any reason, with or without prior notice. I further understand that the employment-at-will relationship between me and Company cannot be modified by oral or written statements from supervisors, managers or others at Company; the at-will nature of my employment with Company can only be modified by a written agreement signed by the CEO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acknowledge and agree that Company has invested substantial time, money and resources in the development of its Confidential Information and the development and retention of its customers, clients, collaborators, and employees. I further acknowledge that during the course of my employment, I may be introduced to customers, clients, and collaborators of Company, and agree that any “goodwill” associated with any customer, client, or collaborator belongs exclusively to Company. In recognition of the foregoing, I specifically acknowledge and agree that while I am employed by Company and for a period of one (1) year after termination of such employment (for any reason, whether voluntary or involuntary) I will not directly or indirectly in any position or capacity engage in the following activities for myself or for any other person, business, corporation, partnership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call upon, solicit, divert, or accept, or attempt to solicit or divert any of Company’s business or prospective business from any of Company’s customers, clients, or collaborators, or prospective customers, clients, or collaborators with whom I had contact or whose dealings with Company I coordinated or supervised or about whom I obtained Confidential Information, unless I obtain prior written consent of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refer, request, solicit, induce, hire (or attempt or assist in doing any of these actions) any employee or other persons (including consultants) who may have performed work or services for Company within one (1) year prior to the termination of my employment with Company to perform work or services for any person or entity other than Company;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become employed by, associated with or render services to any Competing Organization in connection with any Competing Product anywhere in the world where Company does business or is planning to do business. I understand and agree that this covenant not to compete is reasonable in that I can continue my chosen profession when I leave the employment of Company so long as I do not work for companies that are Competing Organizations in connection with Competing Products and so long as I do not disclose confidential, proprietary and trade secret information of Company. I understand and agree that it does not impose an unnecessary restraint because of the nature of the confidential, proprietary and trade secret information of Company related to the Competing Products which mandates protection in the geographical areas described above. I also understand and agree that the covenant is necessary to protect the goodwill and confidential, proprietary and trade secret information of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THESE RESTRICTIONS SHALL APPLY AND BE BINDING REGARDLESS OF CHANGES IN MY POSITION, DUTIES, GEOGRAPHIC LOCATION, RESPONSIBILITIES OR COMPENSATION DURING MY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Confirmation of Post-Employment Status</w:t>
      </w:r>
      <w:r>
        <w:rPr>
          <w:rFonts w:ascii="Times New Roman;Times;Serif" w:hAnsi="Times New Roman;Times;Serif"/>
          <w:b w:val="false"/>
          <w:i w:val="false"/>
          <w:caps w:val="false"/>
          <w:smallCaps w:val="false"/>
          <w:sz w:val="20"/>
        </w:rPr>
        <w:t>. I agree to inform Company, for a period of one year following the termination of my employment, of every place of employment and every affiliation I have in a company or business enterprise, directly or indirectly, as an employee, owner, manager, stockholder, consultant, director, officer, or partner. If I fail to so inform Company, and I have violated the obligations set forth in this Section 7, the one-year period shall run from the date that Company first learned of my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Small Ownership Exemption</w:t>
      </w:r>
      <w:r>
        <w:rPr>
          <w:rFonts w:ascii="Times New Roman;Times;Serif" w:hAnsi="Times New Roman;Times;Serif"/>
          <w:b w:val="false"/>
          <w:i w:val="false"/>
          <w:caps w:val="false"/>
          <w:smallCaps w:val="false"/>
          <w:sz w:val="20"/>
        </w:rPr>
        <w:t>. The provisions of this Section 7 shall not apply to ownership of less than one percent (1%) of the stock of any publicly traded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Corporate Compliance</w:t>
      </w:r>
      <w:r>
        <w:rPr>
          <w:rFonts w:ascii="Times New Roman;Times;Serif" w:hAnsi="Times New Roman;Times;Serif"/>
          <w:b w:val="false"/>
          <w:i w:val="false"/>
          <w:caps w:val="false"/>
          <w:smallCaps w:val="false"/>
          <w:sz w:val="20"/>
        </w:rPr>
        <w:t>. I agree that I will abide by all policies and procedures that Company may have in effect from time to time, including without limitation, the Code of Conduct, Acceptable Use Policy, or any other corporate compliance programs or polices. I further acknowledge that failure to abide by policies and procedures may result in discipline, including immediate termination of my employment. Nothing herein limits my at-will employment with Company, pursuant to paragraph six (6)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as used in this Agreement, shall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“Competing Organization” shall mean persons, organizations, or any other entity, including myself, engaged in, or considering to become engaged in, research or development, production, distribution, marketing, providing or selling of a Competing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“Competing Product” shall mean products, processes, or services of any person, organization, or entity other than Company, in existence or under development, which are substantially similar, may be substituted for, or applied to substantially similar end use of the products, processes or services with which I worked on in any capacity, including a sales or marketing capacity, at any time during my employment with Company or about which I acquired Confidential Information through my work with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“Confidential Information” shall mean all trade secrets, proprietary information, and other data or information (and any tangible evidence, record or representation thereof), whether prepared, conceived or developed by an employee of Company (including myself) or received by Company from an outside source, which is in the possession of Company (whether or not the property of Company) and which is maintained in confidence by Company, including, but not limited to: (i) technical and business information; (ii) information relating to the design, manufacture, application, know-how, research and development of Company’s products and services including Developments; (iii) sources of supply and material; (iv) operating and other cost data; (v) information relating to present, past or prospective customers, customer relationships, customer proposals, price lists and data relating to pricing of products or services; (vi) patient medical records and all other information relating to patients; and (vii) any other information not generally known in the industry, including specifically, all information contained in manuals, memoranda, formulae, plans, drawings and designs, specifications, supply sources, and records of Company whether or nor legended or otherwise identified by Company as “Confidential Information.” Notwithstanding the foregoing, the term Confidential Information shall not apply to information which senior management of Company has voluntarily disclosed to the public without restriction or which has otherwise lawfully entered the public domain.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“Developments” shall mean all Confidential Information and all other discoveries, inventions, ideas, concepts, research and other information, processes, products, methods and improvements, or parts thereof (including, without limitation, all computer programs, algorithms, subroutines, source codes, object codes, designs, and improvements), conceived, developed, or otherwise made by me, alone or jointly with others and in any way relating to the Corporation’s present or proposed services, programs or products or to tasks assigned to me during the course of my employment, whether or not patentable or subject to copyright protection and whether or not reduced to tangible form or reduced to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“Company” includes OptimizeRx and all other companies or entities currently or which in the future are related or affiliated with OptimizeRx.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Entire Agreement and Amendment</w:t>
      </w:r>
      <w:r>
        <w:rPr>
          <w:rFonts w:ascii="Times New Roman;Times;Serif" w:hAnsi="Times New Roman;Times;Serif"/>
          <w:b w:val="false"/>
          <w:i w:val="false"/>
          <w:caps w:val="false"/>
          <w:smallCaps w:val="false"/>
          <w:sz w:val="20"/>
        </w:rPr>
        <w:t>. This Agreement contains the entire and only agreement between Company and me respecting the subject matter hereof, and it supersedes all prior agreements and representations with regard to the subject matter hereof; provided however, to the extent I have a prior written agreement with Company regarding confidentiality, noncompetition, nonsolicitation, and/or developments, that agreement shall remain in full force and effect, as applicable. In the event of any inconsistency between this Agreement and any other contract between Company and me, the provisions of this Agreement shall prevail (unless such other contract expressly supersedes this Agreement). No modification of this Agreement shall be binding upon me or Company unless made in writing and signed by an authorized officer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 and Waivers</w:t>
      </w:r>
      <w:r>
        <w:rPr>
          <w:rFonts w:ascii="Times New Roman;Times;Serif" w:hAnsi="Times New Roman;Times;Serif"/>
          <w:b w:val="false"/>
          <w:i w:val="false"/>
          <w:caps w:val="false"/>
          <w:smallCaps w:val="false"/>
          <w:sz w:val="20"/>
        </w:rPr>
        <w:t>. This Agreement will remain in effect if I am transferred, promoted, or reassigned to work on functions other than my present functions anywhere within Company. My obligations under this Agreement shall survive the termination of my employment with Company regardless of the manner of or reasons for such termination, and regardless of whether such termination constitutes a breach of any other agreement I may have with Company. This Agreement shall inure to the benefit of, and be binding upon, Company and me and our respective heirs, legal representatives, successors and assigns. This Agreement may be assigned by Company for no additional consideration and without my consent to any successor entity in the event of a merger, acquisition, change of control, or sale of all or a part of the business or assets of Company. I acknowledge that the term “Company,” as used in this Agreement, shall also mean any such successor entity as the context requires. Failure by Company to insist upon strict compliance with any term of this Agreement shall not be deemed a waiver of that or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In the event that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Except as otherwise provided in this paragraph, any invalid, illegal or unenforceable provision of this Agreement shall be severable and all other provisions hereof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I acknowledge and agree that (i) the provisions set forth in this Agreement are necessary and reasonable to protect Company’s Confidential Information and goodwill; (ii) the specific time, geography and scope provisions set forth in Section 7 are reasonable and necessary to protect Company’s business interests; and (iii) in the event of my breach of any of the agreements set forth in this Agreement, Company would suffer substantial irreparable harm and that Company would not have an adequate remedy at law for such breach. In recognition of the foregoing, I agree that in the event of a breach or threatened breach of any of these covenants, in addition to such other remedies as Company may have at law, without posting any bond or security, Company shall be entitled to seek and obtain equitable relief, in the form of specific performance, or temporary, preliminary or permanent injunctive relief, or any other equitable remedy which then may be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and enforced in accordance with, the substantive laws of the state of Nevada without regard to its principles of conflicts of laws, and shall be deemed to be effective as of the first day of my employment by Company. Both parties further agree that any action, demand, claim or counterclaim relating to this Agreement shall be resolved by a judge alone, and both parties hereby waive and forever renounce the right to a trial before a civil jury.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PLACING MY SIGNATURE HEREUNDER, I ACKNOWLEDGE THAT I HAVE HAD ADEQUATE OPPORTUNITY TO REVIEW THESE TERMS AND CONDITIONS AND TO REFLECT UPON AND CONSIDER THE TERMS AND CONDITIONS OF THIS AGREEMENT. I FURTHER ACKNOWLEDGE THAT I FULLY UNDERSTAND ITS TERMS AND THAT I VOLUNTARILY EXECUTED THIS AGREEMENT.</w:t>
      </w:r>
    </w:p>
    <w:p>
      <w:pPr>
        <w:pStyle w:val="TextBody"/>
        <w:bidi w:val="0"/>
        <w:spacing w:before="0" w:after="0"/>
        <w:ind w:left="4320" w:right="0" w:hanging="0"/>
        <w:jc w:val="both"/>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3785"/>
        <w:gridCol w:w="60"/>
        <w:gridCol w:w="2113"/>
        <w:gridCol w:w="1146"/>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EMPLOYEE:</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Date:  </w:t>
            </w:r>
            <w:r>
              <w:rPr>
                <w:u w:val="single"/>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By:</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Print Name:</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ACCEPTED:</w:t>
            </w:r>
          </w:p>
        </w:tc>
        <w:tc>
          <w:tcPr>
            <w:tcW w:w="1146"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OPTIMIZERx CORPORATION</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Date:  </w:t>
            </w:r>
            <w:r>
              <w:rPr>
                <w:u w:val="single"/>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By:</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Name:</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Its:</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0" w:right="0" w:hanging="0"/>
        <w:jc w:val="right"/>
        <w:rPr>
          <w:b/>
        </w:rPr>
      </w:pPr>
      <w:bookmarkStart w:id="43" w:name="ea020384801ex19-1_optimize.htm"/>
      <w:bookmarkStart w:id="44" w:name="ksea020384801ex191_optimize"/>
      <w:bookmarkEnd w:id="43"/>
      <w:bookmarkEnd w:id="44"/>
      <w:r>
        <w:rPr>
          <w:b/>
        </w:rPr>
        <w:t>Exhibit 19.1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OPTIMIZERX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Policy (“Policy”) provides the standards of OptimizeRx Corporation (“OptimizeRx” or the “Company”) with respect to transactions in securities of the Company and the handling of confidential information about OptimizeRx and the companies with which OptimizeRx does business. The federal securities laws prohibit insider trading. Insider trading occurs when a person uses material non-public information obtained through involvement with the Company to make decisions to engage in transactions in the Company’s securities or transmits such information to any other person who may trade on the information. Please note that this insider trading policy supplements the restrictions set forth in the Company’s 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(referred to in this Policy as the “Company’s securities”). The term “transactions” or “trading” means broadly any purchase, sale or other transaction to acquire, transfer or dispose of securities, including market option exercises, gifts or other contributions, exercises of stock options granted under the Company’s equity plans, sales of stock acquired upon the exercise of options and the vesting of restricted stock and restricted stock units and trades made under an employee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hereof applies to all of the directors, officers and employees of the Company and its subsidiaries. Section 1 of this Policy also applies to such persons’ family members, other members of such persons’ households and entities controlled by such persons, as described in more detail below. The Company may also determine that other persons should be subject to Section 1 of this Policy, such as contractors or consultants. Section 2 hereof applies to all directors and Officers of the Company and the employees described in Appendix A hereto. Section 2 of this Policy also applies to such persons’ family members, other members of such persons’ households and entities controlled by such persons, as described in more detail below. Section 3 hereof sets forth additional requirements applicable to directors and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Policy applies to you, it also applies to family members who reside with you (including a spouse, a child, a child away at college, stepchildren, grandchildren, parents, stepparents, grandparents, siblings, in-laws and adoptive relationships) or are financially dependent on you, and also includes other family members whose transaction in securities are directed by you or are subject to your influence or control (collectively referred to as “Family Members”). This Policy also applies to any other person who lives in your household and to any legal entities (such as a corporation, partnership or trust) that are influenced or controlled by you (collectively referred to as “Controlled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by your Family Members, household members and Controlled Entities should be treated for the purposes of this Policy as if they were for your own account. </w:t>
      </w:r>
      <w:r>
        <w:rPr>
          <w:rFonts w:ascii="Times New Roman;Times;Serif" w:hAnsi="Times New Roman;Times;Serif"/>
          <w:b/>
          <w:i/>
          <w:caps w:val="false"/>
          <w:smallCaps w:val="false"/>
          <w:sz w:val="20"/>
        </w:rPr>
        <w:t>Accordingly, all references to you with regard to all trading restrictions and pre-clearance procedures in this Policy also apply to your Family Members, household members and Controlled Entities. You are personally responsible for the actions of your Family Members, household members and Controlled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 “Compliance Committee,” consisting of the Company’s General Counsel, Chief Financial Officer and Chief Executive. All determinations and interpretations by a member of the Compliance Committee shall be final and not subject to further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Any violation of this Policy may result in immediate dismissal and may subject you to both civil and criminal penalties. This is an extremely important matter, and we urge you to read the following with care. If you have any questions about this Policy, including its application to any proposed transaction, you may obtain additional guidance from a member of the Compliance Committee. Do not try to resolve uncertainties on your own, as the rules relating to insider trading are often complex, not always intuitive and carry severe consequences.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Trading Restrictions and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of this Policy applies to all of the directors, officers and employees of the Company and its subsidiaries. Section 1 of this Policy also applies to such persons’ Family Members, household members and Controlled Entities. </w:t>
      </w:r>
      <w:r>
        <w:rPr>
          <w:rFonts w:ascii="Times New Roman;Times;Serif" w:hAnsi="Times New Roman;Times;Serif"/>
          <w:b/>
          <w:i/>
          <w:caps w:val="false"/>
          <w:smallCaps w:val="false"/>
          <w:sz w:val="20"/>
        </w:rPr>
        <w:t>All references to you with regard to all trading restrictions in this Policy also apply to your Family Members, household members and Controlled Entities.</w:t>
      </w:r>
      <w:r>
        <w:rPr>
          <w:rFonts w:ascii="Times New Roman;Times;Serif" w:hAnsi="Times New Roman;Times;Serif"/>
          <w:b w:val="false"/>
          <w:i w:val="false"/>
          <w:caps w:val="false"/>
          <w:smallCaps w:val="false"/>
          <w:sz w:val="20"/>
        </w:rPr>
        <w:t xml:space="preserve"> The Company may also determine that other persons should be subject to Section 1 of this Policy, such as contractors or consultants.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59"/>
        <w:gridCol w:w="9897"/>
      </w:tblGrid>
      <w:tr>
        <w:trPr/>
        <w:tc>
          <w:tcPr>
            <w:tcW w:w="4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A.</w:t>
            </w:r>
          </w:p>
        </w:tc>
        <w:tc>
          <w:tcPr>
            <w:tcW w:w="9897" w:type="dxa"/>
            <w:tcBorders/>
            <w:vAlign w:val="center"/>
          </w:tcPr>
          <w:p>
            <w:pPr>
              <w:pStyle w:val="TableContents"/>
              <w:bidi w:val="0"/>
              <w:spacing w:before="0" w:after="283"/>
              <w:jc w:val="both"/>
              <w:rPr>
                <w:sz w:val="20"/>
                <w:u w:val="single"/>
              </w:rPr>
            </w:pPr>
            <w:r>
              <w:rPr>
                <w:sz w:val="20"/>
                <w:u w:val="single"/>
              </w:rPr>
              <w:t xml:space="preserve">General Policy - Prohibition Against Trading On or Tipping Material Non-Public Information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possession of material non-public information relating to OptimizeRx, you may not directly or indirectly through family members or other persons or entities: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20"/>
              </w:rPr>
            </w:pPr>
            <w:r>
              <w:rPr>
                <w:sz w:val="20"/>
              </w:rPr>
              <w:t>1.</w:t>
            </w:r>
          </w:p>
        </w:tc>
        <w:tc>
          <w:tcPr>
            <w:tcW w:w="10012" w:type="dxa"/>
            <w:tcBorders/>
            <w:vAlign w:val="center"/>
          </w:tcPr>
          <w:p>
            <w:pPr>
              <w:pStyle w:val="TableContents"/>
              <w:bidi w:val="0"/>
              <w:spacing w:before="0" w:after="283"/>
              <w:jc w:val="both"/>
              <w:rPr>
                <w:sz w:val="20"/>
              </w:rPr>
            </w:pPr>
            <w:r>
              <w:rPr>
                <w:sz w:val="20"/>
              </w:rPr>
              <w:t xml:space="preserve">Engage in transactions in Company securities, except as otherwise specified in this Policy under the heading “Certain Exceptions to the Trading Restrictions in this Policy.” </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20"/>
              </w:rPr>
            </w:pPr>
            <w:r>
              <w:rPr>
                <w:sz w:val="20"/>
              </w:rPr>
              <w:t>2.</w:t>
            </w:r>
          </w:p>
        </w:tc>
        <w:tc>
          <w:tcPr>
            <w:tcW w:w="9811" w:type="dxa"/>
            <w:tcBorders/>
            <w:vAlign w:val="center"/>
          </w:tcPr>
          <w:p>
            <w:pPr>
              <w:pStyle w:val="TableContents"/>
              <w:bidi w:val="0"/>
              <w:spacing w:before="0" w:after="283"/>
              <w:jc w:val="both"/>
              <w:rPr>
                <w:sz w:val="20"/>
              </w:rPr>
            </w:pPr>
            <w:r>
              <w:rPr>
                <w:sz w:val="20"/>
              </w:rPr>
              <w:t>Recommend the purchase or sale of any Company securities;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20"/>
              </w:rPr>
            </w:pPr>
            <w:r>
              <w:rPr>
                <w:sz w:val="20"/>
              </w:rPr>
              <w:t>3.</w:t>
            </w:r>
          </w:p>
        </w:tc>
        <w:tc>
          <w:tcPr>
            <w:tcW w:w="10034" w:type="dxa"/>
            <w:tcBorders/>
            <w:vAlign w:val="center"/>
          </w:tcPr>
          <w:p>
            <w:pPr>
              <w:pStyle w:val="TableContents"/>
              <w:bidi w:val="0"/>
              <w:spacing w:before="0" w:after="283"/>
              <w:jc w:val="both"/>
              <w:rPr>
                <w:sz w:val="20"/>
              </w:rPr>
            </w:pPr>
            <w:r>
              <w:rPr>
                <w:sz w:val="20"/>
              </w:rPr>
              <w:t>Communicate material non-public information concerning OptimizeRx to any other person (including relatives, friends or business associates), except to the extent necessary to perform authorized work for OptimizeRx or as required or specifically permitted by law or legal process. Nor should such information be discussed with any person within OptimizeRx under circumstances where it could be overheard. Written information should be appropriately safeguarded and should not be left where it may be seen by persons not entitled to the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 the course of employment with the Company or the performance of services on the Company’s behalf, you learn material non-public information about another company with which the Company proposes to, or does, business, including a vendor, customer or supplier of the Company, you may not (i) trade in that company’s securities until the information becomes public or is no longer material, or (ii) communicate that information or make any recommendation relating to the buying or selling of securities of such company to any other person, including family and friends, business associates, or in any consulting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 This means that you may have to forgo a proposed transaction in the Company’s or another company’s securities even if you planned to make the transaction before learning the material non-public information and even though you believe that waiting may cause you to suffer an economic loss or not realize anticipated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continues to apply to transactions in Company securities even after termination of service to OptimizeRx. If an individual is in possession of material non-public information when his or her service terminates, that individual may not trade in Company securities until that information has become public or is no longer material. Unless notified otherwise by the Company, persons who leave during a blackout period will continue to be subject to such blackout period after termination of service to OptimizeRx. The pre-clearance procedures specified in Section 2 will cease to apply to transactions in Company securities upon the expiration of any blackout period or other Company-imposed trading restrictions applicable at the time of the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950" w:type="dxa"/>
            <w:tcBorders/>
            <w:vAlign w:val="center"/>
          </w:tcPr>
          <w:p>
            <w:pPr>
              <w:pStyle w:val="TableContents"/>
              <w:bidi w:val="0"/>
              <w:spacing w:before="0" w:after="283"/>
              <w:jc w:val="both"/>
              <w:rPr>
                <w:sz w:val="20"/>
                <w:u w:val="single"/>
              </w:rPr>
            </w:pPr>
            <w:r>
              <w:rPr>
                <w:sz w:val="20"/>
                <w:u w:val="single"/>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Material Information.</w:t>
      </w:r>
      <w:r>
        <w:rPr>
          <w:rFonts w:ascii="Times New Roman;Times;Serif" w:hAnsi="Times New Roman;Times;Serif"/>
          <w:b w:val="false"/>
          <w:i w:val="false"/>
          <w:caps w:val="false"/>
          <w:smallCaps w:val="false"/>
          <w:sz w:val="20"/>
        </w:rPr>
        <w:t xml:space="preserve"> Material information is any information that a reasonable investor would consider important in determining whether to buy, sell or hold securities. Positive or negative information may be material to investors. A determination as to whether information is material depends on all of the related facts and circumstances. Material information is not limited to historical facts but may also include projections and forecasts. Materiality is based on an assessment of all the facts and circumstances and is often evaluated by courts and enforcement authorities with the benefit of hindsight.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that you should consider material includes, but is not limited to:</w:t>
      </w:r>
    </w:p>
    <w:p>
      <w:pPr>
        <w:pStyle w:val="TextBody"/>
        <w:bidi w:val="0"/>
        <w:spacing w:before="0" w:after="0"/>
        <w:ind w:left="72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sz w:val="20"/>
              </w:rPr>
            </w:pPr>
            <w:r>
              <w:rPr>
                <w:sz w:val="20"/>
              </w:rPr>
              <w:t>earnings information and quarterly results;</w:t>
            </w:r>
          </w:p>
        </w:tc>
      </w:tr>
    </w:tbl>
    <w:p>
      <w:pPr>
        <w:pStyle w:val="TextBody"/>
        <w:bidi w:val="0"/>
        <w:spacing w:before="0" w:after="283"/>
        <w:jc w:val="left"/>
        <w:rPr/>
      </w:pPr>
      <w:r>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financial forecasts, including earnings estimates;</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sz w:val="20"/>
              </w:rPr>
            </w:pPr>
            <w:r>
              <w:rPr>
                <w:sz w:val="20"/>
              </w:rPr>
              <w:t>changes in previously released forecasts;</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sz w:val="20"/>
              </w:rPr>
            </w:pPr>
            <w:r>
              <w:rPr>
                <w:sz w:val="20"/>
              </w:rPr>
              <w:t>significant merger, acquisition or divestiture proposals or agreements;</w:t>
            </w:r>
          </w:p>
        </w:tc>
      </w:tr>
    </w:tbl>
    <w:p>
      <w:pPr>
        <w:pStyle w:val="TextBody"/>
        <w:bidi w:val="0"/>
        <w:spacing w:before="0" w:after="283"/>
        <w:jc w:val="left"/>
        <w:rPr/>
      </w:pPr>
      <w:r>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sz w:val="20"/>
              </w:rPr>
            </w:pPr>
            <w:r>
              <w:rPr>
                <w:sz w:val="20"/>
              </w:rPr>
              <w:t>major customer wins or losses;</w:t>
            </w:r>
          </w:p>
        </w:tc>
      </w:tr>
    </w:tbl>
    <w:p>
      <w:pPr>
        <w:pStyle w:val="TextBody"/>
        <w:bidi w:val="0"/>
        <w:spacing w:before="0" w:after="283"/>
        <w:jc w:val="left"/>
        <w:rPr/>
      </w:pPr>
      <w:r>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both"/>
              <w:rPr>
                <w:sz w:val="20"/>
              </w:rPr>
            </w:pPr>
            <w:r>
              <w:rPr>
                <w:sz w:val="20"/>
              </w:rPr>
              <w:t>changes in auditors;</w:t>
            </w:r>
          </w:p>
        </w:tc>
      </w:tr>
    </w:tbl>
    <w:p>
      <w:pPr>
        <w:pStyle w:val="TextBody"/>
        <w:bidi w:val="0"/>
        <w:spacing w:before="0" w:after="283"/>
        <w:jc w:val="left"/>
        <w:rPr/>
      </w:pPr>
      <w:r>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sz w:val="20"/>
              </w:rPr>
            </w:pPr>
            <w:r>
              <w:rPr>
                <w:sz w:val="20"/>
              </w:rPr>
              <w:t>significant changes in the Company’s prospects;</w:t>
            </w:r>
          </w:p>
        </w:tc>
      </w:tr>
    </w:tbl>
    <w:p>
      <w:pPr>
        <w:pStyle w:val="TextBody"/>
        <w:bidi w:val="0"/>
        <w:spacing w:before="0" w:after="283"/>
        <w:jc w:val="left"/>
        <w:rPr/>
      </w:pPr>
      <w:r>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sz w:val="20"/>
              </w:rPr>
            </w:pPr>
            <w:r>
              <w:rPr>
                <w:sz w:val="20"/>
              </w:rPr>
              <w:t>significant or unusual borrowing or liquidity issues;</w:t>
            </w:r>
          </w:p>
        </w:tc>
      </w:tr>
    </w:tbl>
    <w:p>
      <w:pPr>
        <w:pStyle w:val="TextBody"/>
        <w:bidi w:val="0"/>
        <w:spacing w:before="0" w:after="283"/>
        <w:jc w:val="left"/>
        <w:rPr/>
      </w:pPr>
      <w:r>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sz w:val="20"/>
              </w:rPr>
            </w:pPr>
            <w:r>
              <w:rPr>
                <w:sz w:val="20"/>
              </w:rPr>
              <w:t>equity or debt offerings;</w:t>
            </w:r>
          </w:p>
        </w:tc>
      </w:tr>
    </w:tbl>
    <w:p>
      <w:pPr>
        <w:pStyle w:val="TextBody"/>
        <w:bidi w:val="0"/>
        <w:spacing w:before="0" w:after="283"/>
        <w:jc w:val="left"/>
        <w:rPr/>
      </w:pPr>
      <w:r>
        <w:rPr/>
        <w:t> </w:t>
      </w:r>
    </w:p>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sz w:val="20"/>
              </w:rPr>
            </w:pPr>
            <w:r>
              <w:rPr>
                <w:sz w:val="20"/>
              </w:rPr>
              <w:t>purchases or redemptions of securities;</w:t>
            </w:r>
          </w:p>
        </w:tc>
      </w:tr>
    </w:tbl>
    <w:p>
      <w:pPr>
        <w:pStyle w:val="TextBody"/>
        <w:bidi w:val="0"/>
        <w:spacing w:before="0" w:after="283"/>
        <w:jc w:val="left"/>
        <w:rPr/>
      </w:pPr>
      <w:r>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change in management or the Company’s board of directors;</w:t>
            </w:r>
          </w:p>
        </w:tc>
      </w:tr>
    </w:tbl>
    <w:p>
      <w:pPr>
        <w:pStyle w:val="TextBody"/>
        <w:bidi w:val="0"/>
        <w:spacing w:before="0" w:after="283"/>
        <w:jc w:val="left"/>
        <w:rPr/>
      </w:pPr>
      <w:r>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significant related party transactions;</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sz w:val="20"/>
              </w:rPr>
            </w:pPr>
            <w:r>
              <w:rPr>
                <w:sz w:val="20"/>
              </w:rPr>
              <w:t>development of a significant new product or service;</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sz w:val="20"/>
              </w:rPr>
              <w:t>pending or threatened significant litigation, or the resolution of such litigation; and</w:t>
            </w:r>
          </w:p>
        </w:tc>
      </w:tr>
    </w:tbl>
    <w:p>
      <w:pPr>
        <w:pStyle w:val="TextBody"/>
        <w:bidi w:val="0"/>
        <w:spacing w:before="0" w:after="283"/>
        <w:jc w:val="left"/>
        <w:rPr/>
      </w:pPr>
      <w:r>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sz w:val="20"/>
              </w:rPr>
            </w:pPr>
            <w:r>
              <w:rPr>
                <w:sz w:val="20"/>
              </w:rPr>
              <w:t>significant cybersecurity incidents.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Non-public Information</w:t>
      </w:r>
      <w:r>
        <w:rPr>
          <w:rFonts w:ascii="Times New Roman;Times;Serif" w:hAnsi="Times New Roman;Times;Serif"/>
          <w:b w:val="false"/>
          <w:i w:val="false"/>
          <w:caps w:val="false"/>
          <w:smallCaps w:val="false"/>
          <w:sz w:val="20"/>
        </w:rPr>
        <w:t>. Information that has not been disclosed to the public is generally considered to be non-public information. Information is considered to be public when it has been released in a manner that is reasonably designed to provide broad, non-exclusionary distribution (e.g., by means of a press release or an SEC filing) and after enough time has elapsed to permit the investment market to absorb and evaluate the information. As a general rule, information should not be considered fully absorbed by the market until after the second business day after the day on which the information is released. Note that the information disseminated must be some form of “official” announcement. In other words, the fact that rumors, speculation, or statements attributed to unidentified sources are public is insufficient to be considered broadly distributed even when the information is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Officer</w:t>
      </w:r>
      <w:r>
        <w:rPr>
          <w:rFonts w:ascii="Times New Roman;Times;Serif" w:hAnsi="Times New Roman;Times;Serif"/>
          <w:b w:val="false"/>
          <w:i w:val="false"/>
          <w:caps w:val="false"/>
          <w:smallCaps w:val="false"/>
          <w:sz w:val="20"/>
        </w:rPr>
        <w:t>. Officer means the individuals classified by the Company as officers for purposes of SEC rules under Section 16 of the Securities Exchange Act of 1934, as amended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C.</w:t>
            </w:r>
          </w:p>
        </w:tc>
        <w:tc>
          <w:tcPr>
            <w:tcW w:w="2120" w:type="dxa"/>
            <w:tcBorders/>
            <w:vAlign w:val="center"/>
          </w:tcPr>
          <w:p>
            <w:pPr>
              <w:pStyle w:val="TableContents"/>
              <w:bidi w:val="0"/>
              <w:spacing w:before="0" w:after="283"/>
              <w:jc w:val="both"/>
              <w:rPr>
                <w:sz w:val="20"/>
                <w:u w:val="single"/>
              </w:rPr>
            </w:pPr>
            <w:r>
              <w:rPr>
                <w:sz w:val="20"/>
                <w:u w:val="single"/>
              </w:rPr>
              <w:t>Trading Blackout Periods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Quarterly Blackout Periods.</w:t>
      </w:r>
      <w:r>
        <w:rPr>
          <w:rFonts w:ascii="Times New Roman;Times;Serif" w:hAnsi="Times New Roman;Times;Serif"/>
          <w:b w:val="false"/>
          <w:i w:val="false"/>
          <w:caps w:val="false"/>
          <w:smallCaps w:val="false"/>
          <w:sz w:val="20"/>
        </w:rPr>
        <w:t xml:space="preserve"> You cannot engage in transactions in Company securities during a blackout period. OptimizeRx has established four routine quarterly blackout periods (“Quarterly Blackout Periods”). E</w:t>
      </w:r>
      <w:r>
        <w:rPr>
          <w:rFonts w:ascii="Times New Roman;Times;Serif" w:hAnsi="Times New Roman;Times;Serif"/>
          <w:b w:val="false"/>
          <w:i w:val="false"/>
          <w:caps w:val="false"/>
          <w:smallCaps w:val="false"/>
          <w:sz w:val="20"/>
          <w:shd w:fill="FFFFFF" w:val="clear"/>
        </w:rPr>
        <w:t xml:space="preserve">ach Quarterly Blackout Period begins at the close of trading on the </w:t>
      </w:r>
      <w:r>
        <w:rPr>
          <w:rFonts w:ascii="Times New Roman;Times;Serif" w:hAnsi="Times New Roman;Times;Serif"/>
          <w:b w:val="false"/>
          <w:i w:val="false"/>
          <w:caps w:val="false"/>
          <w:smallCaps w:val="false"/>
          <w:sz w:val="20"/>
        </w:rPr>
        <w:t>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final month of each fiscal quarter (i.e. March 15th, June 15th, September 15th, and December 15th) </w:t>
      </w:r>
      <w:r>
        <w:rPr>
          <w:rFonts w:ascii="Times New Roman;Times;Serif" w:hAnsi="Times New Roman;Times;Serif"/>
          <w:b w:val="false"/>
          <w:i w:val="false"/>
          <w:caps w:val="false"/>
          <w:smallCaps w:val="false"/>
          <w:sz w:val="20"/>
          <w:shd w:fill="FFFFFF" w:val="clear"/>
        </w:rPr>
        <w:t xml:space="preserve">and ends on the commencement of trading on Nasdaq on the third trading day following the </w:t>
      </w:r>
      <w:r>
        <w:rPr>
          <w:rFonts w:ascii="Times New Roman;Times;Serif" w:hAnsi="Times New Roman;Times;Serif"/>
          <w:b w:val="false"/>
          <w:i w:val="false"/>
          <w:caps w:val="false"/>
          <w:smallCaps w:val="false"/>
          <w:sz w:val="20"/>
        </w:rPr>
        <w:t>day on which OptimizeRx makes a public news release of its quarterly or annual earnings for the prior fiscal quarter or fiscal year,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certain very limited circumstances, a person subject to this restriction may be permitted to trade during a Quarterly Blackout Period, but only if the Compliance Committee concludes that the person does not in fact possess material non-public information. Persons wishing to trade during a Quarterly Blackout Period must contact the Compliance Committee for approval at least two business days in advance of any proposed transaction involving Company securities. Such request may be granted in the sole discretion of the Compliance Committee. Exceptions to the Quarterly Blackout Periods are granted infrequently and only in exceptional circumstances. </w:t>
      </w:r>
      <w:r>
        <w:rPr>
          <w:rFonts w:ascii="Times New Roman;Times;Serif" w:hAnsi="Times New Roman;Times;Serif"/>
          <w:b w:val="false"/>
          <w:i/>
          <w:caps w:val="false"/>
          <w:smallCaps w:val="false"/>
          <w:sz w:val="20"/>
        </w:rPr>
        <w:t>All exception requests should be emailed to the Compliance Committee at preclearance@optimizerx.com.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 xml:space="preserve">Event-Specific Blackout Periods. </w:t>
      </w:r>
      <w:r>
        <w:rPr>
          <w:rFonts w:ascii="Times New Roman;Times;Serif" w:hAnsi="Times New Roman;Times;Serif"/>
          <w:b w:val="false"/>
          <w:i w:val="false"/>
          <w:caps w:val="false"/>
          <w:smallCaps w:val="false"/>
          <w:sz w:val="20"/>
        </w:rPr>
        <w:t>In addition to the Quarterly Blackout Periods, the Compliance Committee may issue instructions from time to time advising some or all personnel that they may not engage in transactions in Company securities for certain periods, or that our securities may not be traded without prior approval (an “Event-Specific Blackout Period”). Due to the confidential nature of the events that may trigger these sorts of blackout periods, the Compliance Committee may find it necessary to inform affected individuals of a blackout period without disclosing the reason. If you are made aware of such a blackout period, do not disclose its existence to anyone. Exceptions will not be granted during an Event-Specific Blackout Period.</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D.</w:t>
            </w:r>
          </w:p>
        </w:tc>
        <w:tc>
          <w:tcPr>
            <w:tcW w:w="4940" w:type="dxa"/>
            <w:tcBorders/>
            <w:vAlign w:val="center"/>
          </w:tcPr>
          <w:p>
            <w:pPr>
              <w:pStyle w:val="TableContents"/>
              <w:bidi w:val="0"/>
              <w:spacing w:before="0" w:after="283"/>
              <w:jc w:val="both"/>
              <w:rPr>
                <w:sz w:val="20"/>
                <w:u w:val="single"/>
              </w:rPr>
            </w:pPr>
            <w:r>
              <w:rPr>
                <w:sz w:val="20"/>
                <w:u w:val="single"/>
              </w:rPr>
              <w:t>Certain Exceptions to the Trading Restrictions in this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restrictions in this Policy (including the blackout period restrictions) do not apply in the case of the following transactions, except as specifically noted: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Exercise of Stock Options.</w:t>
      </w:r>
      <w:r>
        <w:rPr>
          <w:rFonts w:ascii="Times New Roman;Times;Serif" w:hAnsi="Times New Roman;Times;Serif"/>
          <w:b w:val="false"/>
          <w:i w:val="false"/>
          <w:caps w:val="false"/>
          <w:smallCaps w:val="false"/>
          <w:sz w:val="20"/>
        </w:rPr>
        <w:t xml:space="preserve"> The trading restrictions in this Policy do not apply to the exercise of an employee stock option acquired pursuant to the Company’s equity plans, or to the exercise of a tax withholding right pursuant to which a person has elected to have the Company withhold shares subject to an option to satisfy tax withholding requirements. The trading restrictions in this Policy </w:t>
      </w:r>
      <w:r>
        <w:rPr>
          <w:rFonts w:ascii="Times New Roman;Times;Serif" w:hAnsi="Times New Roman;Times;Serif"/>
          <w:b/>
          <w:i/>
          <w:caps w:val="false"/>
          <w:smallCaps w:val="false"/>
          <w:sz w:val="20"/>
        </w:rPr>
        <w:t>do</w:t>
      </w:r>
      <w:r>
        <w:rPr>
          <w:rFonts w:ascii="Times New Roman;Times;Serif" w:hAnsi="Times New Roman;Times;Serif"/>
          <w:b w:val="false"/>
          <w:i w:val="false"/>
          <w:caps w:val="false"/>
          <w:smallCaps w:val="false"/>
          <w:sz w:val="20"/>
        </w:rPr>
        <w:t xml:space="preserve"> apply, however, to any sale of stock as part of a broker-assisted cashless exercise of an option, or any other market sale for the purpose of generating the cash needed to pay the exercise price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Vesting of Restricted Stock Awards and Restricted Stock Unit Awards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trading restrictions in this Policy do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 The trading restrictions in this Policy </w:t>
      </w:r>
      <w:r>
        <w:rPr>
          <w:rFonts w:ascii="Times New Roman;Times;Serif" w:hAnsi="Times New Roman;Times;Serif"/>
          <w:b/>
          <w:i/>
          <w:caps w:val="false"/>
          <w:smallCaps w:val="false"/>
          <w:sz w:val="20"/>
        </w:rPr>
        <w:t>do</w:t>
      </w:r>
      <w:r>
        <w:rPr>
          <w:rFonts w:ascii="Times New Roman;Times;Serif" w:hAnsi="Times New Roman;Times;Serif"/>
          <w:b w:val="false"/>
          <w:i w:val="false"/>
          <w:caps w:val="false"/>
          <w:smallCaps w:val="false"/>
          <w:sz w:val="20"/>
        </w:rPr>
        <w:t xml:space="preserve"> apply, however, to any market sale of restricted stock and shares of stock received upon the vesting of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Rule 10b5-1 Trading Plan.</w:t>
      </w:r>
      <w:r>
        <w:rPr>
          <w:rFonts w:ascii="Times New Roman;Times;Serif" w:hAnsi="Times New Roman;Times;Serif"/>
          <w:b w:val="false"/>
          <w:i w:val="false"/>
          <w:caps w:val="false"/>
          <w:smallCaps w:val="false"/>
          <w:sz w:val="20"/>
        </w:rPr>
        <w:t xml:space="preserve"> The trading restrictions in this Policy do not apply to purchases or sales of the Company’s securities pursuant to a pre-approved Rule 10b5-1 trading program (a “Rule 10b5-1 Plan”). Implementation of a Rule 10b5-1 Plan under the Exchange Act provides an affirmative defense (which must be proven) from insider trading liability under Rule 10b-5.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Entry into a Rule 10b5-1Plan must comply with the requirements set forth in “Rule 10b5-1 Plans” below.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8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E.</w:t>
            </w:r>
          </w:p>
        </w:tc>
        <w:tc>
          <w:tcPr>
            <w:tcW w:w="1535" w:type="dxa"/>
            <w:tcBorders/>
            <w:vAlign w:val="center"/>
          </w:tcPr>
          <w:p>
            <w:pPr>
              <w:pStyle w:val="TableContents"/>
              <w:bidi w:val="0"/>
              <w:spacing w:before="0" w:after="283"/>
              <w:jc w:val="both"/>
              <w:rPr>
                <w:sz w:val="20"/>
                <w:u w:val="single"/>
              </w:rPr>
            </w:pPr>
            <w:r>
              <w:rPr>
                <w:sz w:val="20"/>
                <w:u w:val="single"/>
              </w:rPr>
              <w:t>Rule 10b5-1 Plans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Entry into a Rule 10b5-1 Plan requires the prior written approval of the Compliance Committee (which approval may include an email confirmation). Any Rule 10b5-1 Plan must be submitted for approval five days prior to the entry into the Rule 10b5-1 Plan. </w:t>
      </w:r>
      <w:r>
        <w:rPr>
          <w:rFonts w:ascii="Times New Roman;Times;Serif" w:hAnsi="Times New Roman;Times;Serif"/>
          <w:b w:val="false"/>
          <w:i/>
          <w:caps w:val="false"/>
          <w:smallCaps w:val="false"/>
          <w:sz w:val="20"/>
        </w:rPr>
        <w:t xml:space="preserve">All pre-clearance submissions should be emailed to the Compliance Committee at preclearance@optimizerx.com. </w:t>
      </w:r>
      <w:r>
        <w:rPr>
          <w:rFonts w:ascii="Times New Roman;Times;Serif" w:hAnsi="Times New Roman;Times;Serif"/>
          <w:b w:val="false"/>
          <w:i w:val="false"/>
          <w:caps w:val="false"/>
          <w:smallCaps w:val="false"/>
          <w:sz w:val="20"/>
        </w:rPr>
        <w:t>No further pre-approval of transactions conducted pursuant to the Rule 10b5-1 Plan will be required. You may not adopt a Rule 10b5-1 Plan during any Quarterly Blackout Period or Event-Specific Blackout Period, or at a time when you are aware of material non-public information. The following requirements apply to all Rule 10b5-1 Plans: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directors and Officers may not commence sales under a Rule 10b5-1 plan until the later of (i) 90 days following the date of adoption or modification of such plan; or (ii) two business days following the disclosure of the Company’s financial results in a Form 10-K or Form 10-Q relating to the fiscal quarter in which the Rule 10b5-1 plan was adopted or modified (but not to exceed 120 days following plan adoption or modification);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persons other than directors and Officers, may not commence sales under a Rule 10b5-1 plan until 30 days following the date of adoption or modification of such plan;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directors and Officers must provide a representation in the Rule 10b5-1 plan certifying that, on the date of adoption or modification of the plan, they (i) are not aware of material nonpublic information about the Company or its securities; and (ii) are adopting or modifying the plan in good faith and not as part of a plan or scheme to evade the prohibitions of Rule 10b-5;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the limited exceptions set forth in Rule 10b5-1, you may not maintain multiple, overlapping plans;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the limited exceptions set forth in Rule 10b5-1, you can utilize only one single-trade plan (i.e. a plan designed to effect only a single transaction) during any 12 month period;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must act in good faith with respect to the Rule 10b5-1 plan, not just in connection with entering into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impose additional restrictions on Rule 10b5-1 Plans, including without limitation:</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requiring that all plans be managed by an administrator selected by the Company;</w:t>
            </w:r>
          </w:p>
        </w:tc>
      </w:tr>
    </w:tbl>
    <w:p>
      <w:pPr>
        <w:pStyle w:val="TextBody"/>
        <w:bidi w:val="0"/>
        <w:spacing w:before="0" w:after="283"/>
        <w:jc w:val="left"/>
        <w:rPr/>
      </w:pPr>
      <w:r>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restrictions on termination or modification of plans;</w:t>
            </w:r>
          </w:p>
        </w:tc>
      </w:tr>
    </w:tbl>
    <w:p>
      <w:pPr>
        <w:pStyle w:val="TextBody"/>
        <w:bidi w:val="0"/>
        <w:spacing w:before="0" w:after="283"/>
        <w:jc w:val="left"/>
        <w:rPr/>
      </w:pPr>
      <w:r>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prohibition on entry into new plans for extended periods following termination of an existing plan; and</w:t>
            </w:r>
          </w:p>
        </w:tc>
      </w:tr>
    </w:tbl>
    <w:p>
      <w:pPr>
        <w:pStyle w:val="TextBody"/>
        <w:bidi w:val="0"/>
        <w:spacing w:before="0" w:after="283"/>
        <w:jc w:val="left"/>
        <w:rPr/>
      </w:pPr>
      <w:r>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prescribed periods during which persons may enter into plans.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or termination of Rule 10b5-1 Plans are generally discouraged absent compelling circumstances. Any modification to any Rule 10b5-1 Plan is treated as the entry into a new plan and must comply with all of the above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F.</w:t>
            </w:r>
          </w:p>
        </w:tc>
        <w:tc>
          <w:tcPr>
            <w:tcW w:w="2855" w:type="dxa"/>
            <w:tcBorders/>
            <w:vAlign w:val="center"/>
          </w:tcPr>
          <w:p>
            <w:pPr>
              <w:pStyle w:val="TableContents"/>
              <w:bidi w:val="0"/>
              <w:spacing w:before="0" w:after="283"/>
              <w:jc w:val="both"/>
              <w:rPr>
                <w:sz w:val="20"/>
                <w:u w:val="single"/>
              </w:rPr>
            </w:pPr>
            <w:r>
              <w:rPr>
                <w:sz w:val="20"/>
                <w:u w:val="single"/>
              </w:rPr>
              <w:t>Violations of Insider Trading Laws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Individuals also may be prohibited from serving as directors or officers of the Company or any other public company. Keep in mind that there are no limits on the size of a transaction that will trigger insider trading liability; relatively small trades have in the past occasioned SEC investigations and lawsuits.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Legal Penalties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 person who violates insider trading laws by engaging in transactions in a company’s securities when he or she has material non-public information can be sentenced to a substantial jail term and required to pay a penalty of several times the amount of profits gained or losses avoided.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The SEC can also seek substantial penalties from any person who, at the time of an insider trading violation, “directly or indirectly controlled the person who committed such violation,” which would apply to the Company and/or management and supervisory personnel.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Company-imposed Penalties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 individual who violates this Policy may be subject to disciplinary action by the Company, including dismissal or removal for cause.</w:t>
      </w:r>
    </w:p>
    <w:p>
      <w:pPr>
        <w:pStyle w:val="TextBody"/>
        <w:bidi w:val="0"/>
        <w:spacing w:before="0" w:after="0"/>
        <w:ind w:left="720"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0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G.</w:t>
            </w:r>
          </w:p>
        </w:tc>
        <w:tc>
          <w:tcPr>
            <w:tcW w:w="1850" w:type="dxa"/>
            <w:tcBorders/>
            <w:vAlign w:val="center"/>
          </w:tcPr>
          <w:p>
            <w:pPr>
              <w:pStyle w:val="TableContents"/>
              <w:bidi w:val="0"/>
              <w:spacing w:before="0" w:after="283"/>
              <w:jc w:val="both"/>
              <w:rPr>
                <w:sz w:val="20"/>
                <w:u w:val="single"/>
              </w:rPr>
            </w:pPr>
            <w:r>
              <w:rPr>
                <w:sz w:val="20"/>
                <w:u w:val="single"/>
              </w:rPr>
              <w:t>Additional Guidelines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It therefore is the Company’s policy that any persons covered by this Policy may not engage in any of the following transactions (even if they do not possess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Short Sales.</w:t>
      </w:r>
      <w:r>
        <w:rPr>
          <w:rFonts w:ascii="Times New Roman;Times;Serif" w:hAnsi="Times New Roman;Times;Serif"/>
          <w:b w:val="false"/>
          <w:i w:val="false"/>
          <w:caps w:val="false"/>
          <w:smallCaps w:val="false"/>
          <w:sz w:val="20"/>
        </w:rPr>
        <w:t xml:space="preserve"> You may not engage in short sales of the Company’s securities (sales of securities that are not then owned), including a “sale against the box” (a sale with delayed delivery). Short sales of Company securities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Publicly Traded Options.</w:t>
      </w:r>
      <w:r>
        <w:rPr>
          <w:rFonts w:ascii="Times New Roman;Times;Serif" w:hAnsi="Times New Roman;Times;Serif"/>
          <w:b w:val="false"/>
          <w:i w:val="false"/>
          <w:caps w:val="false"/>
          <w:smallCaps w:val="false"/>
          <w:sz w:val="20"/>
        </w:rPr>
        <w:t xml:space="preserve"> You may not engage in transactions in publicly traded options related to the Company’s securities, such as puts, calls and other derivative securities, on an exchange or in any other organized market. Given the relatively short term of publicly traded options, transactions in options related to the Company’s securities may create the appearance that you are trading based on material non-public information and focus your attention on short-term performance at the expense of the Company’s long-term objectives. Accordingly, transactions in publicly traded options related to the Company’s securities on an exchange or in any other organized market are prohibited by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Hedging Transactions.</w:t>
      </w:r>
      <w:r>
        <w:rPr>
          <w:rFonts w:ascii="Times New Roman;Times;Serif" w:hAnsi="Times New Roman;Times;Serif"/>
          <w:b w:val="false"/>
          <w:i w:val="false"/>
          <w:caps w:val="false"/>
          <w:smallCaps w:val="false"/>
          <w:sz w:val="20"/>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you to continue to own Company securities obtained through employee benefit plans or otherwise, but without the full risks and rewards of ownership. When that occurs, you may no longer have the same objectives as the Company’s other stockholders. Therefore, you are prohibited from engaging in any such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Margin Accounts and Pledges.</w:t>
      </w:r>
      <w:r>
        <w:rPr>
          <w:rFonts w:ascii="Times New Roman;Times;Serif" w:hAnsi="Times New Roman;Times;Serif"/>
          <w:b w:val="false"/>
          <w:i w:val="false"/>
          <w:caps w:val="false"/>
          <w:smallCaps w:val="false"/>
          <w:sz w:val="20"/>
        </w:rPr>
        <w:t xml:space="preserve"> 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Therefore, you are prohibited from holding Company securities in margin accounts or pledging Company securities as collateral for a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Additional Restrictions Applicable to Directors, Officers and Designated 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of this Policy imposes additional restrictions and applies to all directors and Officers of the Company and the employees described in Appendix A hereto (“Designated Employees”). This section of the Policy also applies to such persons’ Family Members, household members and Controlled Entities.</w:t>
      </w:r>
    </w:p>
    <w:p>
      <w:pPr>
        <w:pStyle w:val="TextBody"/>
        <w:bidi w:val="0"/>
        <w:spacing w:before="0" w:after="0"/>
        <w:ind w:left="0" w:right="0" w:hanging="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0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A.</w:t>
            </w:r>
          </w:p>
        </w:tc>
        <w:tc>
          <w:tcPr>
            <w:tcW w:w="1160" w:type="dxa"/>
            <w:tcBorders/>
            <w:vAlign w:val="center"/>
          </w:tcPr>
          <w:p>
            <w:pPr>
              <w:pStyle w:val="TableContents"/>
              <w:bidi w:val="0"/>
              <w:spacing w:before="0" w:after="283"/>
              <w:jc w:val="both"/>
              <w:rPr>
                <w:sz w:val="20"/>
                <w:u w:val="single"/>
              </w:rPr>
            </w:pPr>
            <w:r>
              <w:rPr>
                <w:sz w:val="20"/>
                <w:u w:val="single"/>
              </w:rPr>
              <w:t>Pre-Clearance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OptimizeRx requires that all directors, Officers and Designated Employees, as well as their respective Family Members, household members and Controlled Entities, obtain prior written approval from the Compliance Committee (which approval may include an email confirmation) before engaging in any transaction in Company securities. A request for pre-clearance should be submitted to the Compliance Committee at least two business days in advance of the proposed transaction. The Compliance Committee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If approved, the transaction must be completed within five business days, but in no event after the commencement of a blackout period. If the transaction does not occur during the five business day period, pre-clearance of the transaction must be re-requested. A form of “Request for Approval” is attached as Appendix B hereto and should be used to request approval hereunder, unless otherwise notified by a member of the Compliance Committee. </w:t>
      </w:r>
      <w:r>
        <w:rPr>
          <w:rFonts w:ascii="Times New Roman;Times;Serif" w:hAnsi="Times New Roman;Times;Serif"/>
          <w:b w:val="false"/>
          <w:i/>
          <w:caps w:val="false"/>
          <w:smallCaps w:val="false"/>
          <w:sz w:val="20"/>
        </w:rPr>
        <w:t>All pre-clearance requests should be emailed to the Compliance Committee at preclearance@optimizerx.com.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Committee’s approval of a transaction submitted for pre-clearance does not constitute legal advice, does not constitute confirmation that you do not possess material non-public information and does not relieve you of any of your legal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the Compliance Committee may not trade in our securities unless another member of the Compliance Committee has approved the trade(s) in accordance with this Policy’s procedures.</w:t>
      </w:r>
    </w:p>
    <w:p>
      <w:pPr>
        <w:pStyle w:val="TextBody"/>
        <w:bidi w:val="0"/>
        <w:spacing w:before="0" w:after="0"/>
        <w:ind w:left="72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0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B.</w:t>
            </w:r>
          </w:p>
        </w:tc>
        <w:tc>
          <w:tcPr>
            <w:tcW w:w="2090" w:type="dxa"/>
            <w:tcBorders/>
            <w:vAlign w:val="center"/>
          </w:tcPr>
          <w:p>
            <w:pPr>
              <w:pStyle w:val="TableContents"/>
              <w:bidi w:val="0"/>
              <w:spacing w:before="0" w:after="283"/>
              <w:jc w:val="both"/>
              <w:rPr>
                <w:sz w:val="20"/>
                <w:u w:val="single"/>
              </w:rPr>
            </w:pPr>
            <w:r>
              <w:rPr>
                <w:sz w:val="20"/>
                <w:u w:val="single"/>
              </w:rPr>
              <w:t>Use of Rule 10b5-1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Officers and Designated Employees, as well as their respective Family Members, household members and Controlled Entities, who wish to trade in Company securities are strongly encouraged to trade such securities pursuant to a Rule 10b5-1 Plan. See Section 1E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tab/>
        <w:t xml:space="preserve">Additional Requirements Applicable to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of the Company (the “Section 16 Insiders”) are also subject to the reporting and short-swing profit rules under Section 16 of the Exchange Act.</w:t>
      </w:r>
    </w:p>
    <w:p>
      <w:pPr>
        <w:pStyle w:val="TextBody"/>
        <w:bidi w:val="0"/>
        <w:spacing w:before="0" w:after="0"/>
        <w:ind w:left="0" w:right="0" w:firstLine="72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6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2345"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Reporting Requirements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requires the directors and Officers of the Company to file reports with the SEC that identify their beneficial ownership of the Company’s equity securities and any transactions they make in those securities. A Form 3 must be filed no later than the tenth (10th) calendar day after an individual becomes a director or Officer of the Company, and any subsequent change in beneficial ownership by a Section 16 Insider must, unless exempt from reporting or eligible for deferred reporting, be reported on a Form 4 filed within two business days. These reports must be filed with the SEC via EDGAR and are therefore immediately publicly available upon filing. Section 16(a) imposes the obligation to file ownership reports with the SEC on the individual insiders, not on the Company. However, the Company must disclose any delinquent Section 16 filers in its annual proxy statement and identify the trading information that was not properly filed. While it is not the Company’s obligation to do so, it is the Company’s practice to assist each of its Section 16 Insiders in filing their Section 16(a) reports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order to facilitate timely compliance, a Section 16 Insider (or his or her broker) must immediately report (no later than the same day such Section 16 Insider engages in the transaction) detailed trade information, in writing, to Company’s General Counsel and Chief Financial Officer for all transactions made in Company securities by such insider, any family members, household members and entities that such insider controls. Although it is the individual responsibility and legal obligation of each director and Officer to comply with the reporting requirements described herein, the Compliance Officers will, upon being advised of a transaction, endeavor to prepare and, pursuant to a power of attorney, timely file Section 16(a) reports on behalf of each Section 16 Insider. A power of attorney (the “POA”) that authorizes Company personnel to prepare, complete and file Section 16(a) reports, and otherwise act on a Section 16 Insider’s behalf regarding Section 16(a) reports, is attached hereto as Appendix C. Section 16 Insiders who would like the Company to assist them with their Section 16(a) reports should sign the POA and return it to the Company’s General Counsel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disclosure requirements imposed by Section 16 of the Exchange Act, directors and Officers of the Company are required to file a Form 144 before making an open market sale of OptimizeRx securities. Form 144 notifies the SEC of your intent to sell OptimizeRx securities. This form is generally prepared and filed by your broker.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245"/>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248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 xml:space="preserve">Short-Swing Profit Rules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16(b) provides for the recovery of “short-swing” profits from a Section 16 Insider resulting from certain transactions in Company securities “beneficially owned” by them. Specifically, a Section 16 Insider is required by law to turn over to the Company any “profit” realized upon a purchase followed by a sale, or a sale followed by a purchase, of any equity security of the Company that is beneficially owned by him or her and made within a period of less than six months. A profit may result even if the purchase and sale involve different types of equity securities. Moreover, any sale or purchase may be matched with any purchase or sale within the period such that there may be recoverable “profit” even if there has been no economic benefit to the individual in question. The good faith of a director or Officer is irrelevant to whether recovery is required under Section 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the Company’s securities by persons related to a Section 16 Insider (e.g., spouse, children, grandchildren and in-laws), or by entities in which he or she may have an indirect interest (e.g., partnerships, corporations and trusts) may be attributed to the Section 16 Insider. Accordingly, such related persons or entities should be advised not to engage in trades within six months of trades engaged in by the Section 16 Insider, or engaged in by each other, without considering the implications of the short-swing profit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and adopted: June 22, 2021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March 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Designated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Designated Employees for purposes of our Insider Trading Policy are on file with the Compliance Committee. The Compliance Committee may alter the list of Designated Employees at any time, in which case the Compliance Committee will provide written notice to any individuals added or removed from such list.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 FOR APPROVAL TO TRADE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Securities (e. g., shares): 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Security [check all applicable boxes]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Common stock</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Restricted stock</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Stock Option</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Debt Securities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caps w:val="false"/>
          <w:smallCaps w:val="false"/>
          <w:sz w:val="20"/>
        </w:rPr>
        <w:t>_________________________</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Transaction [check all applicable boxes]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Stock option exercise (must complete applicable exercise form)</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Purchase</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Sale</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Gift (Name of Donnee)</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Rule lOb5-1 Plan (attach a copy of the 10b5-1 Plan to this request form)</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Sale under benefit plans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caps w:val="false"/>
          <w:smallCaps w:val="false"/>
          <w:sz w:val="20"/>
        </w:rPr>
        <w:t>_________________________</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Contact Information</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Name_____________________________________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Name_______________________________________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Telephone__________________________________________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Fax_______________________________________________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Number____________________________________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 Identification Number_________________________________</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(check all applicable boxes and complete blanks)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Employee – Citizenship___________, Country in which you are based __________________</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&amp;square; </w:t>
      </w:r>
      <w:r>
        <w:rPr>
          <w:rFonts w:ascii="Times New Roman;Times;Serif" w:hAnsi="Times New Roman;Times;Serif"/>
          <w:b w:val="false"/>
          <w:i w:val="false"/>
          <w:caps w:val="false"/>
          <w:smallCaps w:val="false"/>
          <w:sz w:val="20"/>
        </w:rPr>
        <w:t>Board Member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not currently in possession of any material non-public information relating to OptimizeRx Corporation. I hereby certify that the statements made on this form are true and correct. I have also discussed any questions I had with respect to OptimizeRx’s insider trading policy and its applicability to the transactions contemplated hereby with a member of the Compliance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Signature_______________________________ Print Name__________________________________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Date:__________________________________ Telephone Number 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_____________________________________________________________________________________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use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Approved (transaction must be completed within 5 business days after approval)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Denied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Approved with the following modification: 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&amp; Date_____________________________________________________________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Marion Odence-Ford and Ed Stelmakh, individually, with full power of substitution, the undersigned’s true and lawful attorney-in-fact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an officer and/or director of OptimizeRx Corporation (the “Company”), Forms 3, 4, and 5 in accordance with Section 16(a) of the Securities Exchange Act of 1934 and the rules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individually,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such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undersigned has caused this Power of Attorney to be executed as of this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20___.</w:t>
      </w:r>
    </w:p>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75"/>
        <w:gridCol w:w="935"/>
      </w:tblGrid>
      <w:tr>
        <w:trPr/>
        <w:tc>
          <w:tcPr>
            <w:tcW w:w="75"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Print Name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0384801ex21-1_optimize.htm"/>
      <w:bookmarkStart w:id="46" w:name="ksea020384801ex211_optimize"/>
      <w:bookmarkEnd w:id="45"/>
      <w:bookmarkEnd w:id="46"/>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List of Subsidiaries</w:t>
      </w:r>
    </w:p>
    <w:p>
      <w:pPr>
        <w:pStyle w:val="TextBody"/>
        <w:bidi w:val="0"/>
        <w:spacing w:before="0" w:after="0"/>
        <w:ind w:left="0" w:right="0" w:hanging="0"/>
        <w:jc w:val="center"/>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85"/>
        <w:gridCol w:w="6230"/>
      </w:tblGrid>
      <w:tr>
        <w:trPr/>
        <w:tc>
          <w:tcPr>
            <w:tcW w:w="185"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Healthy Offers, Inc. (d/b/a Medicx Health), a Nevada corporation</w:t>
            </w:r>
          </w:p>
        </w:tc>
      </w:tr>
    </w:tbl>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CareSpeak Communications, Inc., a New Jersey corporation</w:t>
            </w:r>
          </w:p>
        </w:tc>
      </w:tr>
    </w:tbl>
    <w:p>
      <w:pPr>
        <w:pStyle w:val="TextBody"/>
        <w:bidi w:val="0"/>
        <w:spacing w:before="0" w:after="283"/>
        <w:jc w:val="left"/>
        <w:rPr/>
      </w:pPr>
      <w:r>
        <w:rPr/>
        <w:t> </w:t>
      </w:r>
    </w:p>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CareSpeak Communications, d.o.o., a controlled foreign corporation incorporated in Croatia</w:t>
            </w:r>
          </w:p>
        </w:tc>
      </w:tr>
    </w:tbl>
    <w:p>
      <w:pPr>
        <w:pStyle w:val="TextBody"/>
        <w:bidi w:val="0"/>
        <w:spacing w:before="0" w:after="283"/>
        <w:jc w:val="left"/>
        <w:rPr/>
      </w:pPr>
      <w:r>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Cyberdiet, a controlled foreign corporation incorporated in Israel</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0384801ex23-1_optimize.htm"/>
      <w:bookmarkStart w:id="48" w:name="ksea020384801ex231_optimize"/>
      <w:bookmarkEnd w:id="47"/>
      <w:bookmarkEnd w:id="4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864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5"/>
                    <a:stretch>
                      <a:fillRect/>
                    </a:stretch>
                  </pic:blipFill>
                  <pic:spPr bwMode="auto">
                    <a:xfrm>
                      <a:off x="0" y="0"/>
                      <a:ext cx="5486400"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 on Forms S-8 (File Nos. 333-259218; 333-237630; 333-230212; 333-210653; and 333-189439) of OptimizeRx Corporation and Subsidiaries (the “Company”) of our report dated April 15, 2024, with respect to the consolidated financial statements of the Company as of December 31, 2023 and 2022 and for the years then ended, which is included in this Annual Report on Form 10-K of the Company.</w:t>
      </w:r>
    </w:p>
    <w:p>
      <w:pPr>
        <w:pStyle w:val="TextBody"/>
        <w:bidi w:val="0"/>
        <w:spacing w:before="0" w:after="0"/>
        <w:ind w:left="0" w:right="0" w:hanging="0"/>
        <w:jc w:val="both"/>
        <w:rPr>
          <w:caps w:val="false"/>
          <w:smallCaps w:val="false"/>
        </w:rPr>
      </w:pPr>
      <w:r>
        <w:rPr>
          <w:caps w:val="false"/>
          <w:smallCaps w:val="false"/>
        </w:rPr>
        <w:t> </w:t>
      </w:r>
    </w:p>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UHY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0384801ex31-1_optimize.htm"/>
      <w:bookmarkStart w:id="50" w:name="ksea020384801ex311_optimize"/>
      <w:bookmarkEnd w:id="49"/>
      <w:bookmarkEnd w:id="5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J. Febbo,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0" w:type="dxa"/>
            <w:tcBorders/>
            <w:vAlign w:val="center"/>
          </w:tcPr>
          <w:p>
            <w:pPr>
              <w:pStyle w:val="TableContents"/>
              <w:bidi w:val="0"/>
              <w:spacing w:before="0" w:after="283"/>
              <w:jc w:val="both"/>
              <w:rPr/>
            </w:pPr>
            <w:r>
              <w:rPr/>
              <w:t>I have reviewed this annual report on Form 10-K for the year ended December 31, 2023, of OptimizeRx Corp (the “registrant”);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15, 2024</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28" w:type="dxa"/>
          <w:right w:w="0" w:type="dxa"/>
        </w:tblCellMar>
      </w:tblPr>
      <w:tblGrid>
        <w:gridCol w:w="485"/>
        <w:gridCol w:w="4235"/>
        <w:gridCol w:w="75"/>
      </w:tblGrid>
      <w:tr>
        <w:trPr/>
        <w:tc>
          <w:tcPr>
            <w:tcW w:w="472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J. Febbo</w:t>
            </w:r>
          </w:p>
        </w:tc>
        <w:tc>
          <w:tcPr>
            <w:tcW w:w="75" w:type="dxa"/>
            <w:tcBorders/>
            <w:tcMar>
              <w:bottom w:w="0" w:type="dxa"/>
            </w:tcMar>
            <w:vAlign w:val="center"/>
          </w:tcPr>
          <w:p>
            <w:pPr>
              <w:pStyle w:val="TableContents"/>
              <w:bidi w:val="0"/>
              <w:spacing w:before="0" w:after="283"/>
              <w:jc w:val="both"/>
              <w:rPr/>
            </w:pPr>
            <w:r>
              <w:rPr/>
              <w:t> </w:t>
            </w:r>
          </w:p>
        </w:tc>
      </w:tr>
      <w:tr>
        <w:trPr/>
        <w:tc>
          <w:tcPr>
            <w:tcW w:w="4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2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William J. Febbo</w:t>
            </w:r>
          </w:p>
        </w:tc>
        <w:tc>
          <w:tcPr>
            <w:tcW w:w="75" w:type="dxa"/>
            <w:tcBorders/>
            <w:tcMar>
              <w:bottom w:w="0" w:type="dxa"/>
            </w:tcMar>
            <w:vAlign w:val="center"/>
          </w:tcPr>
          <w:p>
            <w:pPr>
              <w:pStyle w:val="TableContents"/>
              <w:bidi w:val="0"/>
              <w:spacing w:before="0" w:after="283"/>
              <w:jc w:val="both"/>
              <w:rPr/>
            </w:pPr>
            <w:r>
              <w:rPr/>
              <w:t> </w:t>
            </w:r>
          </w:p>
        </w:tc>
      </w:tr>
      <w:tr>
        <w:trPr/>
        <w:tc>
          <w:tcPr>
            <w:tcW w:w="4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2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Principal Executive Officer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0384801ex31-2_optimize.htm"/>
      <w:bookmarkStart w:id="52" w:name="ksea020384801ex312_optimize"/>
      <w:bookmarkEnd w:id="51"/>
      <w:bookmarkEnd w:id="5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Stelmakh,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0" w:type="dxa"/>
            <w:tcBorders/>
            <w:vAlign w:val="center"/>
          </w:tcPr>
          <w:p>
            <w:pPr>
              <w:pStyle w:val="TableContents"/>
              <w:bidi w:val="0"/>
              <w:spacing w:before="0" w:after="283"/>
              <w:jc w:val="both"/>
              <w:rPr/>
            </w:pPr>
            <w:r>
              <w:rPr/>
              <w:t>I have reviewed this annual report on Form 10-K for the year ended December 31, 2023, of OptimizeRx Corp (the “registrant”);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15, 2024</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28" w:type="dxa"/>
          <w:right w:w="0" w:type="dxa"/>
        </w:tblCellMar>
      </w:tblPr>
      <w:tblGrid>
        <w:gridCol w:w="485"/>
        <w:gridCol w:w="6890"/>
        <w:gridCol w:w="75"/>
      </w:tblGrid>
      <w:tr>
        <w:trPr/>
        <w:tc>
          <w:tcPr>
            <w:tcW w:w="7375"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Edward Stelmakh</w:t>
            </w:r>
          </w:p>
        </w:tc>
        <w:tc>
          <w:tcPr>
            <w:tcW w:w="75" w:type="dxa"/>
            <w:tcBorders/>
            <w:tcMar>
              <w:bottom w:w="0" w:type="dxa"/>
            </w:tcMar>
            <w:vAlign w:val="center"/>
          </w:tcPr>
          <w:p>
            <w:pPr>
              <w:pStyle w:val="TableContents"/>
              <w:bidi w:val="0"/>
              <w:spacing w:before="0" w:after="283"/>
              <w:jc w:val="both"/>
              <w:rPr/>
            </w:pPr>
            <w:r>
              <w:rPr/>
              <w:t> </w:t>
            </w:r>
          </w:p>
        </w:tc>
      </w:tr>
      <w:tr>
        <w:trPr/>
        <w:tc>
          <w:tcPr>
            <w:tcW w:w="4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8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Edward Stelmakh</w:t>
            </w:r>
          </w:p>
        </w:tc>
        <w:tc>
          <w:tcPr>
            <w:tcW w:w="75" w:type="dxa"/>
            <w:tcBorders/>
            <w:tcMar>
              <w:bottom w:w="0" w:type="dxa"/>
            </w:tcMar>
            <w:vAlign w:val="center"/>
          </w:tcPr>
          <w:p>
            <w:pPr>
              <w:pStyle w:val="TableContents"/>
              <w:bidi w:val="0"/>
              <w:spacing w:before="0" w:after="283"/>
              <w:jc w:val="both"/>
              <w:rPr/>
            </w:pPr>
            <w:r>
              <w:rPr/>
              <w:t> </w:t>
            </w:r>
          </w:p>
        </w:tc>
      </w:tr>
      <w:tr>
        <w:trPr/>
        <w:tc>
          <w:tcPr>
            <w:tcW w:w="4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8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Financial Officer, Principal Financial Officer and Principal Accounting Officer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0384801ex32-1_optimize.htm"/>
      <w:bookmarkStart w:id="54" w:name="ksea020384801ex321_optimize"/>
      <w:bookmarkEnd w:id="53"/>
      <w:bookmarkEnd w:id="54"/>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OptimizeRx Corp (the “Company”) on Form 10-K for the year ended December 31, 2023 filed with the Securities and Exchange Commission (the “Report”), I, William J. Febbo, Chief Executive Officer of the Company, and I, Edward Stelmakh, certify, pursuant to 18 U.S.C. Section 1350, as adopted pursuant to Section 906 of the Sarbanes-Oxley Act of 2002, that</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pPr>
            <w:r>
              <w:rPr/>
              <w:t>The Report fully complies with the requirements of Section 13(a) of the Securities Exchange Act of 1934;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The information contained in the Report fairly presents, in all material respects, the consolidated financial condition of the Company as of the dates presented and the consolidated result of operations of the Company for the periods presented.</w:t>
            </w:r>
          </w:p>
        </w:tc>
      </w:tr>
    </w:tbl>
    <w:p>
      <w:pPr>
        <w:pStyle w:val="TextBody"/>
        <w:bidi w:val="0"/>
        <w:spacing w:before="0" w:after="0"/>
        <w:ind w:left="72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605"/>
        <w:gridCol w:w="6845"/>
        <w:gridCol w:w="75"/>
      </w:tblGrid>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8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J. Febbo</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William J. Febbo</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Principal Executive Officer</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15, 2024</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pPr>
            <w:r>
              <w:rPr/>
              <w:t> </w:t>
            </w:r>
          </w:p>
        </w:tc>
        <w:tc>
          <w:tcPr>
            <w:tcW w:w="684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8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Edward Stelmakh</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Edward Stelmakh</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15, 2024</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has been furnished solely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0384801ex97-1_optimize.htm"/>
      <w:bookmarkStart w:id="56" w:name="ksea020384801ex971_optimize"/>
      <w:bookmarkEnd w:id="55"/>
      <w:bookmarkEnd w:id="56"/>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OPTIMIZERX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Clawback Policy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(the “Board”) of OptimizeRx Corporation (the “Company”) </w:t>
      </w:r>
      <w:r>
        <w:rPr>
          <w:rFonts w:ascii="Times New Roman;Times;Serif" w:hAnsi="Times New Roman;Times;Serif"/>
          <w:b w:val="false"/>
          <w:i w:val="false"/>
          <w:caps w:val="false"/>
          <w:smallCaps w:val="false"/>
          <w:sz w:val="20"/>
          <w:shd w:fill="FFFFFF" w:val="clear"/>
        </w:rPr>
        <w:t>has determined that it is in the best interests of the Company to adopt this Clawback Policy (this “</w:t>
      </w:r>
      <w:r>
        <w:rPr>
          <w:rFonts w:ascii="Times New Roman;Times;Serif" w:hAnsi="Times New Roman;Times;Serif"/>
          <w:b w:val="false"/>
          <w:i w:val="false"/>
          <w:caps w:val="false"/>
          <w:smallCaps w:val="false"/>
          <w:sz w:val="20"/>
        </w:rPr>
        <w:t>Policy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“Exchange Act”), Rule 10D-1 promulgated under the Exchange Act (“Rule 10D-1”) and Nasdaq Listing Rule 5608.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capitalized terms shall have the meanings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Accounting Restatement”</w:t>
      </w:r>
      <w:r>
        <w:rPr>
          <w:rFonts w:ascii="Times New Roman;Times;Serif" w:hAnsi="Times New Roman;Times;Serif"/>
          <w:b w:val="false"/>
          <w:i w:val="false"/>
          <w:caps w:val="false"/>
          <w:smallCaps w:val="false"/>
          <w:sz w:val="20"/>
        </w:rPr>
        <w:t xml:space="preserve">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Clawback Period”</w:t>
      </w:r>
      <w:r>
        <w:rPr>
          <w:rFonts w:ascii="Times New Roman;Times;Serif" w:hAnsi="Times New Roman;Times;Serif"/>
          <w:b w:val="false"/>
          <w:i w:val="false"/>
          <w:caps w:val="false"/>
          <w:smallCaps w:val="false"/>
          <w:sz w:val="20"/>
        </w:rPr>
        <w:t xml:space="preserve">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w:t>
      </w:r>
      <w:r>
        <w:rPr>
          <w:rFonts w:ascii="Times New Roman;Times;Serif" w:hAnsi="Times New Roman;Times;Serif"/>
          <w:b w:val="false"/>
          <w:i/>
          <w:caps w:val="false"/>
          <w:smallCaps w:val="false"/>
          <w:sz w:val="20"/>
        </w:rPr>
        <w:t>date on which the Company is required to prepare an Accounting Restatement</w:t>
      </w:r>
      <w:r>
        <w:rPr>
          <w:rFonts w:ascii="Times New Roman;Times;Serif" w:hAnsi="Times New Roman;Times;Serif"/>
          <w:b w:val="false"/>
          <w:i w:val="false"/>
          <w:caps w:val="false"/>
          <w:smallCaps w:val="false"/>
          <w:sz w:val="20"/>
        </w:rPr>
        <w:t>” is the earlier to occur of (a) the date the Board, a committee of the Board, or the officer or officers of the Company authorized to take such action if the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Erroneously Awarded Compensation</w:t>
      </w:r>
      <w:r>
        <w:rPr>
          <w:rFonts w:ascii="Times New Roman;Times;Serif" w:hAnsi="Times New Roman;Times;Serif"/>
          <w:b w:val="false"/>
          <w:i w:val="false"/>
          <w:caps w:val="false"/>
          <w:smallCaps w:val="false"/>
          <w:sz w:val="20"/>
        </w:rPr>
        <w:t>”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Executive Officer; provided, however,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Nasdaq Stock Market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Executive Officer”</w:t>
      </w:r>
      <w:r>
        <w:rPr>
          <w:rFonts w:ascii="Times New Roman;Times;Serif" w:hAnsi="Times New Roman;Times;Serif"/>
          <w:b w:val="false"/>
          <w:i w:val="false"/>
          <w:caps w:val="false"/>
          <w:smallCaps w:val="false"/>
          <w:sz w:val="20"/>
        </w:rPr>
        <w:t xml:space="preserve">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Reporting Measure</w:t>
      </w:r>
      <w:r>
        <w:rPr>
          <w:rFonts w:ascii="Times New Roman;Times;Serif" w:hAnsi="Times New Roman;Times;Serif"/>
          <w:b w:val="false"/>
          <w:i w:val="false"/>
          <w:caps w:val="false"/>
          <w:smallCaps w:val="false"/>
          <w:sz w:val="20"/>
        </w:rPr>
        <w:t>” means any measures that are determined and presented in accordance with the accounting principles used in preparing the Company’s financial statements, and any measures that are derived wholly or in part from such measures; provided, however, that a Financial Reporting Measure is not required to be presented within the Company’s financial statements or included in a filing with the U.S. Securities and Exchange Commission (“SEC”) to qualify as a “Financial Reporting Measure.” For purposes of this Policy, Financial Reporting Measures include, but are not limited to, stock price and total stockholder return.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Incentive-Based Compensation</w:t>
      </w:r>
      <w:r>
        <w:rPr>
          <w:rFonts w:ascii="Times New Roman;Times;Serif" w:hAnsi="Times New Roman;Times;Serif"/>
          <w:b w:val="false"/>
          <w:i w:val="false"/>
          <w:caps w:val="false"/>
          <w:smallCaps w:val="false"/>
          <w:sz w:val="20"/>
        </w:rPr>
        <w:t>” means any compensation that is granted, earned or vested based wholly or in part upon the attainment of a Financial Reporting Measure. Incentive-Based Compensation is “</w:t>
      </w:r>
      <w:r>
        <w:rPr>
          <w:rFonts w:ascii="Times New Roman;Times;Serif" w:hAnsi="Times New Roman;Times;Serif"/>
          <w:b w:val="false"/>
          <w:i/>
          <w:caps w:val="false"/>
          <w:smallCaps w:val="false"/>
          <w:sz w:val="20"/>
        </w:rPr>
        <w:t>received</w:t>
      </w:r>
      <w:r>
        <w:rPr>
          <w:rFonts w:ascii="Times New Roman;Times;Serif" w:hAnsi="Times New Roman;Times;Serif"/>
          <w:b w:val="false"/>
          <w:i w:val="false"/>
          <w:caps w:val="false"/>
          <w:smallCaps w:val="false"/>
          <w:sz w:val="20"/>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Policy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Incentive-Based Compensation received by an Executive Officer (a) after beginning services as an Executive Officer; (b) if that person served as an Executive Officer at any time during the performance period for such Incentive-Based Compensation; and (c) while the Company had a listed class of securities on a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Policy Recovery Requirement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the Company shall reasonably promptly recoup the amount of any Erroneously Awarded Compensation received by any Executive Officer during the Clawback Period. In the event of an Accounting Restatement, the Board shall determine, in its sole discretion, the amount of any Erroneously Awarded Compensation for each Executive Officer in connection with such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Method of Recoupment.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determine, in its sole discretion, the timing and method for promptly recouping such Erroneously Awarded Compensation,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Board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and directed pursuant to this Policy to recoup Erroneously Awarded Compensation in compliance with this Policy unless the Compensation Committee has determined that recovery would be impracticable solely for the following limited reasons, and subject to the following procedural and disclosure requirements: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Company must obtain an opinion of home country counsel, acceptable to Nasdaq, that recovery would result in such a violation, and must provide such opinion to Nasdaq;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Recovery would likely cause an otherwise tax-qualified retirement plan, under which benefits are broadly available to employees of the Company, to fail to meet the requirements of 26 U.S.C. 401(a)(13) or 26 U.S.C. 411(a) and regulations thereunder.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No Indemnification of Executives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terms of any indemnification or insurance policy or any contractual arrangement with any Executive Officer that may be interpreted to the contrary, the Company shall not indemnify any Executive Officers against the loss of any Erroneously Awarded Compensation, including any payment or reimbursement for the cost of third-party insurance purchased by any Executive Officers to fund potential clawback obligations under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Required Policy-Related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all disclosures with respect to this Policy in accordance with the requirements of the federal securities laws, including disclosures required by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Acknowledgement.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Executive Officer shall sign and return to the Company within thirty (30) calendar days following the later of (i) the effective date of this Policy set forth below or (ii) the date such individual becomes an Executive Officer, the Acknowledgement Form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pursuant to which the Executive Officer agrees to be bound by, and to comply with, the terms and conditions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Policy Not in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Amendment; Termination.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Successors.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binding and enforceable against all Executive Officers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October 2, 2023. The terms of this Policy shall apply to any Incentive-Based Compensation that is received by Executive Officers on or after October 2, 2023, even if such Incentive-Based Compensation was approved, awarded or granted to Executive Officers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and adopted: November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Appendix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and confirms that the undersigned has received and reviewed a copy of the OptimizeRx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Clawback Policy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75"/>
        <w:gridCol w:w="2480"/>
      </w:tblGrid>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EXECUTIVE OFFICER</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Signature</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Print Name</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both"/>
              <w:rPr/>
            </w:pPr>
            <w:r>
              <w:rPr/>
              <w:t>Date</w:t>
            </w:r>
          </w:p>
        </w:tc>
      </w:tr>
    </w:tbl>
    <w:p>
      <w:pPr>
        <w:pStyle w:val="TextBody"/>
        <w:bidi w:val="0"/>
        <w:spacing w:before="0" w:after="0"/>
        <w:ind w:left="5760" w:right="0" w:firstLine="720"/>
        <w:jc w:val="left"/>
        <w:rPr>
          <w:caps w:val="false"/>
          <w:smallCaps w:val="false"/>
        </w:rPr>
      </w:pPr>
      <w:r>
        <w:rPr>
          <w:caps w:val="false"/>
          <w:smallCaps w:val="false"/>
        </w:rPr>
        <w:t> </w:t>
      </w:r>
    </w:p>
    <w:p>
      <w:pPr>
        <w:pStyle w:val="TextBody"/>
        <w:bidi w:val="0"/>
        <w:spacing w:before="0" w:after="0"/>
        <w:ind w:left="576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8431/000136110608000414/optimizerx_s1-ex0301.htm" TargetMode="External"/><Relationship Id="rId4" Type="http://schemas.openxmlformats.org/officeDocument/2006/relationships/hyperlink" Target="http://www.sec.gov/Archives/edgar/data/1448431/000121390019003962/f10k2018ex3-5_optimizerx.htm" TargetMode="External"/><Relationship Id="rId5" Type="http://schemas.openxmlformats.org/officeDocument/2006/relationships/hyperlink" Target="http://www.sec.gov/Archives/edgar/data/1448431/000121390023019233/f10k2022ex3-3_optimizerx.htm" TargetMode="External"/><Relationship Id="rId6" Type="http://schemas.openxmlformats.org/officeDocument/2006/relationships/hyperlink" Target="http://www.sec.gov/Archives/edgar/data/1448431/000121390022009736/f10k2021ex4-1_optimizerx.htm" TargetMode="External"/><Relationship Id="rId7" Type="http://schemas.openxmlformats.org/officeDocument/2006/relationships/hyperlink" Target="http://www.sec.gov/Archives/edgar/data/1448431/000121390020006161/ea119535ex10-1_optimize.htm" TargetMode="External"/><Relationship Id="rId8" Type="http://schemas.openxmlformats.org/officeDocument/2006/relationships/hyperlink" Target="http://www.sec.gov/Archives/edgar/data/1448431/000121390021044810/ea146392ex10-1_optimizerx.htm" TargetMode="External"/><Relationship Id="rId9" Type="http://schemas.openxmlformats.org/officeDocument/2006/relationships/hyperlink" Target="http://www.sec.gov/Archives/edgar/data/1448431/000121390021044810/ea146392ex10-2_optimizerx.htm" TargetMode="External"/><Relationship Id="rId10" Type="http://schemas.openxmlformats.org/officeDocument/2006/relationships/hyperlink" Target="http://www.sec.gov/Archives/edgar/data/1448431/000121390021044810/ea146392ex10-3_optimizerx.htm" TargetMode="External"/><Relationship Id="rId11" Type="http://schemas.openxmlformats.org/officeDocument/2006/relationships/hyperlink" Target="http://www.sec.gov/Archives/edgar/data/1448431/000121390021044810/ea146392ex10-4_optimizerx.htm" TargetMode="External"/><Relationship Id="rId12" Type="http://schemas.openxmlformats.org/officeDocument/2006/relationships/hyperlink" Target="http://www.sec.gov/Archives/edgar/data/1448431/000121390021044810/ea146392ex10-5_optimizerx.htm" TargetMode="External"/><Relationship Id="rId13" Type="http://schemas.openxmlformats.org/officeDocument/2006/relationships/hyperlink" Target="http://www.sec.gov/Archives/edgar/data/1448431/000121390019003159/f8k022519ex10-1_optimizerx.htm" TargetMode="External"/><Relationship Id="rId14" Type="http://schemas.openxmlformats.org/officeDocument/2006/relationships/hyperlink" Target="http://www.sec.gov/Archives/edgar/data/1448431/000121390020007491/f10k2019ex10-4_optimizerx.htm" TargetMode="External"/><Relationship Id="rId15" Type="http://schemas.openxmlformats.org/officeDocument/2006/relationships/hyperlink" Target="http://www.sec.gov/Archives/edgar/data/1448431/000121390021040306/f10q0621ex10-1_optimizerx.htm" TargetMode="External"/><Relationship Id="rId16" Type="http://schemas.openxmlformats.org/officeDocument/2006/relationships/hyperlink" Target="https://www.sec.gov/Archives/edgar/data/1448431/000121390021053525/ea149083ex10-1_optimizerx.htm" TargetMode="External"/><Relationship Id="rId17" Type="http://schemas.openxmlformats.org/officeDocument/2006/relationships/hyperlink" Target="http://www.sec.gov/Archives/edgar/data/1448431/000121390019007803/f8k042919ex10-1_optimizerx.htm" TargetMode="External"/><Relationship Id="rId18" Type="http://schemas.openxmlformats.org/officeDocument/2006/relationships/hyperlink" Target="http://www.sec.gov/Archives/edgar/data/1448431/000121390020007491/f10k2019ex10-5_optimizerx.htm" TargetMode="External"/><Relationship Id="rId19" Type="http://schemas.openxmlformats.org/officeDocument/2006/relationships/hyperlink" Target="http://www.sec.gov/Archives/edgar/data/1448431/000121390022010768/ea156483ex10-2_optimizerx.htm" TargetMode="External"/><Relationship Id="rId20" Type="http://schemas.openxmlformats.org/officeDocument/2006/relationships/hyperlink" Target="http://www.sec.gov/Archives/edgar/data/1448431/000121390021008493/ea135275ex10-1_optimizerx.htm" TargetMode="External"/><Relationship Id="rId21" Type="http://schemas.openxmlformats.org/officeDocument/2006/relationships/hyperlink" Target="http://www.sec.gov/Archives/edgar/data/1448431/000121390022010768/ea156483ex10-3_optimizerx.htm" TargetMode="External"/><Relationship Id="rId22" Type="http://schemas.openxmlformats.org/officeDocument/2006/relationships/hyperlink" Target="http://www.sec.gov/Archives/edgar/data/1448431/000121390021050817/ea148140ex10-1_optimizerx.htm" TargetMode="External"/><Relationship Id="rId23" Type="http://schemas.openxmlformats.org/officeDocument/2006/relationships/hyperlink" Target="http://www.sec.gov/Archives/edgar/data/1448431/000121390022010768/ea156483ex10-1_optimizerx.htm" TargetMode="External"/><Relationship Id="rId24" Type="http://schemas.openxmlformats.org/officeDocument/2006/relationships/hyperlink" Target="http://www.sec.gov/Archives/edgar/data/1448431/000121390023019233/f10k2022ex10-18_optimizerx.htm" TargetMode="External"/><Relationship Id="rId25" Type="http://schemas.openxmlformats.org/officeDocument/2006/relationships/hyperlink" Target="http://www.sec.gov/Archives/edgar/data/1448431/000121390023019233/f10k2022ex10-19_optimizerx.htm" TargetMode="External"/><Relationship Id="rId26" Type="http://schemas.openxmlformats.org/officeDocument/2006/relationships/hyperlink" Target="http://www.sec.gov/Archives/edgar/data/1448431/000101376223004127/ea186749ex10-1_optimizerx.htm" TargetMode="External"/><Relationship Id="rId27" Type="http://schemas.openxmlformats.org/officeDocument/2006/relationships/hyperlink" Target="http://www.sec.gov/Archives/edgar/data/1448431/000101376223004127/ea186749ex10-2_optimizerx.htm" TargetMode="External"/><Relationship Id="rId28" Type="http://schemas.openxmlformats.org/officeDocument/2006/relationships/hyperlink" Target="http://www.sec.gov/Archives/edgar/data/1448431/000101376223004127/ea186749ex10-3_optimizerx.htm" TargetMode="External"/><Relationship Id="rId29" Type="http://schemas.openxmlformats.org/officeDocument/2006/relationships/hyperlink" Target="http://www.sec.gov/Archives/edgar/data/1448431/000101376223004127/ea186749ex10-4_optimizerx.htm" TargetMode="External"/><Relationship Id="rId30" Type="http://schemas.openxmlformats.org/officeDocument/2006/relationships/hyperlink" Target="http://www.sec.gov/Archives/edgar/data/1448431/000101376223006625/ea187250ex10-1_optimizerx.htm" TargetMode="External"/><Relationship Id="rId31" Type="http://schemas.openxmlformats.org/officeDocument/2006/relationships/hyperlink" Target="http://www.sec.gov/Archives/edgar/data/1448431/000121390024029318/ea020314101ex10-1_optimize.htm" TargetMode="External"/><Relationship Id="rId32" Type="http://schemas.openxmlformats.org/officeDocument/2006/relationships/hyperlink" Target="http://www.sec.gov/Archives/edgar/data/1448431/000121390021034240/ea143323ex14-1_optimizrex.htm" TargetMode="External"/><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3.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57317</Words>
  <Characters>319353</Characters>
  <CharactersWithSpaces>378166</CharactersWithSpaces>
  <Paragraphs>8246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