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7"/>
          <w:szCs w:val="17"/>
          <w:color w:val="auto"/>
        </w:rPr>
        <w:t>UNITED STATES</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Washington, DC 20549</w:t>
      </w: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FORM 10-Q</w:t>
      </w:r>
    </w:p>
    <w:p>
      <w:pPr>
        <w:spacing w:after="0" w:line="252" w:lineRule="exact"/>
        <w:rPr>
          <w:sz w:val="24"/>
          <w:szCs w:val="24"/>
          <w:color w:val="auto"/>
        </w:rPr>
      </w:pPr>
    </w:p>
    <w:p>
      <w:pPr>
        <w:ind w:left="500" w:hanging="496"/>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20" w:lineRule="exact"/>
        <w:rPr>
          <w:sz w:val="24"/>
          <w:szCs w:val="24"/>
          <w:color w:val="auto"/>
        </w:rPr>
      </w:pPr>
    </w:p>
    <w:p>
      <w:pPr>
        <w:ind w:left="5440"/>
        <w:spacing w:after="0"/>
        <w:rPr>
          <w:sz w:val="20"/>
          <w:szCs w:val="20"/>
          <w:color w:val="auto"/>
        </w:rPr>
      </w:pPr>
      <w:r>
        <w:rPr>
          <w:rFonts w:ascii="Arial" w:cs="Arial" w:eastAsia="Arial" w:hAnsi="Arial"/>
          <w:sz w:val="17"/>
          <w:szCs w:val="17"/>
          <w:color w:val="auto"/>
        </w:rPr>
        <w:t xml:space="preserve">For the quarterly period ended </w:t>
      </w:r>
      <w:r>
        <w:rPr>
          <w:rFonts w:ascii="Arial" w:cs="Arial" w:eastAsia="Arial" w:hAnsi="Arial"/>
          <w:sz w:val="17"/>
          <w:szCs w:val="17"/>
          <w:u w:val="single" w:color="auto"/>
          <w:color w:val="auto"/>
        </w:rPr>
        <w:t>June 30, 2009</w:t>
      </w:r>
    </w:p>
    <w:p>
      <w:pPr>
        <w:spacing w:after="0" w:line="220" w:lineRule="exact"/>
        <w:rPr>
          <w:sz w:val="24"/>
          <w:szCs w:val="24"/>
          <w:color w:val="auto"/>
        </w:rPr>
      </w:pPr>
    </w:p>
    <w:p>
      <w:pPr>
        <w:spacing w:after="0"/>
        <w:tabs>
          <w:tab w:leader="none" w:pos="48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Transition Report pursuant to 13 or 15(d) of the Securities Exchange Act of 1934</w:t>
      </w:r>
    </w:p>
    <w:p>
      <w:pPr>
        <w:spacing w:after="0" w:line="220" w:lineRule="exact"/>
        <w:rPr>
          <w:sz w:val="24"/>
          <w:szCs w:val="24"/>
          <w:color w:val="auto"/>
        </w:rPr>
      </w:pPr>
    </w:p>
    <w:p>
      <w:pPr>
        <w:ind w:left="4900"/>
        <w:spacing w:after="0"/>
        <w:rPr>
          <w:sz w:val="20"/>
          <w:szCs w:val="20"/>
          <w:color w:val="auto"/>
        </w:rPr>
      </w:pPr>
      <w:r>
        <w:rPr>
          <w:rFonts w:ascii="Arial" w:cs="Arial" w:eastAsia="Arial" w:hAnsi="Arial"/>
          <w:sz w:val="17"/>
          <w:szCs w:val="17"/>
          <w:color w:val="auto"/>
        </w:rPr>
        <w:t>For the transition period __________ to __________</w:t>
      </w:r>
    </w:p>
    <w:p>
      <w:pPr>
        <w:spacing w:after="0" w:line="220" w:lineRule="exact"/>
        <w:rPr>
          <w:sz w:val="24"/>
          <w:szCs w:val="24"/>
          <w:color w:val="auto"/>
        </w:rPr>
      </w:pPr>
    </w:p>
    <w:p>
      <w:pPr>
        <w:ind w:left="5880"/>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u w:val="single" w:color="auto"/>
          <w:color w:val="auto"/>
        </w:rPr>
        <w:t>000-53605</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7"/>
          <w:szCs w:val="17"/>
          <w:u w:val="single" w:color="auto"/>
          <w:color w:val="auto"/>
        </w:rPr>
        <w:t>OptimizeRx Cororation</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(Exact name of small business issuer as specified in its charter)</w:t>
      </w:r>
    </w:p>
    <w:p>
      <w:pPr>
        <w:spacing w:after="0" w:line="220" w:lineRule="exact"/>
        <w:rPr>
          <w:sz w:val="24"/>
          <w:szCs w:val="24"/>
          <w:color w:val="auto"/>
        </w:rPr>
      </w:pPr>
    </w:p>
    <w:tbl>
      <w:tblPr>
        <w:tblLayout w:type="fixed"/>
        <w:tblInd w:w="80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Arial" w:cs="Arial" w:eastAsia="Arial" w:hAnsi="Arial"/>
                <w:sz w:val="17"/>
                <w:szCs w:val="17"/>
                <w:color w:val="auto"/>
                <w:w w:val="85"/>
              </w:rPr>
              <w:t>Nevada</w:t>
            </w:r>
          </w:p>
        </w:tc>
        <w:tc>
          <w:tcPr>
            <w:tcW w:w="3840" w:type="dxa"/>
            <w:vAlign w:val="bottom"/>
            <w:gridSpan w:val="5"/>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7"/>
                <w:szCs w:val="17"/>
                <w:color w:val="auto"/>
                <w:w w:val="90"/>
              </w:rPr>
              <w:t>26-1265381</w:t>
            </w:r>
          </w:p>
        </w:tc>
      </w:tr>
      <w:tr>
        <w:trPr>
          <w:trHeight w:val="20"/>
        </w:trPr>
        <w:tc>
          <w:tcPr>
            <w:tcW w:w="2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7"/>
        </w:trPr>
        <w:tc>
          <w:tcPr>
            <w:tcW w:w="6440" w:type="dxa"/>
            <w:vAlign w:val="bottom"/>
            <w:gridSpan w:val="7"/>
          </w:tcPr>
          <w:p>
            <w:pPr>
              <w:spacing w:after="0"/>
              <w:rPr>
                <w:sz w:val="20"/>
                <w:szCs w:val="20"/>
                <w:color w:val="auto"/>
              </w:rPr>
            </w:pPr>
            <w:r>
              <w:rPr>
                <w:rFonts w:ascii="Arial" w:cs="Arial" w:eastAsia="Arial" w:hAnsi="Arial"/>
                <w:sz w:val="17"/>
                <w:szCs w:val="17"/>
                <w:color w:val="auto"/>
              </w:rPr>
              <w:t>(State or other jurisdiction of incorporation or organization)</w:t>
            </w:r>
          </w:p>
        </w:tc>
        <w:tc>
          <w:tcPr>
            <w:tcW w:w="2520" w:type="dxa"/>
            <w:vAlign w:val="bottom"/>
            <w:gridSpan w:val="3"/>
          </w:tcPr>
          <w:p>
            <w:pPr>
              <w:jc w:val="right"/>
              <w:spacing w:after="0"/>
              <w:rPr>
                <w:sz w:val="20"/>
                <w:szCs w:val="20"/>
                <w:color w:val="auto"/>
              </w:rPr>
            </w:pPr>
            <w:r>
              <w:rPr>
                <w:rFonts w:ascii="Arial" w:cs="Arial" w:eastAsia="Arial" w:hAnsi="Arial"/>
                <w:sz w:val="17"/>
                <w:szCs w:val="17"/>
                <w:color w:val="auto"/>
              </w:rPr>
              <w:t>(IRS Employer Identification No.)</w:t>
            </w:r>
          </w:p>
        </w:tc>
      </w:tr>
      <w:tr>
        <w:trPr>
          <w:trHeight w:val="403"/>
        </w:trPr>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3"/>
          </w:tcPr>
          <w:p>
            <w:pPr>
              <w:jc w:val="center"/>
              <w:ind w:right="1040"/>
              <w:spacing w:after="0"/>
              <w:rPr>
                <w:sz w:val="20"/>
                <w:szCs w:val="20"/>
                <w:color w:val="auto"/>
              </w:rPr>
            </w:pPr>
            <w:r>
              <w:rPr>
                <w:rFonts w:ascii="Arial" w:cs="Arial" w:eastAsia="Arial" w:hAnsi="Arial"/>
                <w:sz w:val="17"/>
                <w:szCs w:val="17"/>
                <w:color w:val="auto"/>
                <w:w w:val="88"/>
              </w:rPr>
              <w:t>407 6</w:t>
            </w:r>
            <w:r>
              <w:rPr>
                <w:rFonts w:ascii="Arial" w:cs="Arial" w:eastAsia="Arial" w:hAnsi="Arial"/>
                <w:sz w:val="24"/>
                <w:szCs w:val="24"/>
                <w:color w:val="auto"/>
                <w:w w:val="88"/>
                <w:vertAlign w:val="superscript"/>
              </w:rPr>
              <w:t>th</w:t>
            </w:r>
            <w:r>
              <w:rPr>
                <w:rFonts w:ascii="Arial" w:cs="Arial" w:eastAsia="Arial" w:hAnsi="Arial"/>
                <w:sz w:val="17"/>
                <w:szCs w:val="17"/>
                <w:color w:val="auto"/>
                <w:w w:val="88"/>
              </w:rPr>
              <w:t xml:space="preserve"> Street</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81"/>
        </w:trPr>
        <w:tc>
          <w:tcPr>
            <w:tcW w:w="2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80" w:type="dxa"/>
            <w:vAlign w:val="bottom"/>
            <w:gridSpan w:val="4"/>
          </w:tcPr>
          <w:p>
            <w:pPr>
              <w:jc w:val="center"/>
              <w:ind w:right="780"/>
              <w:spacing w:after="0" w:line="181" w:lineRule="exact"/>
              <w:rPr>
                <w:sz w:val="20"/>
                <w:szCs w:val="20"/>
                <w:color w:val="auto"/>
              </w:rPr>
            </w:pPr>
            <w:r>
              <w:rPr>
                <w:rFonts w:ascii="Arial" w:cs="Arial" w:eastAsia="Arial" w:hAnsi="Arial"/>
                <w:sz w:val="17"/>
                <w:szCs w:val="17"/>
                <w:color w:val="auto"/>
                <w:w w:val="92"/>
              </w:rPr>
              <w:t>Rochester, MI, 48307</w:t>
            </w: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
        </w:trPr>
        <w:tc>
          <w:tcPr>
            <w:tcW w:w="2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7"/>
        </w:trPr>
        <w:tc>
          <w:tcPr>
            <w:tcW w:w="2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40" w:type="dxa"/>
            <w:vAlign w:val="bottom"/>
            <w:gridSpan w:val="5"/>
          </w:tcPr>
          <w:p>
            <w:pPr>
              <w:jc w:val="center"/>
              <w:ind w:left="693"/>
              <w:spacing w:after="0"/>
              <w:rPr>
                <w:sz w:val="20"/>
                <w:szCs w:val="20"/>
                <w:color w:val="auto"/>
              </w:rPr>
            </w:pPr>
            <w:r>
              <w:rPr>
                <w:rFonts w:ascii="Arial" w:cs="Arial" w:eastAsia="Arial" w:hAnsi="Arial"/>
                <w:sz w:val="17"/>
                <w:szCs w:val="17"/>
                <w:color w:val="auto"/>
                <w:w w:val="94"/>
              </w:rPr>
              <w:t>(Address of principal executive offices)</w:t>
            </w: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03"/>
        </w:trPr>
        <w:tc>
          <w:tcPr>
            <w:tcW w:w="4420" w:type="dxa"/>
            <w:vAlign w:val="bottom"/>
            <w:gridSpan w:val="4"/>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248-651-6558</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7"/>
        </w:trPr>
        <w:tc>
          <w:tcPr>
            <w:tcW w:w="2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40" w:type="dxa"/>
            <w:vAlign w:val="bottom"/>
            <w:gridSpan w:val="5"/>
          </w:tcPr>
          <w:p>
            <w:pPr>
              <w:jc w:val="center"/>
              <w:ind w:left="693"/>
              <w:spacing w:after="0"/>
              <w:rPr>
                <w:sz w:val="20"/>
                <w:szCs w:val="20"/>
                <w:color w:val="auto"/>
              </w:rPr>
            </w:pPr>
            <w:r>
              <w:rPr>
                <w:rFonts w:ascii="Arial" w:cs="Arial" w:eastAsia="Arial" w:hAnsi="Arial"/>
                <w:sz w:val="17"/>
                <w:szCs w:val="17"/>
                <w:color w:val="auto"/>
                <w:w w:val="91"/>
              </w:rPr>
              <w:t>(Issuer’s telephone number)</w:t>
            </w: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95" w:lineRule="exact"/>
        <w:rPr>
          <w:sz w:val="24"/>
          <w:szCs w:val="24"/>
          <w:color w:val="auto"/>
        </w:rPr>
      </w:pPr>
    </w:p>
    <w:p>
      <w:pPr>
        <w:ind w:left="2980"/>
        <w:spacing w:after="0"/>
        <w:rPr>
          <w:sz w:val="20"/>
          <w:szCs w:val="20"/>
          <w:color w:val="auto"/>
        </w:rPr>
      </w:pPr>
      <w:r>
        <w:rPr>
          <w:rFonts w:ascii="Arial" w:cs="Arial" w:eastAsia="Arial" w:hAnsi="Arial"/>
          <w:sz w:val="17"/>
          <w:szCs w:val="17"/>
          <w:color w:val="auto"/>
        </w:rPr>
        <w:t>_______________________________________________________________</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08" w:lineRule="exact"/>
        <w:rPr>
          <w:sz w:val="24"/>
          <w:szCs w:val="24"/>
          <w:color w:val="auto"/>
        </w:rPr>
      </w:pPr>
    </w:p>
    <w:p>
      <w:pPr>
        <w:jc w:val="both"/>
        <w:ind w:right="60"/>
        <w:spacing w:after="0" w:line="355" w:lineRule="auto"/>
        <w:rPr>
          <w:sz w:val="20"/>
          <w:szCs w:val="20"/>
          <w:color w:val="auto"/>
        </w:rPr>
      </w:pPr>
      <w:r>
        <w:rPr>
          <w:rFonts w:ascii="Arial" w:cs="Arial" w:eastAsia="Arial" w:hAnsi="Arial"/>
          <w:sz w:val="15"/>
          <w:szCs w:val="15"/>
          <w:color w:val="auto"/>
        </w:rPr>
        <w:t>Check whether the issuer (1) filed all reports required to be filed by Section 13 or 15(d) of the Securities Exchange Act of 1934 during the preceding 12 months (or for such shorter period that the issuer was required to file such reports), and (2) has been subject to such filing requirements for the past 90 days [X] Yes [ ] No</w:t>
      </w:r>
    </w:p>
    <w:p>
      <w:pPr>
        <w:spacing w:after="0" w:line="139" w:lineRule="exact"/>
        <w:rPr>
          <w:sz w:val="24"/>
          <w:szCs w:val="24"/>
          <w:color w:val="auto"/>
        </w:rPr>
      </w:pPr>
    </w:p>
    <w:p>
      <w:pPr>
        <w:jc w:val="both"/>
        <w:ind w:right="40"/>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Yes [ ] No [X]</w:t>
      </w:r>
    </w:p>
    <w:p>
      <w:pPr>
        <w:spacing w:after="0" w:line="19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60"/>
          </w:cols>
          <w:pgMar w:left="240" w:top="465" w:right="199" w:bottom="1440" w:gutter="0" w:footer="0" w:header="0"/>
        </w:sectPr>
      </w:pPr>
    </w:p>
    <w:p>
      <w:pPr>
        <w:spacing w:after="0" w:line="246" w:lineRule="exact"/>
        <w:rPr>
          <w:sz w:val="24"/>
          <w:szCs w:val="24"/>
          <w:color w:val="auto"/>
        </w:rPr>
      </w:pPr>
    </w:p>
    <w:p>
      <w:pPr>
        <w:ind w:right="2020"/>
        <w:spacing w:after="0" w:line="285" w:lineRule="auto"/>
        <w:rPr>
          <w:sz w:val="20"/>
          <w:szCs w:val="20"/>
          <w:color w:val="auto"/>
        </w:rPr>
      </w:pPr>
      <w:r>
        <w:rPr>
          <w:rFonts w:ascii="Arial" w:cs="Arial" w:eastAsia="Arial" w:hAnsi="Arial"/>
          <w:sz w:val="17"/>
          <w:szCs w:val="17"/>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65" w:lineRule="exact"/>
        <w:rPr>
          <w:sz w:val="24"/>
          <w:szCs w:val="24"/>
          <w:color w:val="auto"/>
        </w:rPr>
      </w:pPr>
    </w:p>
    <w:p>
      <w:pPr>
        <w:sectPr>
          <w:pgSz w:w="11900" w:h="16838" w:orient="portrait"/>
          <w:cols w:equalWidth="0" w:num="2">
            <w:col w:w="4980" w:space="720"/>
            <w:col w:w="5760"/>
          </w:cols>
          <w:pgMar w:left="240" w:top="465" w:right="199" w:bottom="1440" w:gutter="0" w:footer="0" w:header="0"/>
          <w:type w:val="continuous"/>
        </w:sect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 ]  No [X]</w:t>
      </w:r>
    </w:p>
    <w:p>
      <w:pPr>
        <w:spacing w:after="0" w:line="246" w:lineRule="exact"/>
        <w:rPr>
          <w:sz w:val="24"/>
          <w:szCs w:val="24"/>
          <w:color w:val="auto"/>
        </w:rPr>
      </w:pPr>
    </w:p>
    <w:p>
      <w:pPr>
        <w:spacing w:after="0" w:line="285" w:lineRule="auto"/>
        <w:rPr>
          <w:sz w:val="20"/>
          <w:szCs w:val="20"/>
          <w:color w:val="auto"/>
        </w:rPr>
      </w:pPr>
      <w:r>
        <w:rPr>
          <w:rFonts w:ascii="Arial" w:cs="Arial" w:eastAsia="Arial" w:hAnsi="Arial"/>
          <w:sz w:val="17"/>
          <w:szCs w:val="17"/>
          <w:color w:val="auto"/>
        </w:rPr>
        <w:t>State the number of shares outstanding of each of the issuer’s classes of common stock, as of the latest practicable date: 12,688,866 Common Shares as of August 12,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486410</wp:posOffset>
            </wp:positionV>
            <wp:extent cx="72561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60"/>
          </w:cols>
          <w:pgMar w:left="240" w:top="465" w:right="19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7"/>
          <w:szCs w:val="17"/>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147955</wp:posOffset>
            </wp:positionV>
            <wp:extent cx="1946910" cy="437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6910" cy="43751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255270</wp:posOffset>
            </wp:positionV>
            <wp:extent cx="27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386715</wp:posOffset>
            </wp:positionV>
            <wp:extent cx="27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518795</wp:posOffset>
            </wp:positionV>
            <wp:extent cx="27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650875</wp:posOffset>
            </wp:positionV>
            <wp:extent cx="27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gridSpan w:val="4"/>
          </w:tcPr>
          <w:p>
            <w:pPr>
              <w:jc w:val="center"/>
              <w:ind w:right="280"/>
              <w:spacing w:after="0"/>
              <w:rPr>
                <w:sz w:val="20"/>
                <w:szCs w:val="20"/>
                <w:color w:val="auto"/>
              </w:rPr>
            </w:pPr>
            <w:r>
              <w:rPr>
                <w:rFonts w:ascii="Arial" w:cs="Arial" w:eastAsia="Arial" w:hAnsi="Arial"/>
                <w:sz w:val="17"/>
                <w:szCs w:val="17"/>
                <w:color w:val="auto"/>
                <w:w w:val="85"/>
              </w:rPr>
              <w:t>Page</w:t>
            </w:r>
          </w:p>
        </w:tc>
        <w:tc>
          <w:tcPr>
            <w:tcW w:w="2280" w:type="dxa"/>
            <w:vAlign w:val="bottom"/>
          </w:tcPr>
          <w:p>
            <w:pPr>
              <w:spacing w:after="0"/>
              <w:rPr>
                <w:sz w:val="16"/>
                <w:szCs w:val="16"/>
                <w:color w:val="auto"/>
              </w:rPr>
            </w:pPr>
          </w:p>
        </w:tc>
      </w:tr>
      <w:tr>
        <w:trPr>
          <w:trHeight w:val="396"/>
        </w:trPr>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80" w:type="dxa"/>
            <w:vAlign w:val="bottom"/>
            <w:gridSpan w:val="12"/>
          </w:tcPr>
          <w:p>
            <w:pPr>
              <w:jc w:val="center"/>
              <w:ind w:right="1240"/>
              <w:spacing w:after="0"/>
              <w:rPr>
                <w:sz w:val="20"/>
                <w:szCs w:val="20"/>
                <w:color w:val="auto"/>
              </w:rPr>
            </w:pPr>
            <w:r>
              <w:rPr>
                <w:rFonts w:ascii="Arial" w:cs="Arial" w:eastAsia="Arial" w:hAnsi="Arial"/>
                <w:sz w:val="17"/>
                <w:szCs w:val="17"/>
                <w:color w:val="auto"/>
                <w:w w:val="99"/>
              </w:rPr>
              <w:t>PART I – FINANCIAL INFORMATION</w:t>
            </w: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7"/>
        </w:trPr>
        <w:tc>
          <w:tcPr>
            <w:tcW w:w="2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169"/>
        </w:trPr>
        <w:tc>
          <w:tcPr>
            <w:tcW w:w="2300" w:type="dxa"/>
            <w:vAlign w:val="bottom"/>
          </w:tcPr>
          <w:p>
            <w:pPr>
              <w:spacing w:after="0"/>
              <w:rPr>
                <w:sz w:val="14"/>
                <w:szCs w:val="14"/>
                <w:color w:val="auto"/>
              </w:rPr>
            </w:pPr>
          </w:p>
        </w:tc>
        <w:tc>
          <w:tcPr>
            <w:tcW w:w="960" w:type="dxa"/>
            <w:vAlign w:val="bottom"/>
            <w:gridSpan w:val="4"/>
            <w:shd w:val="clear" w:color="auto" w:fill="CBDBD1"/>
          </w:tcPr>
          <w:p>
            <w:pPr>
              <w:spacing w:after="0" w:line="169" w:lineRule="exact"/>
              <w:rPr>
                <w:rFonts w:ascii="Arial" w:cs="Arial" w:eastAsia="Arial" w:hAnsi="Arial"/>
                <w:sz w:val="17"/>
                <w:szCs w:val="17"/>
                <w:color w:val="0000EE"/>
              </w:rPr>
            </w:pPr>
            <w:hyperlink w:anchor="page3">
              <w:r>
                <w:rPr>
                  <w:rFonts w:ascii="Arial" w:cs="Arial" w:eastAsia="Arial" w:hAnsi="Arial"/>
                  <w:sz w:val="17"/>
                  <w:szCs w:val="17"/>
                  <w:color w:val="0000EE"/>
                </w:rPr>
                <w:t>Item 1:</w:t>
              </w:r>
            </w:hyperlink>
          </w:p>
        </w:tc>
        <w:tc>
          <w:tcPr>
            <w:tcW w:w="5260" w:type="dxa"/>
            <w:vAlign w:val="bottom"/>
            <w:gridSpan w:val="14"/>
            <w:shd w:val="clear" w:color="auto" w:fill="CBDBD1"/>
          </w:tcPr>
          <w:p>
            <w:pPr>
              <w:spacing w:after="0" w:line="169" w:lineRule="exact"/>
              <w:rPr>
                <w:rFonts w:ascii="Arial" w:cs="Arial" w:eastAsia="Arial" w:hAnsi="Arial"/>
                <w:sz w:val="17"/>
                <w:szCs w:val="17"/>
                <w:color w:val="0000EE"/>
              </w:rPr>
            </w:pPr>
            <w:hyperlink w:anchor="page3">
              <w:r>
                <w:rPr>
                  <w:rFonts w:ascii="Arial" w:cs="Arial" w:eastAsia="Arial" w:hAnsi="Arial"/>
                  <w:sz w:val="17"/>
                  <w:szCs w:val="17"/>
                  <w:color w:val="0000EE"/>
                </w:rPr>
                <w:t>Financial Statements</w:t>
              </w:r>
            </w:hyperlink>
          </w:p>
        </w:tc>
        <w:tc>
          <w:tcPr>
            <w:tcW w:w="340" w:type="dxa"/>
            <w:vAlign w:val="bottom"/>
            <w:gridSpan w:val="3"/>
            <w:shd w:val="clear" w:color="auto" w:fill="CBDBD1"/>
          </w:tcPr>
          <w:p>
            <w:pPr>
              <w:jc w:val="center"/>
              <w:spacing w:after="0" w:line="169" w:lineRule="exact"/>
              <w:rPr>
                <w:rFonts w:ascii="Arial" w:cs="Arial" w:eastAsia="Arial" w:hAnsi="Arial"/>
                <w:sz w:val="17"/>
                <w:szCs w:val="17"/>
                <w:color w:val="0000EE"/>
              </w:rPr>
            </w:pPr>
            <w:hyperlink w:anchor="page3">
              <w:r>
                <w:rPr>
                  <w:rFonts w:ascii="Arial" w:cs="Arial" w:eastAsia="Arial" w:hAnsi="Arial"/>
                  <w:sz w:val="17"/>
                  <w:szCs w:val="17"/>
                  <w:color w:val="0000EE"/>
                </w:rPr>
                <w:t>3</w:t>
              </w:r>
            </w:hyperlink>
          </w:p>
        </w:tc>
        <w:tc>
          <w:tcPr>
            <w:tcW w:w="280" w:type="dxa"/>
            <w:vAlign w:val="bottom"/>
            <w:shd w:val="clear" w:color="auto" w:fill="CBDBD1"/>
          </w:tcPr>
          <w:p>
            <w:pPr>
              <w:spacing w:after="0"/>
              <w:rPr>
                <w:sz w:val="14"/>
                <w:szCs w:val="14"/>
                <w:color w:val="auto"/>
              </w:rPr>
            </w:pPr>
          </w:p>
        </w:tc>
        <w:tc>
          <w:tcPr>
            <w:tcW w:w="2280" w:type="dxa"/>
            <w:vAlign w:val="bottom"/>
          </w:tcPr>
          <w:p>
            <w:pPr>
              <w:spacing w:after="0"/>
              <w:rPr>
                <w:sz w:val="14"/>
                <w:szCs w:val="14"/>
                <w:color w:val="auto"/>
              </w:rPr>
            </w:pPr>
          </w:p>
        </w:tc>
      </w:tr>
      <w:tr>
        <w:trPr>
          <w:trHeight w:val="39"/>
        </w:trPr>
        <w:tc>
          <w:tcPr>
            <w:tcW w:w="2300" w:type="dxa"/>
            <w:vAlign w:val="bottom"/>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00" w:type="dxa"/>
            <w:vAlign w:val="bottom"/>
            <w:shd w:val="clear" w:color="auto" w:fill="CBDBD1"/>
          </w:tcPr>
          <w:p>
            <w:pPr>
              <w:spacing w:after="0"/>
              <w:rPr>
                <w:sz w:val="3"/>
                <w:szCs w:val="3"/>
                <w:color w:val="auto"/>
              </w:rPr>
            </w:pPr>
          </w:p>
        </w:tc>
        <w:tc>
          <w:tcPr>
            <w:tcW w:w="40" w:type="dxa"/>
            <w:vAlign w:val="bottom"/>
            <w:shd w:val="clear" w:color="auto" w:fill="CBDBD1"/>
          </w:tcPr>
          <w:p>
            <w:pPr>
              <w:spacing w:after="0"/>
              <w:rPr>
                <w:sz w:val="3"/>
                <w:szCs w:val="3"/>
                <w:color w:val="auto"/>
              </w:rPr>
            </w:pPr>
          </w:p>
        </w:tc>
        <w:tc>
          <w:tcPr>
            <w:tcW w:w="340" w:type="dxa"/>
            <w:vAlign w:val="bottom"/>
            <w:shd w:val="clear" w:color="auto" w:fill="CBDBD1"/>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CBDBD1"/>
            </w:tcBorders>
            <w:shd w:val="clear" w:color="auto" w:fill="0000EE"/>
          </w:tcPr>
          <w:p>
            <w:pPr>
              <w:spacing w:after="0"/>
              <w:rPr>
                <w:sz w:val="3"/>
                <w:szCs w:val="3"/>
                <w:color w:val="auto"/>
              </w:rPr>
            </w:pPr>
          </w:p>
        </w:tc>
        <w:tc>
          <w:tcPr>
            <w:tcW w:w="200" w:type="dxa"/>
            <w:vAlign w:val="bottom"/>
            <w:shd w:val="clear" w:color="auto" w:fill="CBDBD1"/>
          </w:tcPr>
          <w:p>
            <w:pPr>
              <w:spacing w:after="0"/>
              <w:rPr>
                <w:sz w:val="3"/>
                <w:szCs w:val="3"/>
                <w:color w:val="auto"/>
              </w:rPr>
            </w:pPr>
          </w:p>
        </w:tc>
        <w:tc>
          <w:tcPr>
            <w:tcW w:w="540" w:type="dxa"/>
            <w:vAlign w:val="bottom"/>
            <w:shd w:val="clear" w:color="auto" w:fill="CBDBD1"/>
          </w:tcPr>
          <w:p>
            <w:pPr>
              <w:spacing w:after="0"/>
              <w:rPr>
                <w:sz w:val="3"/>
                <w:szCs w:val="3"/>
                <w:color w:val="auto"/>
              </w:rPr>
            </w:pPr>
          </w:p>
        </w:tc>
        <w:tc>
          <w:tcPr>
            <w:tcW w:w="1380" w:type="dxa"/>
            <w:vAlign w:val="bottom"/>
            <w:shd w:val="clear" w:color="auto" w:fill="CBDBD1"/>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140" w:type="dxa"/>
            <w:vAlign w:val="bottom"/>
            <w:shd w:val="clear" w:color="auto" w:fill="CBDBD1"/>
          </w:tcPr>
          <w:p>
            <w:pPr>
              <w:spacing w:after="0"/>
              <w:rPr>
                <w:sz w:val="3"/>
                <w:szCs w:val="3"/>
                <w:color w:val="auto"/>
              </w:rPr>
            </w:pPr>
          </w:p>
        </w:tc>
        <w:tc>
          <w:tcPr>
            <w:tcW w:w="320" w:type="dxa"/>
            <w:vAlign w:val="bottom"/>
            <w:tcBorders>
              <w:right w:val="single" w:sz="8" w:color="CBDBD1"/>
            </w:tcBorders>
            <w:shd w:val="clear" w:color="auto" w:fill="CBDBD1"/>
          </w:tcPr>
          <w:p>
            <w:pPr>
              <w:spacing w:after="0"/>
              <w:rPr>
                <w:sz w:val="3"/>
                <w:szCs w:val="3"/>
                <w:color w:val="auto"/>
              </w:rPr>
            </w:pPr>
          </w:p>
        </w:tc>
        <w:tc>
          <w:tcPr>
            <w:tcW w:w="480" w:type="dxa"/>
            <w:vAlign w:val="bottom"/>
            <w:shd w:val="clear" w:color="auto" w:fill="CBDBD1"/>
          </w:tcPr>
          <w:p>
            <w:pPr>
              <w:spacing w:after="0"/>
              <w:rPr>
                <w:sz w:val="3"/>
                <w:szCs w:val="3"/>
                <w:color w:val="auto"/>
              </w:rPr>
            </w:pPr>
          </w:p>
        </w:tc>
        <w:tc>
          <w:tcPr>
            <w:tcW w:w="580" w:type="dxa"/>
            <w:vAlign w:val="bottom"/>
            <w:shd w:val="clear" w:color="auto" w:fill="CBDBD1"/>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280" w:type="dxa"/>
            <w:vAlign w:val="bottom"/>
            <w:shd w:val="clear" w:color="auto" w:fill="CBDBD1"/>
          </w:tcPr>
          <w:p>
            <w:pPr>
              <w:spacing w:after="0"/>
              <w:rPr>
                <w:sz w:val="3"/>
                <w:szCs w:val="3"/>
                <w:color w:val="auto"/>
              </w:rPr>
            </w:pPr>
          </w:p>
        </w:tc>
        <w:tc>
          <w:tcPr>
            <w:tcW w:w="2280" w:type="dxa"/>
            <w:vAlign w:val="bottom"/>
          </w:tcPr>
          <w:p>
            <w:pPr>
              <w:spacing w:after="0"/>
              <w:rPr>
                <w:sz w:val="3"/>
                <w:szCs w:val="3"/>
                <w:color w:val="auto"/>
              </w:rPr>
            </w:pPr>
          </w:p>
        </w:tc>
      </w:tr>
      <w:tr>
        <w:trPr>
          <w:trHeight w:val="169"/>
        </w:trPr>
        <w:tc>
          <w:tcPr>
            <w:tcW w:w="2300" w:type="dxa"/>
            <w:vAlign w:val="bottom"/>
          </w:tcPr>
          <w:p>
            <w:pPr>
              <w:spacing w:after="0"/>
              <w:rPr>
                <w:sz w:val="14"/>
                <w:szCs w:val="14"/>
                <w:color w:val="auto"/>
              </w:rPr>
            </w:pPr>
          </w:p>
        </w:tc>
        <w:tc>
          <w:tcPr>
            <w:tcW w:w="960" w:type="dxa"/>
            <w:vAlign w:val="bottom"/>
            <w:gridSpan w:val="4"/>
          </w:tcPr>
          <w:p>
            <w:pPr>
              <w:spacing w:after="0" w:line="169" w:lineRule="exact"/>
              <w:rPr>
                <w:rFonts w:ascii="Arial" w:cs="Arial" w:eastAsia="Arial" w:hAnsi="Arial"/>
                <w:sz w:val="17"/>
                <w:szCs w:val="17"/>
                <w:color w:val="0000EE"/>
              </w:rPr>
            </w:pPr>
            <w:hyperlink w:anchor="page19">
              <w:r>
                <w:rPr>
                  <w:rFonts w:ascii="Arial" w:cs="Arial" w:eastAsia="Arial" w:hAnsi="Arial"/>
                  <w:sz w:val="17"/>
                  <w:szCs w:val="17"/>
                  <w:color w:val="0000EE"/>
                </w:rPr>
                <w:t>Item 2:</w:t>
              </w:r>
            </w:hyperlink>
          </w:p>
        </w:tc>
        <w:tc>
          <w:tcPr>
            <w:tcW w:w="5260" w:type="dxa"/>
            <w:vAlign w:val="bottom"/>
            <w:gridSpan w:val="14"/>
          </w:tcPr>
          <w:p>
            <w:pPr>
              <w:spacing w:after="0" w:line="169" w:lineRule="exact"/>
              <w:rPr>
                <w:rFonts w:ascii="Arial" w:cs="Arial" w:eastAsia="Arial" w:hAnsi="Arial"/>
                <w:sz w:val="17"/>
                <w:szCs w:val="17"/>
                <w:color w:val="0000EE"/>
              </w:rPr>
            </w:pPr>
            <w:hyperlink w:anchor="page19">
              <w:r>
                <w:rPr>
                  <w:rFonts w:ascii="Arial" w:cs="Arial" w:eastAsia="Arial" w:hAnsi="Arial"/>
                  <w:sz w:val="17"/>
                  <w:szCs w:val="17"/>
                  <w:color w:val="0000EE"/>
                </w:rPr>
                <w:t>Management’s Discussion and Analysis of Financial Condition and</w:t>
              </w:r>
            </w:hyperlink>
          </w:p>
        </w:tc>
        <w:tc>
          <w:tcPr>
            <w:tcW w:w="340" w:type="dxa"/>
            <w:vAlign w:val="bottom"/>
            <w:gridSpan w:val="3"/>
          </w:tcPr>
          <w:p>
            <w:pPr>
              <w:jc w:val="center"/>
              <w:spacing w:after="0" w:line="169" w:lineRule="exact"/>
              <w:rPr>
                <w:rFonts w:ascii="Arial" w:cs="Arial" w:eastAsia="Arial" w:hAnsi="Arial"/>
                <w:sz w:val="17"/>
                <w:szCs w:val="17"/>
                <w:color w:val="0000EE"/>
              </w:rPr>
            </w:pPr>
            <w:hyperlink w:anchor="page19">
              <w:r>
                <w:rPr>
                  <w:rFonts w:ascii="Arial" w:cs="Arial" w:eastAsia="Arial" w:hAnsi="Arial"/>
                  <w:sz w:val="17"/>
                  <w:szCs w:val="17"/>
                  <w:color w:val="0000EE"/>
                </w:rPr>
                <w:t>4</w:t>
              </w:r>
            </w:hyperlink>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8"/>
        </w:trPr>
        <w:tc>
          <w:tcPr>
            <w:tcW w:w="2300" w:type="dxa"/>
            <w:vAlign w:val="bottom"/>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80" w:type="dxa"/>
            <w:vAlign w:val="bottom"/>
            <w:tcBorders>
              <w:top w:val="single" w:sz="8" w:color="0000EE"/>
            </w:tcBorders>
            <w:gridSpan w:val="13"/>
          </w:tcPr>
          <w:p>
            <w:pPr>
              <w:spacing w:after="0" w:line="188" w:lineRule="exact"/>
              <w:rPr>
                <w:rFonts w:ascii="Arial" w:cs="Arial" w:eastAsia="Arial" w:hAnsi="Arial"/>
                <w:sz w:val="17"/>
                <w:szCs w:val="17"/>
                <w:color w:val="0000EE"/>
              </w:rPr>
            </w:pPr>
            <w:hyperlink w:anchor="page19">
              <w:r>
                <w:rPr>
                  <w:rFonts w:ascii="Arial" w:cs="Arial" w:eastAsia="Arial" w:hAnsi="Arial"/>
                  <w:sz w:val="17"/>
                  <w:szCs w:val="17"/>
                  <w:color w:val="0000EE"/>
                </w:rPr>
                <w:t>Results of Operations</w:t>
              </w:r>
            </w:hyperlink>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9"/>
        </w:trPr>
        <w:tc>
          <w:tcPr>
            <w:tcW w:w="2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78"/>
        </w:trPr>
        <w:tc>
          <w:tcPr>
            <w:tcW w:w="2300" w:type="dxa"/>
            <w:vAlign w:val="bottom"/>
          </w:tcPr>
          <w:p>
            <w:pPr>
              <w:spacing w:after="0"/>
              <w:rPr>
                <w:sz w:val="15"/>
                <w:szCs w:val="15"/>
                <w:color w:val="auto"/>
              </w:rPr>
            </w:pPr>
          </w:p>
        </w:tc>
        <w:tc>
          <w:tcPr>
            <w:tcW w:w="960" w:type="dxa"/>
            <w:vAlign w:val="bottom"/>
            <w:gridSpan w:val="4"/>
            <w:shd w:val="clear" w:color="auto" w:fill="CBDBD1"/>
          </w:tcPr>
          <w:p>
            <w:pPr>
              <w:spacing w:after="0" w:line="179" w:lineRule="exact"/>
              <w:rPr>
                <w:rFonts w:ascii="Arial" w:cs="Arial" w:eastAsia="Arial" w:hAnsi="Arial"/>
                <w:sz w:val="17"/>
                <w:szCs w:val="17"/>
                <w:color w:val="0000EE"/>
              </w:rPr>
            </w:pPr>
            <w:hyperlink w:anchor="page22">
              <w:r>
                <w:rPr>
                  <w:rFonts w:ascii="Arial" w:cs="Arial" w:eastAsia="Arial" w:hAnsi="Arial"/>
                  <w:sz w:val="17"/>
                  <w:szCs w:val="17"/>
                  <w:color w:val="0000EE"/>
                </w:rPr>
                <w:t>Item 3:</w:t>
              </w:r>
            </w:hyperlink>
          </w:p>
        </w:tc>
        <w:tc>
          <w:tcPr>
            <w:tcW w:w="5260" w:type="dxa"/>
            <w:vAlign w:val="bottom"/>
            <w:gridSpan w:val="14"/>
            <w:shd w:val="clear" w:color="auto" w:fill="CBDBD1"/>
          </w:tcPr>
          <w:p>
            <w:pPr>
              <w:spacing w:after="0" w:line="179" w:lineRule="exact"/>
              <w:rPr>
                <w:rFonts w:ascii="Arial" w:cs="Arial" w:eastAsia="Arial" w:hAnsi="Arial"/>
                <w:sz w:val="17"/>
                <w:szCs w:val="17"/>
                <w:color w:val="0000EE"/>
              </w:rPr>
            </w:pPr>
            <w:hyperlink w:anchor="page22">
              <w:r>
                <w:rPr>
                  <w:rFonts w:ascii="Arial" w:cs="Arial" w:eastAsia="Arial" w:hAnsi="Arial"/>
                  <w:sz w:val="17"/>
                  <w:szCs w:val="17"/>
                  <w:color w:val="0000EE"/>
                </w:rPr>
                <w:t>Quantitative and Qualitative Disclosures About Market Risk</w:t>
              </w:r>
            </w:hyperlink>
          </w:p>
        </w:tc>
        <w:tc>
          <w:tcPr>
            <w:tcW w:w="340" w:type="dxa"/>
            <w:vAlign w:val="bottom"/>
            <w:gridSpan w:val="3"/>
            <w:shd w:val="clear" w:color="auto" w:fill="CBDBD1"/>
          </w:tcPr>
          <w:p>
            <w:pPr>
              <w:jc w:val="center"/>
              <w:spacing w:after="0" w:line="179" w:lineRule="exact"/>
              <w:rPr>
                <w:rFonts w:ascii="Arial" w:cs="Arial" w:eastAsia="Arial" w:hAnsi="Arial"/>
                <w:sz w:val="17"/>
                <w:szCs w:val="17"/>
                <w:color w:val="0000EE"/>
              </w:rPr>
            </w:pPr>
            <w:hyperlink w:anchor="page22">
              <w:r>
                <w:rPr>
                  <w:rFonts w:ascii="Arial" w:cs="Arial" w:eastAsia="Arial" w:hAnsi="Arial"/>
                  <w:sz w:val="17"/>
                  <w:szCs w:val="17"/>
                  <w:color w:val="0000EE"/>
                </w:rPr>
                <w:t>7</w:t>
              </w:r>
            </w:hyperlink>
          </w:p>
        </w:tc>
        <w:tc>
          <w:tcPr>
            <w:tcW w:w="28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r>
      <w:tr>
        <w:trPr>
          <w:trHeight w:val="39"/>
        </w:trPr>
        <w:tc>
          <w:tcPr>
            <w:tcW w:w="2300" w:type="dxa"/>
            <w:vAlign w:val="bottom"/>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00" w:type="dxa"/>
            <w:vAlign w:val="bottom"/>
            <w:shd w:val="clear" w:color="auto" w:fill="CBDBD1"/>
          </w:tcPr>
          <w:p>
            <w:pPr>
              <w:spacing w:after="0"/>
              <w:rPr>
                <w:sz w:val="3"/>
                <w:szCs w:val="3"/>
                <w:color w:val="auto"/>
              </w:rPr>
            </w:pPr>
          </w:p>
        </w:tc>
        <w:tc>
          <w:tcPr>
            <w:tcW w:w="40" w:type="dxa"/>
            <w:vAlign w:val="bottom"/>
            <w:shd w:val="clear" w:color="auto" w:fill="CBDBD1"/>
          </w:tcPr>
          <w:p>
            <w:pPr>
              <w:spacing w:after="0"/>
              <w:rPr>
                <w:sz w:val="3"/>
                <w:szCs w:val="3"/>
                <w:color w:val="auto"/>
              </w:rPr>
            </w:pPr>
          </w:p>
        </w:tc>
        <w:tc>
          <w:tcPr>
            <w:tcW w:w="340" w:type="dxa"/>
            <w:vAlign w:val="bottom"/>
            <w:shd w:val="clear" w:color="auto" w:fill="CBDBD1"/>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3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480" w:type="dxa"/>
            <w:vAlign w:val="bottom"/>
            <w:shd w:val="clear" w:color="auto" w:fill="CBDBD1"/>
          </w:tcPr>
          <w:p>
            <w:pPr>
              <w:spacing w:after="0"/>
              <w:rPr>
                <w:sz w:val="3"/>
                <w:szCs w:val="3"/>
                <w:color w:val="auto"/>
              </w:rPr>
            </w:pPr>
          </w:p>
        </w:tc>
        <w:tc>
          <w:tcPr>
            <w:tcW w:w="580" w:type="dxa"/>
            <w:vAlign w:val="bottom"/>
            <w:shd w:val="clear" w:color="auto" w:fill="CBDBD1"/>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280" w:type="dxa"/>
            <w:vAlign w:val="bottom"/>
            <w:shd w:val="clear" w:color="auto" w:fill="CBDBD1"/>
          </w:tcPr>
          <w:p>
            <w:pPr>
              <w:spacing w:after="0"/>
              <w:rPr>
                <w:sz w:val="3"/>
                <w:szCs w:val="3"/>
                <w:color w:val="auto"/>
              </w:rPr>
            </w:pPr>
          </w:p>
        </w:tc>
        <w:tc>
          <w:tcPr>
            <w:tcW w:w="2280" w:type="dxa"/>
            <w:vAlign w:val="bottom"/>
          </w:tcPr>
          <w:p>
            <w:pPr>
              <w:spacing w:after="0"/>
              <w:rPr>
                <w:sz w:val="3"/>
                <w:szCs w:val="3"/>
                <w:color w:val="auto"/>
              </w:rPr>
            </w:pPr>
          </w:p>
        </w:tc>
      </w:tr>
      <w:tr>
        <w:trPr>
          <w:trHeight w:val="169"/>
        </w:trPr>
        <w:tc>
          <w:tcPr>
            <w:tcW w:w="2300" w:type="dxa"/>
            <w:vAlign w:val="bottom"/>
          </w:tcPr>
          <w:p>
            <w:pPr>
              <w:spacing w:after="0"/>
              <w:rPr>
                <w:sz w:val="14"/>
                <w:szCs w:val="14"/>
                <w:color w:val="auto"/>
              </w:rPr>
            </w:pPr>
          </w:p>
        </w:tc>
        <w:tc>
          <w:tcPr>
            <w:tcW w:w="960" w:type="dxa"/>
            <w:vAlign w:val="bottom"/>
            <w:gridSpan w:val="4"/>
          </w:tcPr>
          <w:p>
            <w:pPr>
              <w:spacing w:after="0" w:line="169" w:lineRule="exact"/>
              <w:rPr>
                <w:rFonts w:ascii="Arial" w:cs="Arial" w:eastAsia="Arial" w:hAnsi="Arial"/>
                <w:sz w:val="17"/>
                <w:szCs w:val="17"/>
                <w:color w:val="0000EE"/>
              </w:rPr>
            </w:pPr>
            <w:hyperlink w:anchor="page22">
              <w:r>
                <w:rPr>
                  <w:rFonts w:ascii="Arial" w:cs="Arial" w:eastAsia="Arial" w:hAnsi="Arial"/>
                  <w:sz w:val="17"/>
                  <w:szCs w:val="17"/>
                  <w:color w:val="0000EE"/>
                </w:rPr>
                <w:t>Item 4T:</w:t>
              </w:r>
            </w:hyperlink>
          </w:p>
        </w:tc>
        <w:tc>
          <w:tcPr>
            <w:tcW w:w="5260" w:type="dxa"/>
            <w:vAlign w:val="bottom"/>
            <w:gridSpan w:val="14"/>
          </w:tcPr>
          <w:p>
            <w:pPr>
              <w:spacing w:after="0" w:line="169" w:lineRule="exact"/>
              <w:rPr>
                <w:rFonts w:ascii="Arial" w:cs="Arial" w:eastAsia="Arial" w:hAnsi="Arial"/>
                <w:sz w:val="17"/>
                <w:szCs w:val="17"/>
                <w:color w:val="0000EE"/>
              </w:rPr>
            </w:pPr>
            <w:hyperlink w:anchor="page22">
              <w:r>
                <w:rPr>
                  <w:rFonts w:ascii="Arial" w:cs="Arial" w:eastAsia="Arial" w:hAnsi="Arial"/>
                  <w:sz w:val="17"/>
                  <w:szCs w:val="17"/>
                  <w:color w:val="0000EE"/>
                </w:rPr>
                <w:t>Controls and Procedures</w:t>
              </w:r>
            </w:hyperlink>
          </w:p>
        </w:tc>
        <w:tc>
          <w:tcPr>
            <w:tcW w:w="340" w:type="dxa"/>
            <w:vAlign w:val="bottom"/>
            <w:gridSpan w:val="3"/>
          </w:tcPr>
          <w:p>
            <w:pPr>
              <w:jc w:val="center"/>
              <w:spacing w:after="0" w:line="169" w:lineRule="exact"/>
              <w:rPr>
                <w:rFonts w:ascii="Arial" w:cs="Arial" w:eastAsia="Arial" w:hAnsi="Arial"/>
                <w:sz w:val="17"/>
                <w:szCs w:val="17"/>
                <w:color w:val="0000EE"/>
              </w:rPr>
            </w:pPr>
            <w:hyperlink w:anchor="page22">
              <w:r>
                <w:rPr>
                  <w:rFonts w:ascii="Arial" w:cs="Arial" w:eastAsia="Arial" w:hAnsi="Arial"/>
                  <w:sz w:val="17"/>
                  <w:szCs w:val="17"/>
                  <w:color w:val="0000EE"/>
                </w:rPr>
                <w:t>7</w:t>
              </w:r>
            </w:hyperlink>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0"/>
        </w:trPr>
        <w:tc>
          <w:tcPr>
            <w:tcW w:w="2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96"/>
        </w:trPr>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gridSpan w:val="11"/>
          </w:tcPr>
          <w:p>
            <w:pPr>
              <w:jc w:val="center"/>
              <w:ind w:right="1360"/>
              <w:spacing w:after="0"/>
              <w:rPr>
                <w:sz w:val="20"/>
                <w:szCs w:val="20"/>
                <w:color w:val="auto"/>
              </w:rPr>
            </w:pPr>
            <w:r>
              <w:rPr>
                <w:rFonts w:ascii="Arial" w:cs="Arial" w:eastAsia="Arial" w:hAnsi="Arial"/>
                <w:sz w:val="17"/>
                <w:szCs w:val="17"/>
                <w:color w:val="auto"/>
                <w:w w:val="97"/>
              </w:rPr>
              <w:t>PART II – OTHER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7"/>
        </w:trPr>
        <w:tc>
          <w:tcPr>
            <w:tcW w:w="2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169"/>
        </w:trPr>
        <w:tc>
          <w:tcPr>
            <w:tcW w:w="2300" w:type="dxa"/>
            <w:vAlign w:val="bottom"/>
          </w:tcPr>
          <w:p>
            <w:pPr>
              <w:spacing w:after="0"/>
              <w:rPr>
                <w:sz w:val="14"/>
                <w:szCs w:val="14"/>
                <w:color w:val="auto"/>
              </w:rPr>
            </w:pPr>
          </w:p>
        </w:tc>
        <w:tc>
          <w:tcPr>
            <w:tcW w:w="960" w:type="dxa"/>
            <w:vAlign w:val="bottom"/>
            <w:gridSpan w:val="4"/>
            <w:shd w:val="clear" w:color="auto" w:fill="CBDBD1"/>
          </w:tcPr>
          <w:p>
            <w:pPr>
              <w:spacing w:after="0" w:line="169" w:lineRule="exact"/>
              <w:rPr>
                <w:rFonts w:ascii="Arial" w:cs="Arial" w:eastAsia="Arial" w:hAnsi="Arial"/>
                <w:sz w:val="17"/>
                <w:szCs w:val="17"/>
                <w:color w:val="0000EE"/>
              </w:rPr>
            </w:pPr>
            <w:hyperlink w:anchor="page23">
              <w:r>
                <w:rPr>
                  <w:rFonts w:ascii="Arial" w:cs="Arial" w:eastAsia="Arial" w:hAnsi="Arial"/>
                  <w:sz w:val="17"/>
                  <w:szCs w:val="17"/>
                  <w:color w:val="0000EE"/>
                </w:rPr>
                <w:t>Item 1:</w:t>
              </w:r>
            </w:hyperlink>
          </w:p>
        </w:tc>
        <w:tc>
          <w:tcPr>
            <w:tcW w:w="5260" w:type="dxa"/>
            <w:vAlign w:val="bottom"/>
            <w:gridSpan w:val="14"/>
            <w:shd w:val="clear" w:color="auto" w:fill="CBDBD1"/>
          </w:tcPr>
          <w:p>
            <w:pPr>
              <w:spacing w:after="0" w:line="169" w:lineRule="exact"/>
              <w:rPr>
                <w:rFonts w:ascii="Arial" w:cs="Arial" w:eastAsia="Arial" w:hAnsi="Arial"/>
                <w:sz w:val="17"/>
                <w:szCs w:val="17"/>
                <w:color w:val="0000EE"/>
              </w:rPr>
            </w:pPr>
            <w:hyperlink w:anchor="page23">
              <w:r>
                <w:rPr>
                  <w:rFonts w:ascii="Arial" w:cs="Arial" w:eastAsia="Arial" w:hAnsi="Arial"/>
                  <w:sz w:val="17"/>
                  <w:szCs w:val="17"/>
                  <w:color w:val="0000EE"/>
                </w:rPr>
                <w:t>Legal Proceedings</w:t>
              </w:r>
            </w:hyperlink>
          </w:p>
        </w:tc>
        <w:tc>
          <w:tcPr>
            <w:tcW w:w="340" w:type="dxa"/>
            <w:vAlign w:val="bottom"/>
            <w:gridSpan w:val="3"/>
            <w:shd w:val="clear" w:color="auto" w:fill="CBDBD1"/>
          </w:tcPr>
          <w:p>
            <w:pPr>
              <w:jc w:val="center"/>
              <w:spacing w:after="0" w:line="169" w:lineRule="exact"/>
              <w:rPr>
                <w:rFonts w:ascii="Arial" w:cs="Arial" w:eastAsia="Arial" w:hAnsi="Arial"/>
                <w:sz w:val="17"/>
                <w:szCs w:val="17"/>
                <w:color w:val="0000EE"/>
              </w:rPr>
            </w:pPr>
            <w:hyperlink w:anchor="page23">
              <w:r>
                <w:rPr>
                  <w:rFonts w:ascii="Arial" w:cs="Arial" w:eastAsia="Arial" w:hAnsi="Arial"/>
                  <w:sz w:val="17"/>
                  <w:szCs w:val="17"/>
                  <w:color w:val="0000EE"/>
                </w:rPr>
                <w:t>8</w:t>
              </w:r>
            </w:hyperlink>
          </w:p>
        </w:tc>
        <w:tc>
          <w:tcPr>
            <w:tcW w:w="280" w:type="dxa"/>
            <w:vAlign w:val="bottom"/>
            <w:shd w:val="clear" w:color="auto" w:fill="CBDBD1"/>
          </w:tcPr>
          <w:p>
            <w:pPr>
              <w:spacing w:after="0"/>
              <w:rPr>
                <w:sz w:val="14"/>
                <w:szCs w:val="14"/>
                <w:color w:val="auto"/>
              </w:rPr>
            </w:pPr>
          </w:p>
        </w:tc>
        <w:tc>
          <w:tcPr>
            <w:tcW w:w="2280" w:type="dxa"/>
            <w:vAlign w:val="bottom"/>
          </w:tcPr>
          <w:p>
            <w:pPr>
              <w:spacing w:after="0"/>
              <w:rPr>
                <w:sz w:val="14"/>
                <w:szCs w:val="14"/>
                <w:color w:val="auto"/>
              </w:rPr>
            </w:pPr>
          </w:p>
        </w:tc>
      </w:tr>
      <w:tr>
        <w:trPr>
          <w:trHeight w:val="39"/>
        </w:trPr>
        <w:tc>
          <w:tcPr>
            <w:tcW w:w="2300" w:type="dxa"/>
            <w:vAlign w:val="bottom"/>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00" w:type="dxa"/>
            <w:vAlign w:val="bottom"/>
            <w:shd w:val="clear" w:color="auto" w:fill="CBDBD1"/>
          </w:tcPr>
          <w:p>
            <w:pPr>
              <w:spacing w:after="0"/>
              <w:rPr>
                <w:sz w:val="3"/>
                <w:szCs w:val="3"/>
                <w:color w:val="auto"/>
              </w:rPr>
            </w:pPr>
          </w:p>
        </w:tc>
        <w:tc>
          <w:tcPr>
            <w:tcW w:w="40" w:type="dxa"/>
            <w:vAlign w:val="bottom"/>
            <w:shd w:val="clear" w:color="auto" w:fill="CBDBD1"/>
          </w:tcPr>
          <w:p>
            <w:pPr>
              <w:spacing w:after="0"/>
              <w:rPr>
                <w:sz w:val="3"/>
                <w:szCs w:val="3"/>
                <w:color w:val="auto"/>
              </w:rPr>
            </w:pPr>
          </w:p>
        </w:tc>
        <w:tc>
          <w:tcPr>
            <w:tcW w:w="340" w:type="dxa"/>
            <w:vAlign w:val="bottom"/>
            <w:shd w:val="clear" w:color="auto" w:fill="CBDBD1"/>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CBDBD1"/>
            </w:tcBorders>
            <w:shd w:val="clear" w:color="auto" w:fill="CBDBD1"/>
          </w:tcPr>
          <w:p>
            <w:pPr>
              <w:spacing w:after="0"/>
              <w:rPr>
                <w:sz w:val="3"/>
                <w:szCs w:val="3"/>
                <w:color w:val="auto"/>
              </w:rPr>
            </w:pPr>
          </w:p>
        </w:tc>
        <w:tc>
          <w:tcPr>
            <w:tcW w:w="200" w:type="dxa"/>
            <w:vAlign w:val="bottom"/>
            <w:shd w:val="clear" w:color="auto" w:fill="CBDBD1"/>
          </w:tcPr>
          <w:p>
            <w:pPr>
              <w:spacing w:after="0"/>
              <w:rPr>
                <w:sz w:val="3"/>
                <w:szCs w:val="3"/>
                <w:color w:val="auto"/>
              </w:rPr>
            </w:pPr>
          </w:p>
        </w:tc>
        <w:tc>
          <w:tcPr>
            <w:tcW w:w="540" w:type="dxa"/>
            <w:vAlign w:val="bottom"/>
            <w:shd w:val="clear" w:color="auto" w:fill="CBDBD1"/>
          </w:tcPr>
          <w:p>
            <w:pPr>
              <w:spacing w:after="0"/>
              <w:rPr>
                <w:sz w:val="3"/>
                <w:szCs w:val="3"/>
                <w:color w:val="auto"/>
              </w:rPr>
            </w:pPr>
          </w:p>
        </w:tc>
        <w:tc>
          <w:tcPr>
            <w:tcW w:w="1380" w:type="dxa"/>
            <w:vAlign w:val="bottom"/>
            <w:shd w:val="clear" w:color="auto" w:fill="CBDBD1"/>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140" w:type="dxa"/>
            <w:vAlign w:val="bottom"/>
            <w:shd w:val="clear" w:color="auto" w:fill="CBDBD1"/>
          </w:tcPr>
          <w:p>
            <w:pPr>
              <w:spacing w:after="0"/>
              <w:rPr>
                <w:sz w:val="3"/>
                <w:szCs w:val="3"/>
                <w:color w:val="auto"/>
              </w:rPr>
            </w:pPr>
          </w:p>
        </w:tc>
        <w:tc>
          <w:tcPr>
            <w:tcW w:w="320" w:type="dxa"/>
            <w:vAlign w:val="bottom"/>
            <w:tcBorders>
              <w:right w:val="single" w:sz="8" w:color="CBDBD1"/>
            </w:tcBorders>
            <w:shd w:val="clear" w:color="auto" w:fill="CBDBD1"/>
          </w:tcPr>
          <w:p>
            <w:pPr>
              <w:spacing w:after="0"/>
              <w:rPr>
                <w:sz w:val="3"/>
                <w:szCs w:val="3"/>
                <w:color w:val="auto"/>
              </w:rPr>
            </w:pPr>
          </w:p>
        </w:tc>
        <w:tc>
          <w:tcPr>
            <w:tcW w:w="480" w:type="dxa"/>
            <w:vAlign w:val="bottom"/>
            <w:shd w:val="clear" w:color="auto" w:fill="CBDBD1"/>
          </w:tcPr>
          <w:p>
            <w:pPr>
              <w:spacing w:after="0"/>
              <w:rPr>
                <w:sz w:val="3"/>
                <w:szCs w:val="3"/>
                <w:color w:val="auto"/>
              </w:rPr>
            </w:pPr>
          </w:p>
        </w:tc>
        <w:tc>
          <w:tcPr>
            <w:tcW w:w="580" w:type="dxa"/>
            <w:vAlign w:val="bottom"/>
            <w:shd w:val="clear" w:color="auto" w:fill="CBDBD1"/>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280" w:type="dxa"/>
            <w:vAlign w:val="bottom"/>
            <w:shd w:val="clear" w:color="auto" w:fill="CBDBD1"/>
          </w:tcPr>
          <w:p>
            <w:pPr>
              <w:spacing w:after="0"/>
              <w:rPr>
                <w:sz w:val="3"/>
                <w:szCs w:val="3"/>
                <w:color w:val="auto"/>
              </w:rPr>
            </w:pPr>
          </w:p>
        </w:tc>
        <w:tc>
          <w:tcPr>
            <w:tcW w:w="2280" w:type="dxa"/>
            <w:vAlign w:val="bottom"/>
          </w:tcPr>
          <w:p>
            <w:pPr>
              <w:spacing w:after="0"/>
              <w:rPr>
                <w:sz w:val="3"/>
                <w:szCs w:val="3"/>
                <w:color w:val="auto"/>
              </w:rPr>
            </w:pPr>
          </w:p>
        </w:tc>
      </w:tr>
      <w:tr>
        <w:trPr>
          <w:trHeight w:val="178"/>
        </w:trPr>
        <w:tc>
          <w:tcPr>
            <w:tcW w:w="2300" w:type="dxa"/>
            <w:vAlign w:val="bottom"/>
          </w:tcPr>
          <w:p>
            <w:pPr>
              <w:spacing w:after="0"/>
              <w:rPr>
                <w:sz w:val="15"/>
                <w:szCs w:val="15"/>
                <w:color w:val="auto"/>
              </w:rPr>
            </w:pPr>
          </w:p>
        </w:tc>
        <w:tc>
          <w:tcPr>
            <w:tcW w:w="620" w:type="dxa"/>
            <w:vAlign w:val="bottom"/>
            <w:tcBorders>
              <w:bottom w:val="single" w:sz="8" w:color="0000EE"/>
            </w:tcBorders>
            <w:gridSpan w:val="3"/>
          </w:tcPr>
          <w:p>
            <w:pPr>
              <w:spacing w:after="0" w:line="169" w:lineRule="exact"/>
              <w:rPr>
                <w:rFonts w:ascii="Arial" w:cs="Arial" w:eastAsia="Arial" w:hAnsi="Arial"/>
                <w:sz w:val="17"/>
                <w:szCs w:val="17"/>
                <w:color w:val="0000EE"/>
                <w:w w:val="94"/>
              </w:rPr>
            </w:pPr>
            <w:hyperlink w:anchor="page23">
              <w:r>
                <w:rPr>
                  <w:rFonts w:ascii="Arial" w:cs="Arial" w:eastAsia="Arial" w:hAnsi="Arial"/>
                  <w:sz w:val="17"/>
                  <w:szCs w:val="17"/>
                  <w:color w:val="0000EE"/>
                  <w:w w:val="94"/>
                </w:rPr>
                <w:t>Item 1A:</w:t>
              </w:r>
            </w:hyperlink>
          </w:p>
        </w:tc>
        <w:tc>
          <w:tcPr>
            <w:tcW w:w="340" w:type="dxa"/>
            <w:vAlign w:val="bottom"/>
          </w:tcPr>
          <w:p>
            <w:pPr>
              <w:spacing w:after="0"/>
              <w:rPr>
                <w:sz w:val="15"/>
                <w:szCs w:val="15"/>
                <w:color w:val="auto"/>
              </w:rPr>
            </w:pPr>
          </w:p>
        </w:tc>
        <w:tc>
          <w:tcPr>
            <w:tcW w:w="880" w:type="dxa"/>
            <w:vAlign w:val="bottom"/>
            <w:tcBorders>
              <w:bottom w:val="single" w:sz="8" w:color="0000EE"/>
            </w:tcBorders>
            <w:gridSpan w:val="2"/>
          </w:tcPr>
          <w:p>
            <w:pPr>
              <w:spacing w:after="0" w:line="169" w:lineRule="exact"/>
              <w:rPr>
                <w:rFonts w:ascii="Arial" w:cs="Arial" w:eastAsia="Arial" w:hAnsi="Arial"/>
                <w:sz w:val="17"/>
                <w:szCs w:val="17"/>
                <w:color w:val="0000EE"/>
                <w:w w:val="90"/>
              </w:rPr>
            </w:pPr>
            <w:hyperlink w:anchor="page23">
              <w:r>
                <w:rPr>
                  <w:rFonts w:ascii="Arial" w:cs="Arial" w:eastAsia="Arial" w:hAnsi="Arial"/>
                  <w:sz w:val="17"/>
                  <w:szCs w:val="17"/>
                  <w:color w:val="0000EE"/>
                  <w:w w:val="90"/>
                </w:rPr>
                <w:t>Risk Factors</w:t>
              </w:r>
            </w:hyperlink>
          </w:p>
        </w:tc>
        <w:tc>
          <w:tcPr>
            <w:tcW w:w="4380" w:type="dxa"/>
            <w:vAlign w:val="bottom"/>
            <w:gridSpan w:val="12"/>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0000EE"/>
            </w:tcBorders>
          </w:tcPr>
          <w:p>
            <w:pPr>
              <w:jc w:val="center"/>
              <w:spacing w:after="0" w:line="169" w:lineRule="exact"/>
              <w:rPr>
                <w:rFonts w:ascii="Arial" w:cs="Arial" w:eastAsia="Arial" w:hAnsi="Arial"/>
                <w:sz w:val="17"/>
                <w:szCs w:val="17"/>
                <w:color w:val="0000EE"/>
              </w:rPr>
            </w:pPr>
            <w:hyperlink w:anchor="page23">
              <w:r>
                <w:rPr>
                  <w:rFonts w:ascii="Arial" w:cs="Arial" w:eastAsia="Arial" w:hAnsi="Arial"/>
                  <w:sz w:val="17"/>
                  <w:szCs w:val="17"/>
                  <w:color w:val="0000EE"/>
                </w:rPr>
                <w:t>8</w:t>
              </w:r>
            </w:hyperlink>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8"/>
        </w:trPr>
        <w:tc>
          <w:tcPr>
            <w:tcW w:w="2300" w:type="dxa"/>
            <w:vAlign w:val="bottom"/>
          </w:tcPr>
          <w:p>
            <w:pPr>
              <w:spacing w:after="0"/>
              <w:rPr>
                <w:sz w:val="15"/>
                <w:szCs w:val="15"/>
                <w:color w:val="auto"/>
              </w:rPr>
            </w:pPr>
          </w:p>
        </w:tc>
        <w:tc>
          <w:tcPr>
            <w:tcW w:w="960" w:type="dxa"/>
            <w:vAlign w:val="bottom"/>
            <w:gridSpan w:val="4"/>
            <w:shd w:val="clear" w:color="auto" w:fill="CBDBD1"/>
          </w:tcPr>
          <w:p>
            <w:pPr>
              <w:spacing w:after="0" w:line="179" w:lineRule="exact"/>
              <w:rPr>
                <w:rFonts w:ascii="Arial" w:cs="Arial" w:eastAsia="Arial" w:hAnsi="Arial"/>
                <w:sz w:val="17"/>
                <w:szCs w:val="17"/>
                <w:color w:val="0000EE"/>
              </w:rPr>
            </w:pPr>
            <w:hyperlink w:anchor="page23">
              <w:r>
                <w:rPr>
                  <w:rFonts w:ascii="Arial" w:cs="Arial" w:eastAsia="Arial" w:hAnsi="Arial"/>
                  <w:sz w:val="17"/>
                  <w:szCs w:val="17"/>
                  <w:color w:val="0000EE"/>
                </w:rPr>
                <w:t>Item 2:</w:t>
              </w:r>
            </w:hyperlink>
          </w:p>
        </w:tc>
        <w:tc>
          <w:tcPr>
            <w:tcW w:w="5260" w:type="dxa"/>
            <w:vAlign w:val="bottom"/>
            <w:gridSpan w:val="14"/>
            <w:shd w:val="clear" w:color="auto" w:fill="CBDBD1"/>
          </w:tcPr>
          <w:p>
            <w:pPr>
              <w:spacing w:after="0" w:line="179" w:lineRule="exact"/>
              <w:rPr>
                <w:rFonts w:ascii="Arial" w:cs="Arial" w:eastAsia="Arial" w:hAnsi="Arial"/>
                <w:sz w:val="17"/>
                <w:szCs w:val="17"/>
                <w:color w:val="0000EE"/>
              </w:rPr>
            </w:pPr>
            <w:hyperlink w:anchor="page23">
              <w:r>
                <w:rPr>
                  <w:rFonts w:ascii="Arial" w:cs="Arial" w:eastAsia="Arial" w:hAnsi="Arial"/>
                  <w:sz w:val="17"/>
                  <w:szCs w:val="17"/>
                  <w:color w:val="0000EE"/>
                </w:rPr>
                <w:t>Unregistered Sales of Equity Securities and Use of Proceeds</w:t>
              </w:r>
            </w:hyperlink>
          </w:p>
        </w:tc>
        <w:tc>
          <w:tcPr>
            <w:tcW w:w="340" w:type="dxa"/>
            <w:vAlign w:val="bottom"/>
            <w:gridSpan w:val="3"/>
            <w:shd w:val="clear" w:color="auto" w:fill="CBDBD1"/>
          </w:tcPr>
          <w:p>
            <w:pPr>
              <w:jc w:val="center"/>
              <w:spacing w:after="0" w:line="179" w:lineRule="exact"/>
              <w:rPr>
                <w:rFonts w:ascii="Arial" w:cs="Arial" w:eastAsia="Arial" w:hAnsi="Arial"/>
                <w:sz w:val="17"/>
                <w:szCs w:val="17"/>
                <w:color w:val="0000EE"/>
              </w:rPr>
            </w:pPr>
            <w:hyperlink w:anchor="page23">
              <w:r>
                <w:rPr>
                  <w:rFonts w:ascii="Arial" w:cs="Arial" w:eastAsia="Arial" w:hAnsi="Arial"/>
                  <w:sz w:val="17"/>
                  <w:szCs w:val="17"/>
                  <w:color w:val="0000EE"/>
                </w:rPr>
                <w:t>8</w:t>
              </w:r>
            </w:hyperlink>
          </w:p>
        </w:tc>
        <w:tc>
          <w:tcPr>
            <w:tcW w:w="28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r>
      <w:tr>
        <w:trPr>
          <w:trHeight w:val="39"/>
        </w:trPr>
        <w:tc>
          <w:tcPr>
            <w:tcW w:w="2300" w:type="dxa"/>
            <w:vAlign w:val="bottom"/>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00" w:type="dxa"/>
            <w:vAlign w:val="bottom"/>
            <w:shd w:val="clear" w:color="auto" w:fill="CBDBD1"/>
          </w:tcPr>
          <w:p>
            <w:pPr>
              <w:spacing w:after="0"/>
              <w:rPr>
                <w:sz w:val="3"/>
                <w:szCs w:val="3"/>
                <w:color w:val="auto"/>
              </w:rPr>
            </w:pPr>
          </w:p>
        </w:tc>
        <w:tc>
          <w:tcPr>
            <w:tcW w:w="40" w:type="dxa"/>
            <w:vAlign w:val="bottom"/>
            <w:shd w:val="clear" w:color="auto" w:fill="CBDBD1"/>
          </w:tcPr>
          <w:p>
            <w:pPr>
              <w:spacing w:after="0"/>
              <w:rPr>
                <w:sz w:val="3"/>
                <w:szCs w:val="3"/>
                <w:color w:val="auto"/>
              </w:rPr>
            </w:pPr>
          </w:p>
        </w:tc>
        <w:tc>
          <w:tcPr>
            <w:tcW w:w="340" w:type="dxa"/>
            <w:vAlign w:val="bottom"/>
            <w:shd w:val="clear" w:color="auto" w:fill="CBDBD1"/>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3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20" w:type="dxa"/>
            <w:vAlign w:val="bottom"/>
            <w:tcBorders>
              <w:right w:val="single" w:sz="8" w:color="CBDBD1"/>
            </w:tcBorders>
            <w:shd w:val="clear" w:color="auto" w:fill="0000EE"/>
          </w:tcPr>
          <w:p>
            <w:pPr>
              <w:spacing w:after="0"/>
              <w:rPr>
                <w:sz w:val="3"/>
                <w:szCs w:val="3"/>
                <w:color w:val="auto"/>
              </w:rPr>
            </w:pPr>
          </w:p>
        </w:tc>
        <w:tc>
          <w:tcPr>
            <w:tcW w:w="480" w:type="dxa"/>
            <w:vAlign w:val="bottom"/>
            <w:shd w:val="clear" w:color="auto" w:fill="CBDBD1"/>
          </w:tcPr>
          <w:p>
            <w:pPr>
              <w:spacing w:after="0"/>
              <w:rPr>
                <w:sz w:val="3"/>
                <w:szCs w:val="3"/>
                <w:color w:val="auto"/>
              </w:rPr>
            </w:pPr>
          </w:p>
        </w:tc>
        <w:tc>
          <w:tcPr>
            <w:tcW w:w="580" w:type="dxa"/>
            <w:vAlign w:val="bottom"/>
            <w:shd w:val="clear" w:color="auto" w:fill="CBDBD1"/>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280" w:type="dxa"/>
            <w:vAlign w:val="bottom"/>
            <w:shd w:val="clear" w:color="auto" w:fill="CBDBD1"/>
          </w:tcPr>
          <w:p>
            <w:pPr>
              <w:spacing w:after="0"/>
              <w:rPr>
                <w:sz w:val="3"/>
                <w:szCs w:val="3"/>
                <w:color w:val="auto"/>
              </w:rPr>
            </w:pPr>
          </w:p>
        </w:tc>
        <w:tc>
          <w:tcPr>
            <w:tcW w:w="2280" w:type="dxa"/>
            <w:vAlign w:val="bottom"/>
          </w:tcPr>
          <w:p>
            <w:pPr>
              <w:spacing w:after="0"/>
              <w:rPr>
                <w:sz w:val="3"/>
                <w:szCs w:val="3"/>
                <w:color w:val="auto"/>
              </w:rPr>
            </w:pPr>
          </w:p>
        </w:tc>
      </w:tr>
      <w:tr>
        <w:trPr>
          <w:trHeight w:val="169"/>
        </w:trPr>
        <w:tc>
          <w:tcPr>
            <w:tcW w:w="2300" w:type="dxa"/>
            <w:vAlign w:val="bottom"/>
          </w:tcPr>
          <w:p>
            <w:pPr>
              <w:spacing w:after="0"/>
              <w:rPr>
                <w:sz w:val="14"/>
                <w:szCs w:val="14"/>
                <w:color w:val="auto"/>
              </w:rPr>
            </w:pPr>
          </w:p>
        </w:tc>
        <w:tc>
          <w:tcPr>
            <w:tcW w:w="960" w:type="dxa"/>
            <w:vAlign w:val="bottom"/>
            <w:gridSpan w:val="4"/>
          </w:tcPr>
          <w:p>
            <w:pPr>
              <w:spacing w:after="0" w:line="169" w:lineRule="exact"/>
              <w:rPr>
                <w:rFonts w:ascii="Arial" w:cs="Arial" w:eastAsia="Arial" w:hAnsi="Arial"/>
                <w:sz w:val="17"/>
                <w:szCs w:val="17"/>
                <w:color w:val="0000EE"/>
              </w:rPr>
            </w:pPr>
            <w:hyperlink w:anchor="page23">
              <w:r>
                <w:rPr>
                  <w:rFonts w:ascii="Arial" w:cs="Arial" w:eastAsia="Arial" w:hAnsi="Arial"/>
                  <w:sz w:val="17"/>
                  <w:szCs w:val="17"/>
                  <w:color w:val="0000EE"/>
                </w:rPr>
                <w:t>Item 3:</w:t>
              </w:r>
            </w:hyperlink>
          </w:p>
        </w:tc>
        <w:tc>
          <w:tcPr>
            <w:tcW w:w="5260" w:type="dxa"/>
            <w:vAlign w:val="bottom"/>
            <w:gridSpan w:val="14"/>
          </w:tcPr>
          <w:p>
            <w:pPr>
              <w:spacing w:after="0" w:line="169" w:lineRule="exact"/>
              <w:rPr>
                <w:rFonts w:ascii="Arial" w:cs="Arial" w:eastAsia="Arial" w:hAnsi="Arial"/>
                <w:sz w:val="17"/>
                <w:szCs w:val="17"/>
                <w:color w:val="0000EE"/>
              </w:rPr>
            </w:pPr>
            <w:hyperlink w:anchor="page23">
              <w:r>
                <w:rPr>
                  <w:rFonts w:ascii="Arial" w:cs="Arial" w:eastAsia="Arial" w:hAnsi="Arial"/>
                  <w:sz w:val="17"/>
                  <w:szCs w:val="17"/>
                  <w:color w:val="0000EE"/>
                </w:rPr>
                <w:t>Defaults Upon Senior Securities</w:t>
              </w:r>
            </w:hyperlink>
          </w:p>
        </w:tc>
        <w:tc>
          <w:tcPr>
            <w:tcW w:w="340" w:type="dxa"/>
            <w:vAlign w:val="bottom"/>
            <w:gridSpan w:val="3"/>
          </w:tcPr>
          <w:p>
            <w:pPr>
              <w:jc w:val="center"/>
              <w:spacing w:after="0" w:line="169" w:lineRule="exact"/>
              <w:rPr>
                <w:rFonts w:ascii="Arial" w:cs="Arial" w:eastAsia="Arial" w:hAnsi="Arial"/>
                <w:sz w:val="17"/>
                <w:szCs w:val="17"/>
                <w:color w:val="0000EE"/>
              </w:rPr>
            </w:pPr>
            <w:hyperlink w:anchor="page23">
              <w:r>
                <w:rPr>
                  <w:rFonts w:ascii="Arial" w:cs="Arial" w:eastAsia="Arial" w:hAnsi="Arial"/>
                  <w:sz w:val="17"/>
                  <w:szCs w:val="17"/>
                  <w:color w:val="0000EE"/>
                </w:rPr>
                <w:t>8</w:t>
              </w:r>
            </w:hyperlink>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9"/>
        </w:trPr>
        <w:tc>
          <w:tcPr>
            <w:tcW w:w="230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78"/>
        </w:trPr>
        <w:tc>
          <w:tcPr>
            <w:tcW w:w="2300" w:type="dxa"/>
            <w:vAlign w:val="bottom"/>
          </w:tcPr>
          <w:p>
            <w:pPr>
              <w:spacing w:after="0"/>
              <w:rPr>
                <w:sz w:val="15"/>
                <w:szCs w:val="15"/>
                <w:color w:val="auto"/>
              </w:rPr>
            </w:pPr>
          </w:p>
        </w:tc>
        <w:tc>
          <w:tcPr>
            <w:tcW w:w="960" w:type="dxa"/>
            <w:vAlign w:val="bottom"/>
            <w:gridSpan w:val="4"/>
            <w:shd w:val="clear" w:color="auto" w:fill="CBDBD1"/>
          </w:tcPr>
          <w:p>
            <w:pPr>
              <w:spacing w:after="0" w:line="179" w:lineRule="exact"/>
              <w:rPr>
                <w:rFonts w:ascii="Arial" w:cs="Arial" w:eastAsia="Arial" w:hAnsi="Arial"/>
                <w:sz w:val="17"/>
                <w:szCs w:val="17"/>
                <w:color w:val="0000EE"/>
              </w:rPr>
            </w:pPr>
            <w:hyperlink w:anchor="page23">
              <w:r>
                <w:rPr>
                  <w:rFonts w:ascii="Arial" w:cs="Arial" w:eastAsia="Arial" w:hAnsi="Arial"/>
                  <w:sz w:val="17"/>
                  <w:szCs w:val="17"/>
                  <w:color w:val="0000EE"/>
                </w:rPr>
                <w:t>Item 4:</w:t>
              </w:r>
            </w:hyperlink>
          </w:p>
        </w:tc>
        <w:tc>
          <w:tcPr>
            <w:tcW w:w="5260" w:type="dxa"/>
            <w:vAlign w:val="bottom"/>
            <w:gridSpan w:val="14"/>
            <w:shd w:val="clear" w:color="auto" w:fill="CBDBD1"/>
          </w:tcPr>
          <w:p>
            <w:pPr>
              <w:spacing w:after="0" w:line="179" w:lineRule="exact"/>
              <w:rPr>
                <w:rFonts w:ascii="Arial" w:cs="Arial" w:eastAsia="Arial" w:hAnsi="Arial"/>
                <w:sz w:val="17"/>
                <w:szCs w:val="17"/>
                <w:color w:val="0000EE"/>
              </w:rPr>
            </w:pPr>
            <w:hyperlink w:anchor="page23">
              <w:r>
                <w:rPr>
                  <w:rFonts w:ascii="Arial" w:cs="Arial" w:eastAsia="Arial" w:hAnsi="Arial"/>
                  <w:sz w:val="17"/>
                  <w:szCs w:val="17"/>
                  <w:color w:val="0000EE"/>
                </w:rPr>
                <w:t>Submission of Matters to a Vote of Security Holders</w:t>
              </w:r>
            </w:hyperlink>
          </w:p>
        </w:tc>
        <w:tc>
          <w:tcPr>
            <w:tcW w:w="340" w:type="dxa"/>
            <w:vAlign w:val="bottom"/>
            <w:gridSpan w:val="3"/>
            <w:shd w:val="clear" w:color="auto" w:fill="CBDBD1"/>
          </w:tcPr>
          <w:p>
            <w:pPr>
              <w:jc w:val="center"/>
              <w:spacing w:after="0" w:line="179" w:lineRule="exact"/>
              <w:rPr>
                <w:rFonts w:ascii="Arial" w:cs="Arial" w:eastAsia="Arial" w:hAnsi="Arial"/>
                <w:sz w:val="17"/>
                <w:szCs w:val="17"/>
                <w:color w:val="0000EE"/>
              </w:rPr>
            </w:pPr>
            <w:hyperlink w:anchor="page23">
              <w:r>
                <w:rPr>
                  <w:rFonts w:ascii="Arial" w:cs="Arial" w:eastAsia="Arial" w:hAnsi="Arial"/>
                  <w:sz w:val="17"/>
                  <w:szCs w:val="17"/>
                  <w:color w:val="0000EE"/>
                </w:rPr>
                <w:t>8</w:t>
              </w:r>
            </w:hyperlink>
          </w:p>
        </w:tc>
        <w:tc>
          <w:tcPr>
            <w:tcW w:w="280" w:type="dxa"/>
            <w:vAlign w:val="bottom"/>
            <w:shd w:val="clear" w:color="auto" w:fill="CBDBD1"/>
          </w:tcPr>
          <w:p>
            <w:pPr>
              <w:spacing w:after="0"/>
              <w:rPr>
                <w:sz w:val="15"/>
                <w:szCs w:val="15"/>
                <w:color w:val="auto"/>
              </w:rPr>
            </w:pPr>
          </w:p>
        </w:tc>
        <w:tc>
          <w:tcPr>
            <w:tcW w:w="2280" w:type="dxa"/>
            <w:vAlign w:val="bottom"/>
          </w:tcPr>
          <w:p>
            <w:pPr>
              <w:spacing w:after="0"/>
              <w:rPr>
                <w:sz w:val="15"/>
                <w:szCs w:val="15"/>
                <w:color w:val="auto"/>
              </w:rPr>
            </w:pPr>
          </w:p>
        </w:tc>
      </w:tr>
      <w:tr>
        <w:trPr>
          <w:trHeight w:val="39"/>
        </w:trPr>
        <w:tc>
          <w:tcPr>
            <w:tcW w:w="2300" w:type="dxa"/>
            <w:vAlign w:val="bottom"/>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00" w:type="dxa"/>
            <w:vAlign w:val="bottom"/>
            <w:shd w:val="clear" w:color="auto" w:fill="CBDBD1"/>
          </w:tcPr>
          <w:p>
            <w:pPr>
              <w:spacing w:after="0"/>
              <w:rPr>
                <w:sz w:val="3"/>
                <w:szCs w:val="3"/>
                <w:color w:val="auto"/>
              </w:rPr>
            </w:pPr>
          </w:p>
        </w:tc>
        <w:tc>
          <w:tcPr>
            <w:tcW w:w="40" w:type="dxa"/>
            <w:vAlign w:val="bottom"/>
            <w:shd w:val="clear" w:color="auto" w:fill="CBDBD1"/>
          </w:tcPr>
          <w:p>
            <w:pPr>
              <w:spacing w:after="0"/>
              <w:rPr>
                <w:sz w:val="3"/>
                <w:szCs w:val="3"/>
                <w:color w:val="auto"/>
              </w:rPr>
            </w:pPr>
          </w:p>
        </w:tc>
        <w:tc>
          <w:tcPr>
            <w:tcW w:w="340" w:type="dxa"/>
            <w:vAlign w:val="bottom"/>
            <w:shd w:val="clear" w:color="auto" w:fill="CBDBD1"/>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380" w:type="dxa"/>
            <w:vAlign w:val="bottom"/>
            <w:shd w:val="clear" w:color="auto" w:fill="0000EE"/>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140" w:type="dxa"/>
            <w:vAlign w:val="bottom"/>
            <w:shd w:val="clear" w:color="auto" w:fill="CBDBD1"/>
          </w:tcPr>
          <w:p>
            <w:pPr>
              <w:spacing w:after="0"/>
              <w:rPr>
                <w:sz w:val="3"/>
                <w:szCs w:val="3"/>
                <w:color w:val="auto"/>
              </w:rPr>
            </w:pPr>
          </w:p>
        </w:tc>
        <w:tc>
          <w:tcPr>
            <w:tcW w:w="320" w:type="dxa"/>
            <w:vAlign w:val="bottom"/>
            <w:tcBorders>
              <w:right w:val="single" w:sz="8" w:color="CBDBD1"/>
            </w:tcBorders>
            <w:shd w:val="clear" w:color="auto" w:fill="CBDBD1"/>
          </w:tcPr>
          <w:p>
            <w:pPr>
              <w:spacing w:after="0"/>
              <w:rPr>
                <w:sz w:val="3"/>
                <w:szCs w:val="3"/>
                <w:color w:val="auto"/>
              </w:rPr>
            </w:pPr>
          </w:p>
        </w:tc>
        <w:tc>
          <w:tcPr>
            <w:tcW w:w="480" w:type="dxa"/>
            <w:vAlign w:val="bottom"/>
            <w:shd w:val="clear" w:color="auto" w:fill="CBDBD1"/>
          </w:tcPr>
          <w:p>
            <w:pPr>
              <w:spacing w:after="0"/>
              <w:rPr>
                <w:sz w:val="3"/>
                <w:szCs w:val="3"/>
                <w:color w:val="auto"/>
              </w:rPr>
            </w:pPr>
          </w:p>
        </w:tc>
        <w:tc>
          <w:tcPr>
            <w:tcW w:w="580" w:type="dxa"/>
            <w:vAlign w:val="bottom"/>
            <w:shd w:val="clear" w:color="auto" w:fill="CBDBD1"/>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shd w:val="clear" w:color="auto" w:fill="CBDBD1"/>
          </w:tcPr>
          <w:p>
            <w:pPr>
              <w:spacing w:after="0"/>
              <w:rPr>
                <w:sz w:val="3"/>
                <w:szCs w:val="3"/>
                <w:color w:val="auto"/>
              </w:rPr>
            </w:pPr>
          </w:p>
        </w:tc>
        <w:tc>
          <w:tcPr>
            <w:tcW w:w="280" w:type="dxa"/>
            <w:vAlign w:val="bottom"/>
            <w:shd w:val="clear" w:color="auto" w:fill="CBDBD1"/>
          </w:tcPr>
          <w:p>
            <w:pPr>
              <w:spacing w:after="0"/>
              <w:rPr>
                <w:sz w:val="3"/>
                <w:szCs w:val="3"/>
                <w:color w:val="auto"/>
              </w:rPr>
            </w:pPr>
          </w:p>
        </w:tc>
        <w:tc>
          <w:tcPr>
            <w:tcW w:w="2280" w:type="dxa"/>
            <w:vAlign w:val="bottom"/>
          </w:tcPr>
          <w:p>
            <w:pPr>
              <w:spacing w:after="0"/>
              <w:rPr>
                <w:sz w:val="3"/>
                <w:szCs w:val="3"/>
                <w:color w:val="auto"/>
              </w:rPr>
            </w:pPr>
          </w:p>
        </w:tc>
      </w:tr>
      <w:tr>
        <w:trPr>
          <w:trHeight w:val="169"/>
        </w:trPr>
        <w:tc>
          <w:tcPr>
            <w:tcW w:w="2300" w:type="dxa"/>
            <w:vAlign w:val="bottom"/>
          </w:tcPr>
          <w:p>
            <w:pPr>
              <w:spacing w:after="0"/>
              <w:rPr>
                <w:sz w:val="14"/>
                <w:szCs w:val="14"/>
                <w:color w:val="auto"/>
              </w:rPr>
            </w:pPr>
          </w:p>
        </w:tc>
        <w:tc>
          <w:tcPr>
            <w:tcW w:w="960" w:type="dxa"/>
            <w:vAlign w:val="bottom"/>
            <w:gridSpan w:val="4"/>
          </w:tcPr>
          <w:p>
            <w:pPr>
              <w:spacing w:after="0" w:line="169" w:lineRule="exact"/>
              <w:rPr>
                <w:rFonts w:ascii="Arial" w:cs="Arial" w:eastAsia="Arial" w:hAnsi="Arial"/>
                <w:sz w:val="17"/>
                <w:szCs w:val="17"/>
                <w:color w:val="0000EE"/>
              </w:rPr>
            </w:pPr>
            <w:hyperlink w:anchor="page23">
              <w:r>
                <w:rPr>
                  <w:rFonts w:ascii="Arial" w:cs="Arial" w:eastAsia="Arial" w:hAnsi="Arial"/>
                  <w:sz w:val="17"/>
                  <w:szCs w:val="17"/>
                  <w:color w:val="0000EE"/>
                </w:rPr>
                <w:t>Item 5:</w:t>
              </w:r>
            </w:hyperlink>
          </w:p>
        </w:tc>
        <w:tc>
          <w:tcPr>
            <w:tcW w:w="5260" w:type="dxa"/>
            <w:vAlign w:val="bottom"/>
            <w:gridSpan w:val="14"/>
          </w:tcPr>
          <w:p>
            <w:pPr>
              <w:spacing w:after="0" w:line="169" w:lineRule="exact"/>
              <w:rPr>
                <w:rFonts w:ascii="Arial" w:cs="Arial" w:eastAsia="Arial" w:hAnsi="Arial"/>
                <w:sz w:val="17"/>
                <w:szCs w:val="17"/>
                <w:color w:val="0000EE"/>
              </w:rPr>
            </w:pPr>
            <w:hyperlink w:anchor="page23">
              <w:r>
                <w:rPr>
                  <w:rFonts w:ascii="Arial" w:cs="Arial" w:eastAsia="Arial" w:hAnsi="Arial"/>
                  <w:sz w:val="17"/>
                  <w:szCs w:val="17"/>
                  <w:color w:val="0000EE"/>
                </w:rPr>
                <w:t>Other Information</w:t>
              </w:r>
            </w:hyperlink>
          </w:p>
        </w:tc>
        <w:tc>
          <w:tcPr>
            <w:tcW w:w="340" w:type="dxa"/>
            <w:vAlign w:val="bottom"/>
            <w:gridSpan w:val="3"/>
          </w:tcPr>
          <w:p>
            <w:pPr>
              <w:jc w:val="center"/>
              <w:spacing w:after="0" w:line="169" w:lineRule="exact"/>
              <w:rPr>
                <w:rFonts w:ascii="Arial" w:cs="Arial" w:eastAsia="Arial" w:hAnsi="Arial"/>
                <w:sz w:val="17"/>
                <w:szCs w:val="17"/>
                <w:color w:val="0000EE"/>
              </w:rPr>
            </w:pPr>
            <w:hyperlink w:anchor="page23">
              <w:r>
                <w:rPr>
                  <w:rFonts w:ascii="Arial" w:cs="Arial" w:eastAsia="Arial" w:hAnsi="Arial"/>
                  <w:sz w:val="17"/>
                  <w:szCs w:val="17"/>
                  <w:color w:val="0000EE"/>
                </w:rPr>
                <w:t>8</w:t>
              </w:r>
            </w:hyperlink>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9"/>
        </w:trPr>
        <w:tc>
          <w:tcPr>
            <w:tcW w:w="230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97"/>
        </w:trPr>
        <w:tc>
          <w:tcPr>
            <w:tcW w:w="2300" w:type="dxa"/>
            <w:vAlign w:val="bottom"/>
          </w:tcPr>
          <w:p>
            <w:pPr>
              <w:spacing w:after="0"/>
              <w:rPr>
                <w:sz w:val="17"/>
                <w:szCs w:val="17"/>
                <w:color w:val="auto"/>
              </w:rPr>
            </w:pPr>
          </w:p>
        </w:tc>
        <w:tc>
          <w:tcPr>
            <w:tcW w:w="960" w:type="dxa"/>
            <w:vAlign w:val="bottom"/>
            <w:gridSpan w:val="4"/>
            <w:shd w:val="clear" w:color="auto" w:fill="CBDBD1"/>
          </w:tcPr>
          <w:p>
            <w:pPr>
              <w:spacing w:after="0" w:line="179" w:lineRule="exact"/>
              <w:rPr>
                <w:rFonts w:ascii="Arial" w:cs="Arial" w:eastAsia="Arial" w:hAnsi="Arial"/>
                <w:sz w:val="17"/>
                <w:szCs w:val="17"/>
                <w:color w:val="0000EE"/>
              </w:rPr>
            </w:pPr>
            <w:hyperlink w:anchor="page23">
              <w:r>
                <w:rPr>
                  <w:rFonts w:ascii="Arial" w:cs="Arial" w:eastAsia="Arial" w:hAnsi="Arial"/>
                  <w:sz w:val="17"/>
                  <w:szCs w:val="17"/>
                  <w:color w:val="0000EE"/>
                </w:rPr>
                <w:t>Item 6:</w:t>
              </w:r>
            </w:hyperlink>
          </w:p>
        </w:tc>
        <w:tc>
          <w:tcPr>
            <w:tcW w:w="5260" w:type="dxa"/>
            <w:vAlign w:val="bottom"/>
            <w:gridSpan w:val="14"/>
            <w:shd w:val="clear" w:color="auto" w:fill="CBDBD1"/>
          </w:tcPr>
          <w:p>
            <w:pPr>
              <w:spacing w:after="0" w:line="179" w:lineRule="exact"/>
              <w:rPr>
                <w:rFonts w:ascii="Arial" w:cs="Arial" w:eastAsia="Arial" w:hAnsi="Arial"/>
                <w:sz w:val="17"/>
                <w:szCs w:val="17"/>
                <w:color w:val="0000EE"/>
              </w:rPr>
            </w:pPr>
            <w:hyperlink w:anchor="page23">
              <w:r>
                <w:rPr>
                  <w:rFonts w:ascii="Arial" w:cs="Arial" w:eastAsia="Arial" w:hAnsi="Arial"/>
                  <w:sz w:val="17"/>
                  <w:szCs w:val="17"/>
                  <w:color w:val="0000EE"/>
                </w:rPr>
                <w:t>Exhibits</w:t>
              </w:r>
            </w:hyperlink>
          </w:p>
        </w:tc>
        <w:tc>
          <w:tcPr>
            <w:tcW w:w="340" w:type="dxa"/>
            <w:vAlign w:val="bottom"/>
            <w:gridSpan w:val="3"/>
            <w:shd w:val="clear" w:color="auto" w:fill="CBDBD1"/>
          </w:tcPr>
          <w:p>
            <w:pPr>
              <w:jc w:val="center"/>
              <w:spacing w:after="0" w:line="179" w:lineRule="exact"/>
              <w:rPr>
                <w:rFonts w:ascii="Arial" w:cs="Arial" w:eastAsia="Arial" w:hAnsi="Arial"/>
                <w:sz w:val="17"/>
                <w:szCs w:val="17"/>
                <w:color w:val="0000EE"/>
              </w:rPr>
            </w:pPr>
            <w:hyperlink w:anchor="page23">
              <w:r>
                <w:rPr>
                  <w:rFonts w:ascii="Arial" w:cs="Arial" w:eastAsia="Arial" w:hAnsi="Arial"/>
                  <w:sz w:val="17"/>
                  <w:szCs w:val="17"/>
                  <w:color w:val="0000EE"/>
                </w:rPr>
                <w:t>8</w:t>
              </w:r>
            </w:hyperlink>
          </w:p>
        </w:tc>
        <w:tc>
          <w:tcPr>
            <w:tcW w:w="280" w:type="dxa"/>
            <w:vAlign w:val="bottom"/>
            <w:shd w:val="clear" w:color="auto" w:fill="CBDBD1"/>
          </w:tcPr>
          <w:p>
            <w:pPr>
              <w:spacing w:after="0"/>
              <w:rPr>
                <w:sz w:val="17"/>
                <w:szCs w:val="17"/>
                <w:color w:val="auto"/>
              </w:rPr>
            </w:pPr>
          </w:p>
        </w:tc>
        <w:tc>
          <w:tcPr>
            <w:tcW w:w="2280" w:type="dxa"/>
            <w:vAlign w:val="bottom"/>
          </w:tcPr>
          <w:p>
            <w:pPr>
              <w:spacing w:after="0"/>
              <w:rPr>
                <w:sz w:val="17"/>
                <w:szCs w:val="17"/>
                <w:color w:val="auto"/>
              </w:rPr>
            </w:pPr>
          </w:p>
        </w:tc>
      </w:tr>
      <w:tr>
        <w:trPr>
          <w:trHeight w:val="676"/>
        </w:trPr>
        <w:tc>
          <w:tcPr>
            <w:tcW w:w="230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CBDBD1"/>
            </w:tcBorders>
          </w:tcPr>
          <w:p>
            <w:pPr>
              <w:spacing w:after="0"/>
              <w:rPr>
                <w:sz w:val="24"/>
                <w:szCs w:val="24"/>
                <w:color w:val="auto"/>
              </w:rPr>
            </w:pPr>
          </w:p>
        </w:tc>
        <w:tc>
          <w:tcPr>
            <w:tcW w:w="40" w:type="dxa"/>
            <w:vAlign w:val="bottom"/>
            <w:tcBorders>
              <w:top w:val="single" w:sz="8" w:color="CBDBD1"/>
            </w:tcBorders>
          </w:tcPr>
          <w:p>
            <w:pPr>
              <w:spacing w:after="0"/>
              <w:rPr>
                <w:sz w:val="24"/>
                <w:szCs w:val="24"/>
                <w:color w:val="auto"/>
              </w:rPr>
            </w:pPr>
          </w:p>
        </w:tc>
        <w:tc>
          <w:tcPr>
            <w:tcW w:w="340" w:type="dxa"/>
            <w:vAlign w:val="bottom"/>
            <w:tcBorders>
              <w:top w:val="single" w:sz="8" w:color="CBDBD1"/>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40" w:type="dxa"/>
            <w:vAlign w:val="bottom"/>
            <w:tcBorders>
              <w:top w:val="single" w:sz="8" w:color="CBDBD1"/>
            </w:tcBorders>
            <w:gridSpan w:val="8"/>
          </w:tcPr>
          <w:p>
            <w:pPr>
              <w:jc w:val="center"/>
              <w:ind w:left="633"/>
              <w:spacing w:after="0"/>
              <w:rPr>
                <w:sz w:val="20"/>
                <w:szCs w:val="20"/>
                <w:color w:val="auto"/>
              </w:rPr>
            </w:pPr>
            <w:r>
              <w:rPr>
                <w:rFonts w:ascii="Arial" w:cs="Arial" w:eastAsia="Arial" w:hAnsi="Arial"/>
                <w:sz w:val="17"/>
                <w:szCs w:val="17"/>
                <w:color w:val="auto"/>
                <w:w w:val="84"/>
              </w:rPr>
              <w:t>2</w:t>
            </w:r>
          </w:p>
        </w:tc>
        <w:tc>
          <w:tcPr>
            <w:tcW w:w="120" w:type="dxa"/>
            <w:vAlign w:val="bottom"/>
            <w:tcBorders>
              <w:top w:val="single" w:sz="8" w:color="CBDBD1"/>
            </w:tcBorders>
          </w:tcPr>
          <w:p>
            <w:pPr>
              <w:spacing w:after="0"/>
              <w:rPr>
                <w:sz w:val="24"/>
                <w:szCs w:val="24"/>
                <w:color w:val="auto"/>
              </w:rPr>
            </w:pPr>
          </w:p>
        </w:tc>
        <w:tc>
          <w:tcPr>
            <w:tcW w:w="140" w:type="dxa"/>
            <w:vAlign w:val="bottom"/>
            <w:tcBorders>
              <w:top w:val="single" w:sz="8" w:color="CBDBD1"/>
            </w:tcBorders>
          </w:tcPr>
          <w:p>
            <w:pPr>
              <w:spacing w:after="0"/>
              <w:rPr>
                <w:sz w:val="24"/>
                <w:szCs w:val="24"/>
                <w:color w:val="auto"/>
              </w:rPr>
            </w:pPr>
          </w:p>
        </w:tc>
        <w:tc>
          <w:tcPr>
            <w:tcW w:w="320" w:type="dxa"/>
            <w:vAlign w:val="bottom"/>
            <w:tcBorders>
              <w:top w:val="single" w:sz="8" w:color="CBDBD1"/>
            </w:tcBorders>
          </w:tcPr>
          <w:p>
            <w:pPr>
              <w:spacing w:after="0"/>
              <w:rPr>
                <w:sz w:val="24"/>
                <w:szCs w:val="24"/>
                <w:color w:val="auto"/>
              </w:rPr>
            </w:pPr>
          </w:p>
        </w:tc>
        <w:tc>
          <w:tcPr>
            <w:tcW w:w="480" w:type="dxa"/>
            <w:vAlign w:val="bottom"/>
            <w:tcBorders>
              <w:top w:val="single" w:sz="8" w:color="CBDBD1"/>
            </w:tcBorders>
          </w:tcPr>
          <w:p>
            <w:pPr>
              <w:spacing w:after="0"/>
              <w:rPr>
                <w:sz w:val="24"/>
                <w:szCs w:val="24"/>
                <w:color w:val="auto"/>
              </w:rPr>
            </w:pPr>
          </w:p>
        </w:tc>
        <w:tc>
          <w:tcPr>
            <w:tcW w:w="580" w:type="dxa"/>
            <w:vAlign w:val="bottom"/>
            <w:tcBorders>
              <w:top w:val="single" w:sz="8" w:color="CBDBD1"/>
            </w:tcBorders>
          </w:tcPr>
          <w:p>
            <w:pPr>
              <w:spacing w:after="0"/>
              <w:rPr>
                <w:sz w:val="24"/>
                <w:szCs w:val="24"/>
                <w:color w:val="auto"/>
              </w:rPr>
            </w:pPr>
          </w:p>
        </w:tc>
        <w:tc>
          <w:tcPr>
            <w:tcW w:w="120" w:type="dxa"/>
            <w:vAlign w:val="bottom"/>
            <w:tcBorders>
              <w:top w:val="single" w:sz="8" w:color="CBDBD1"/>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CBDBD1"/>
            </w:tcBorders>
          </w:tcPr>
          <w:p>
            <w:pPr>
              <w:spacing w:after="0"/>
              <w:rPr>
                <w:sz w:val="24"/>
                <w:szCs w:val="24"/>
                <w:color w:val="auto"/>
              </w:rPr>
            </w:pPr>
          </w:p>
        </w:tc>
        <w:tc>
          <w:tcPr>
            <w:tcW w:w="280" w:type="dxa"/>
            <w:vAlign w:val="bottom"/>
            <w:tcBorders>
              <w:top w:val="single" w:sz="8" w:color="CBDBD1"/>
            </w:tcBorders>
          </w:tcPr>
          <w:p>
            <w:pPr>
              <w:spacing w:after="0"/>
              <w:rPr>
                <w:sz w:val="24"/>
                <w:szCs w:val="24"/>
                <w:color w:val="auto"/>
              </w:rPr>
            </w:pPr>
          </w:p>
        </w:tc>
        <w:tc>
          <w:tcPr>
            <w:tcW w:w="2280" w:type="dxa"/>
            <w:vAlign w:val="bottom"/>
          </w:tcPr>
          <w:p>
            <w:pPr>
              <w:spacing w:after="0"/>
              <w:rPr>
                <w:sz w:val="24"/>
                <w:szCs w:val="24"/>
                <w:color w:val="auto"/>
              </w:rPr>
            </w:pPr>
          </w:p>
        </w:tc>
      </w:tr>
      <w:tr>
        <w:trPr>
          <w:trHeight w:val="113"/>
        </w:trPr>
        <w:tc>
          <w:tcPr>
            <w:tcW w:w="2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-2781935</wp:posOffset>
            </wp:positionV>
            <wp:extent cx="27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 - FINANCIAL INFORMATION</w:t>
      </w:r>
    </w:p>
    <w:p>
      <w:pPr>
        <w:spacing w:after="0" w:line="24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consolidated financial statements included in this Form 10-Q are as follows:</w:t>
      </w:r>
    </w:p>
    <w:p>
      <w:pPr>
        <w:spacing w:after="0" w:line="24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F-1</w:t>
      </w:r>
      <w:r>
        <w:rPr>
          <w:sz w:val="20"/>
          <w:szCs w:val="20"/>
          <w:color w:val="auto"/>
        </w:rPr>
        <w:tab/>
      </w:r>
      <w:r>
        <w:rPr>
          <w:rFonts w:ascii="Arial" w:cs="Arial" w:eastAsia="Arial" w:hAnsi="Arial"/>
          <w:sz w:val="15"/>
          <w:szCs w:val="15"/>
          <w:color w:val="auto"/>
        </w:rPr>
        <w:t>Consolidated Balance Sheets as of June 30, 2009 (unaudited) and December 31, 2008 (audited);</w:t>
      </w:r>
    </w:p>
    <w:p>
      <w:pPr>
        <w:spacing w:after="0" w:line="24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F-2</w:t>
      </w:r>
      <w:r>
        <w:rPr>
          <w:sz w:val="20"/>
          <w:szCs w:val="20"/>
          <w:color w:val="auto"/>
        </w:rPr>
        <w:tab/>
      </w:r>
      <w:r>
        <w:rPr>
          <w:rFonts w:ascii="Arial" w:cs="Arial" w:eastAsia="Arial" w:hAnsi="Arial"/>
          <w:sz w:val="15"/>
          <w:szCs w:val="15"/>
          <w:color w:val="auto"/>
        </w:rPr>
        <w:t>Consolidated Statements of Operations for the Three Months Ended June 30, 2009 and 2008 (unaudited);</w:t>
      </w:r>
    </w:p>
    <w:p>
      <w:pPr>
        <w:spacing w:after="0" w:line="246" w:lineRule="exact"/>
        <w:rPr>
          <w:sz w:val="20"/>
          <w:szCs w:val="20"/>
          <w:color w:val="auto"/>
        </w:rPr>
      </w:pPr>
    </w:p>
    <w:p>
      <w:pPr>
        <w:jc w:val="both"/>
        <w:ind w:left="620" w:hanging="623"/>
        <w:spacing w:after="0" w:line="285" w:lineRule="auto"/>
        <w:tabs>
          <w:tab w:leader="none" w:pos="600" w:val="left"/>
        </w:tabs>
        <w:rPr>
          <w:sz w:val="20"/>
          <w:szCs w:val="20"/>
          <w:color w:val="auto"/>
        </w:rPr>
      </w:pPr>
      <w:r>
        <w:rPr>
          <w:rFonts w:ascii="Arial" w:cs="Arial" w:eastAsia="Arial" w:hAnsi="Arial"/>
          <w:sz w:val="17"/>
          <w:szCs w:val="17"/>
          <w:color w:val="auto"/>
        </w:rPr>
        <w:t>F-3</w:t>
      </w:r>
      <w:r>
        <w:rPr>
          <w:sz w:val="20"/>
          <w:szCs w:val="20"/>
          <w:color w:val="auto"/>
        </w:rPr>
        <w:tab/>
      </w:r>
      <w:r>
        <w:rPr>
          <w:rFonts w:ascii="Arial" w:cs="Arial" w:eastAsia="Arial" w:hAnsi="Arial"/>
          <w:sz w:val="17"/>
          <w:szCs w:val="17"/>
          <w:color w:val="auto"/>
        </w:rPr>
        <w:t>Consolidated Statements of Operations for the Six Months Ended June 30, 2009 and 2008 and for the Period from January 31, 2006 (Inception) to June 30, 2009 (unaudited)</w:t>
      </w:r>
    </w:p>
    <w:p>
      <w:pPr>
        <w:spacing w:after="0" w:line="18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F-4</w:t>
      </w:r>
      <w:r>
        <w:rPr>
          <w:sz w:val="20"/>
          <w:szCs w:val="20"/>
          <w:color w:val="auto"/>
        </w:rPr>
        <w:tab/>
      </w:r>
      <w:r>
        <w:rPr>
          <w:rFonts w:ascii="Arial" w:cs="Arial" w:eastAsia="Arial" w:hAnsi="Arial"/>
          <w:sz w:val="15"/>
          <w:szCs w:val="15"/>
          <w:color w:val="auto"/>
        </w:rPr>
        <w:t>Consolidated Statement of Stockholders’ Equity as of June 30, 2009 (unaudited)</w:t>
      </w:r>
    </w:p>
    <w:p>
      <w:pPr>
        <w:spacing w:after="0" w:line="246" w:lineRule="exact"/>
        <w:rPr>
          <w:sz w:val="20"/>
          <w:szCs w:val="20"/>
          <w:color w:val="auto"/>
        </w:rPr>
      </w:pPr>
    </w:p>
    <w:p>
      <w:pPr>
        <w:ind w:left="620" w:right="220" w:hanging="623"/>
        <w:spacing w:after="0" w:line="285" w:lineRule="auto"/>
        <w:tabs>
          <w:tab w:leader="none" w:pos="600" w:val="left"/>
        </w:tabs>
        <w:rPr>
          <w:sz w:val="20"/>
          <w:szCs w:val="20"/>
          <w:color w:val="auto"/>
        </w:rPr>
      </w:pPr>
      <w:r>
        <w:rPr>
          <w:rFonts w:ascii="Arial" w:cs="Arial" w:eastAsia="Arial" w:hAnsi="Arial"/>
          <w:sz w:val="17"/>
          <w:szCs w:val="17"/>
          <w:color w:val="auto"/>
        </w:rPr>
        <w:t>F-5</w:t>
      </w:r>
      <w:r>
        <w:rPr>
          <w:sz w:val="20"/>
          <w:szCs w:val="20"/>
          <w:color w:val="auto"/>
        </w:rPr>
        <w:tab/>
      </w:r>
      <w:r>
        <w:rPr>
          <w:rFonts w:ascii="Arial" w:cs="Arial" w:eastAsia="Arial" w:hAnsi="Arial"/>
          <w:sz w:val="17"/>
          <w:szCs w:val="17"/>
          <w:color w:val="auto"/>
        </w:rPr>
        <w:t>Consolidated Statements of Cash Flows for the Six Months Ended June 30, 2009 and 2008 and for the Period from January 31, 2006 (Inception) to June 30, 2009 (unaudited)</w:t>
      </w:r>
    </w:p>
    <w:p>
      <w:pPr>
        <w:spacing w:after="0" w:line="18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color w:val="auto"/>
        </w:rPr>
        <w:t>F-6</w:t>
      </w:r>
      <w:r>
        <w:rPr>
          <w:sz w:val="20"/>
          <w:szCs w:val="20"/>
          <w:color w:val="auto"/>
        </w:rPr>
        <w:tab/>
      </w:r>
      <w:r>
        <w:rPr>
          <w:rFonts w:ascii="Arial" w:cs="Arial" w:eastAsia="Arial" w:hAnsi="Arial"/>
          <w:sz w:val="15"/>
          <w:szCs w:val="15"/>
          <w:color w:val="auto"/>
        </w:rPr>
        <w:t>Notes to Consolidated Financial Statements.</w:t>
      </w:r>
    </w:p>
    <w:p>
      <w:pPr>
        <w:spacing w:after="0" w:line="246"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June 30, 2009 are not necessarily indicative of the results that can be expected for the full year.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AS OF JUNE 30, 2009 (UNAUDITED) AND DECEMBER 31, 2008 (AUDITED)</w:t>
      </w: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08"/>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08"/>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4"/>
              </w:rPr>
              <w:t>June 30, 2009</w:t>
            </w:r>
          </w:p>
        </w:tc>
        <w:tc>
          <w:tcPr>
            <w:tcW w:w="140" w:type="dxa"/>
            <w:vAlign w:val="bottom"/>
          </w:tcPr>
          <w:p>
            <w:pPr>
              <w:spacing w:after="0"/>
              <w:rPr>
                <w:sz w:val="18"/>
                <w:szCs w:val="18"/>
                <w:color w:val="auto"/>
              </w:rPr>
            </w:pPr>
          </w:p>
        </w:tc>
        <w:tc>
          <w:tcPr>
            <w:tcW w:w="1220" w:type="dxa"/>
            <w:vAlign w:val="bottom"/>
          </w:tcPr>
          <w:p>
            <w:pPr>
              <w:jc w:val="center"/>
              <w:ind w:right="33"/>
              <w:spacing w:after="0"/>
              <w:rPr>
                <w:sz w:val="20"/>
                <w:szCs w:val="20"/>
                <w:color w:val="auto"/>
              </w:rPr>
            </w:pPr>
            <w:r>
              <w:rPr>
                <w:rFonts w:ascii="Arial" w:cs="Arial" w:eastAsia="Arial" w:hAnsi="Arial"/>
                <w:sz w:val="17"/>
                <w:szCs w:val="17"/>
                <w:b w:val="1"/>
                <w:bCs w:val="1"/>
                <w:color w:val="auto"/>
                <w:w w:val="89"/>
              </w:rPr>
              <w:t>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80" w:type="dxa"/>
            <w:vAlign w:val="bottom"/>
          </w:tcPr>
          <w:p>
            <w:pPr>
              <w:ind w:left="2260"/>
              <w:spacing w:after="0"/>
              <w:rPr>
                <w:sz w:val="20"/>
                <w:szCs w:val="20"/>
                <w:color w:val="auto"/>
              </w:rPr>
            </w:pPr>
            <w:r>
              <w:rPr>
                <w:rFonts w:ascii="Arial" w:cs="Arial" w:eastAsia="Arial" w:hAnsi="Arial"/>
                <w:sz w:val="17"/>
                <w:szCs w:val="17"/>
                <w:b w:val="1"/>
                <w:bCs w:val="1"/>
                <w:color w:val="auto"/>
              </w:rPr>
              <w:t>ASSETS</w:t>
            </w: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(Unaudited)</w:t>
            </w:r>
          </w:p>
        </w:tc>
        <w:tc>
          <w:tcPr>
            <w:tcW w:w="140" w:type="dxa"/>
            <w:vAlign w:val="bottom"/>
          </w:tcPr>
          <w:p>
            <w:pPr>
              <w:spacing w:after="0"/>
              <w:rPr>
                <w:sz w:val="20"/>
                <w:szCs w:val="20"/>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3"/>
              </w:rPr>
              <w:t>(Audited)</w:t>
            </w:r>
          </w:p>
        </w:tc>
        <w:tc>
          <w:tcPr>
            <w:tcW w:w="0" w:type="dxa"/>
            <w:vAlign w:val="bottom"/>
          </w:tcPr>
          <w:p>
            <w:pPr>
              <w:spacing w:after="0"/>
              <w:rPr>
                <w:sz w:val="1"/>
                <w:szCs w:val="1"/>
                <w:color w:val="auto"/>
              </w:rPr>
            </w:pPr>
          </w:p>
        </w:tc>
      </w:tr>
      <w:tr>
        <w:trPr>
          <w:trHeight w:val="208"/>
        </w:trPr>
        <w:tc>
          <w:tcPr>
            <w:tcW w:w="518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ind w:left="20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1,338,109</w:t>
            </w:r>
          </w:p>
        </w:tc>
        <w:tc>
          <w:tcPr>
            <w:tcW w:w="100" w:type="dxa"/>
            <w:vAlign w:val="bottom"/>
            <w:shd w:val="clear" w:color="auto" w:fill="CBDBD1"/>
          </w:tcPr>
          <w:p>
            <w:pPr>
              <w:spacing w:after="0"/>
              <w:rPr>
                <w:sz w:val="18"/>
                <w:szCs w:val="18"/>
                <w:color w:val="auto"/>
              </w:rPr>
            </w:pPr>
          </w:p>
        </w:tc>
        <w:tc>
          <w:tcPr>
            <w:tcW w:w="140" w:type="dxa"/>
            <w:vAlign w:val="bottom"/>
            <w:shd w:val="clear" w:color="auto" w:fill="CBDBD1"/>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2,502,657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Pr>
          <w:p>
            <w:pPr>
              <w:ind w:left="180"/>
              <w:spacing w:after="0"/>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ind w:left="200"/>
              <w:spacing w:after="0"/>
              <w:rPr>
                <w:sz w:val="20"/>
                <w:szCs w:val="20"/>
                <w:color w:val="auto"/>
              </w:rPr>
            </w:pPr>
            <w:r>
              <w:rPr>
                <w:rFonts w:ascii="Arial" w:cs="Arial" w:eastAsia="Arial" w:hAnsi="Arial"/>
                <w:sz w:val="17"/>
                <w:szCs w:val="17"/>
                <w:color w:val="auto"/>
              </w:rPr>
              <w:t>Prepaid expenses</w:t>
            </w: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7,393</w:t>
            </w:r>
          </w:p>
        </w:tc>
        <w:tc>
          <w:tcPr>
            <w:tcW w:w="1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3,292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tcPr>
          <w:p>
            <w:pPr>
              <w:ind w:left="200"/>
              <w:spacing w:after="0"/>
              <w:rPr>
                <w:sz w:val="20"/>
                <w:szCs w:val="20"/>
                <w:color w:val="auto"/>
              </w:rPr>
            </w:pPr>
            <w:r>
              <w:rPr>
                <w:rFonts w:ascii="Arial" w:cs="Arial" w:eastAsia="Arial" w:hAnsi="Arial"/>
                <w:sz w:val="17"/>
                <w:szCs w:val="17"/>
                <w:color w:val="auto"/>
              </w:rPr>
              <w:t>Loan receivable – employee</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spacing w:after="0"/>
              <w:rPr>
                <w:sz w:val="20"/>
                <w:szCs w:val="20"/>
                <w:color w:val="auto"/>
              </w:rPr>
            </w:pPr>
            <w:r>
              <w:rPr>
                <w:rFonts w:ascii="Arial" w:cs="Arial" w:eastAsia="Arial" w:hAnsi="Arial"/>
                <w:sz w:val="17"/>
                <w:szCs w:val="17"/>
                <w:color w:val="auto"/>
              </w:rPr>
              <w:t>Total Current Assets</w:t>
            </w:r>
          </w:p>
        </w:tc>
        <w:tc>
          <w:tcPr>
            <w:tcW w:w="120" w:type="dxa"/>
            <w:vAlign w:val="bottom"/>
            <w:tcBorders>
              <w:top w:val="single" w:sz="8" w:color="auto"/>
            </w:tcBorders>
            <w:shd w:val="clear" w:color="auto" w:fill="CBDBD1"/>
          </w:tcPr>
          <w:p>
            <w:pPr>
              <w:spacing w:after="0"/>
              <w:rPr>
                <w:sz w:val="18"/>
                <w:szCs w:val="18"/>
                <w:color w:val="auto"/>
              </w:rPr>
            </w:pPr>
          </w:p>
        </w:tc>
        <w:tc>
          <w:tcPr>
            <w:tcW w:w="1220" w:type="dxa"/>
            <w:vAlign w:val="bottom"/>
            <w:tcBorders>
              <w:top w:val="single" w:sz="8" w:color="auto"/>
            </w:tcBorders>
            <w:shd w:val="clear" w:color="auto" w:fill="CBDBD1"/>
          </w:tcPr>
          <w:p>
            <w:pPr>
              <w:jc w:val="right"/>
              <w:spacing w:after="0"/>
              <w:rPr>
                <w:sz w:val="20"/>
                <w:szCs w:val="20"/>
                <w:color w:val="auto"/>
              </w:rPr>
            </w:pPr>
            <w:r>
              <w:rPr>
                <w:rFonts w:ascii="Arial" w:cs="Arial" w:eastAsia="Arial" w:hAnsi="Arial"/>
                <w:sz w:val="17"/>
                <w:szCs w:val="17"/>
                <w:color w:val="auto"/>
              </w:rPr>
              <w:t>1,347,230</w:t>
            </w:r>
          </w:p>
        </w:tc>
        <w:tc>
          <w:tcPr>
            <w:tcW w:w="100" w:type="dxa"/>
            <w:vAlign w:val="bottom"/>
            <w:shd w:val="clear" w:color="auto" w:fill="CBDBD1"/>
          </w:tcPr>
          <w:p>
            <w:pPr>
              <w:spacing w:after="0"/>
              <w:rPr>
                <w:sz w:val="18"/>
                <w:szCs w:val="18"/>
                <w:color w:val="auto"/>
              </w:rPr>
            </w:pPr>
          </w:p>
        </w:tc>
        <w:tc>
          <w:tcPr>
            <w:tcW w:w="140" w:type="dxa"/>
            <w:vAlign w:val="bottom"/>
            <w:tcBorders>
              <w:top w:val="single" w:sz="8" w:color="auto"/>
            </w:tcBorders>
            <w:shd w:val="clear" w:color="auto" w:fill="CBDBD1"/>
          </w:tcPr>
          <w:p>
            <w:pPr>
              <w:spacing w:after="0"/>
              <w:rPr>
                <w:sz w:val="18"/>
                <w:szCs w:val="18"/>
                <w:color w:val="auto"/>
              </w:rPr>
            </w:pPr>
          </w:p>
        </w:tc>
        <w:tc>
          <w:tcPr>
            <w:tcW w:w="1220" w:type="dxa"/>
            <w:vAlign w:val="bottom"/>
            <w:tcBorders>
              <w:top w:val="single" w:sz="8" w:color="auto"/>
            </w:tcBorders>
            <w:shd w:val="clear" w:color="auto" w:fill="CBDBD1"/>
          </w:tcPr>
          <w:p>
            <w:pPr>
              <w:jc w:val="right"/>
              <w:spacing w:after="0"/>
              <w:rPr>
                <w:sz w:val="20"/>
                <w:szCs w:val="20"/>
                <w:color w:val="auto"/>
              </w:rPr>
            </w:pPr>
            <w:r>
              <w:rPr>
                <w:rFonts w:ascii="Arial" w:cs="Arial" w:eastAsia="Arial" w:hAnsi="Arial"/>
                <w:sz w:val="17"/>
                <w:szCs w:val="17"/>
                <w:color w:val="auto"/>
              </w:rPr>
              <w:t>2,507,295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Property and equipment, net</w:t>
            </w:r>
          </w:p>
        </w:tc>
        <w:tc>
          <w:tcPr>
            <w:tcW w:w="120" w:type="dxa"/>
            <w:vAlign w:val="bottom"/>
            <w:shd w:val="clear" w:color="auto" w:fill="CBDBD1"/>
          </w:tcPr>
          <w:p>
            <w:pPr>
              <w:spacing w:after="0"/>
              <w:rPr>
                <w:sz w:val="18"/>
                <w:szCs w:val="18"/>
                <w:color w:val="auto"/>
              </w:rPr>
            </w:pPr>
          </w:p>
        </w:tc>
        <w:tc>
          <w:tcPr>
            <w:tcW w:w="132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14,426</w:t>
            </w: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15,271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tcPr>
          <w:p>
            <w:pPr>
              <w:ind w:left="320"/>
              <w:spacing w:after="0"/>
              <w:rPr>
                <w:sz w:val="20"/>
                <w:szCs w:val="20"/>
                <w:color w:val="auto"/>
              </w:rPr>
            </w:pPr>
            <w:r>
              <w:rPr>
                <w:rFonts w:ascii="Arial" w:cs="Arial" w:eastAsia="Arial" w:hAnsi="Arial"/>
                <w:sz w:val="17"/>
                <w:szCs w:val="17"/>
                <w:color w:val="auto"/>
              </w:rPr>
              <w:t>Website development costs, net</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105,323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Pr>
          <w:p>
            <w:pPr>
              <w:spacing w:after="0"/>
              <w:rPr>
                <w:sz w:val="20"/>
                <w:szCs w:val="20"/>
                <w:color w:val="auto"/>
              </w:rPr>
            </w:pPr>
            <w:r>
              <w:rPr>
                <w:rFonts w:ascii="Arial" w:cs="Arial" w:eastAsia="Arial" w:hAnsi="Arial"/>
                <w:sz w:val="17"/>
                <w:szCs w:val="17"/>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1,466,979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2,643,303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8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2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122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80" w:type="dxa"/>
            <w:vAlign w:val="bottom"/>
          </w:tcPr>
          <w:p>
            <w:pPr>
              <w:ind w:left="700"/>
              <w:spacing w:after="0"/>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Pr>
          <w:p>
            <w:pPr>
              <w:ind w:left="320"/>
              <w:spacing w:after="0"/>
              <w:rPr>
                <w:sz w:val="20"/>
                <w:szCs w:val="20"/>
                <w:color w:val="auto"/>
              </w:rPr>
            </w:pPr>
            <w:r>
              <w:rPr>
                <w:rFonts w:ascii="Arial" w:cs="Arial" w:eastAsia="Arial" w:hAnsi="Arial"/>
                <w:sz w:val="17"/>
                <w:szCs w:val="17"/>
                <w:color w:val="auto"/>
              </w:rPr>
              <w:t>Accounts payable – trade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27,743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172,769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ind w:left="320"/>
              <w:spacing w:after="0"/>
              <w:rPr>
                <w:sz w:val="20"/>
                <w:szCs w:val="20"/>
                <w:color w:val="auto"/>
              </w:rPr>
            </w:pPr>
            <w:r>
              <w:rPr>
                <w:rFonts w:ascii="Arial" w:cs="Arial" w:eastAsia="Arial" w:hAnsi="Arial"/>
                <w:sz w:val="17"/>
                <w:szCs w:val="17"/>
                <w:color w:val="auto"/>
              </w:rPr>
              <w:t>Payroll taxes payable</w:t>
            </w:r>
          </w:p>
        </w:tc>
        <w:tc>
          <w:tcPr>
            <w:tcW w:w="120" w:type="dxa"/>
            <w:vAlign w:val="bottom"/>
            <w:shd w:val="clear" w:color="auto" w:fill="CBDBD1"/>
          </w:tcPr>
          <w:p>
            <w:pPr>
              <w:spacing w:after="0"/>
              <w:rPr>
                <w:sz w:val="18"/>
                <w:szCs w:val="18"/>
                <w:color w:val="auto"/>
              </w:rPr>
            </w:pPr>
          </w:p>
        </w:tc>
        <w:tc>
          <w:tcPr>
            <w:tcW w:w="132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24,091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Pr>
          <w:p>
            <w:pPr>
              <w:ind w:left="320"/>
              <w:spacing w:after="0"/>
              <w:rPr>
                <w:sz w:val="20"/>
                <w:szCs w:val="20"/>
                <w:color w:val="auto"/>
              </w:rPr>
            </w:pPr>
            <w:r>
              <w:rPr>
                <w:rFonts w:ascii="Arial" w:cs="Arial" w:eastAsia="Arial" w:hAnsi="Arial"/>
                <w:sz w:val="17"/>
                <w:szCs w:val="17"/>
                <w:color w:val="auto"/>
              </w:rPr>
              <w:t>Accrued expenses</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20,600</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shd w:val="clear" w:color="auto" w:fill="CBDBD1"/>
          </w:tcPr>
          <w:p>
            <w:pPr>
              <w:ind w:left="320"/>
              <w:spacing w:after="0"/>
              <w:rPr>
                <w:sz w:val="20"/>
                <w:szCs w:val="20"/>
                <w:color w:val="auto"/>
              </w:rPr>
            </w:pPr>
            <w:r>
              <w:rPr>
                <w:rFonts w:ascii="Arial" w:cs="Arial" w:eastAsia="Arial" w:hAnsi="Arial"/>
                <w:sz w:val="17"/>
                <w:szCs w:val="17"/>
                <w:color w:val="auto"/>
              </w:rPr>
              <w:t>Note payable – related parties</w:t>
            </w:r>
          </w:p>
        </w:tc>
        <w:tc>
          <w:tcPr>
            <w:tcW w:w="120" w:type="dxa"/>
            <w:vAlign w:val="bottom"/>
            <w:shd w:val="clear" w:color="auto" w:fill="CBDBD1"/>
          </w:tcPr>
          <w:p>
            <w:pPr>
              <w:spacing w:after="0"/>
              <w:rPr>
                <w:sz w:val="18"/>
                <w:szCs w:val="18"/>
                <w:color w:val="auto"/>
              </w:rPr>
            </w:pPr>
          </w:p>
        </w:tc>
        <w:tc>
          <w:tcPr>
            <w:tcW w:w="132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-0-</w:t>
            </w: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BDBD1"/>
          </w:tcPr>
          <w:p>
            <w:pPr>
              <w:spacing w:after="0"/>
              <w:rPr>
                <w:sz w:val="18"/>
                <w:szCs w:val="18"/>
                <w:color w:val="auto"/>
              </w:rPr>
            </w:pPr>
          </w:p>
        </w:tc>
        <w:tc>
          <w:tcPr>
            <w:tcW w:w="132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48,343</w:t>
            </w: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217,799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80" w:type="dxa"/>
            <w:vAlign w:val="bottom"/>
          </w:tcPr>
          <w:p>
            <w:pPr>
              <w:ind w:left="320"/>
              <w:spacing w:after="0"/>
              <w:rPr>
                <w:sz w:val="20"/>
                <w:szCs w:val="20"/>
                <w:color w:val="auto"/>
              </w:rPr>
            </w:pPr>
            <w:r>
              <w:rPr>
                <w:rFonts w:ascii="Arial" w:cs="Arial" w:eastAsia="Arial" w:hAnsi="Arial"/>
                <w:sz w:val="17"/>
                <w:szCs w:val="17"/>
                <w:color w:val="auto"/>
                <w:w w:val="99"/>
              </w:rPr>
              <w:t>Common stock, $.001 par value, 500,000,000 shares authorized,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180" w:type="dxa"/>
            <w:vAlign w:val="bottom"/>
          </w:tcPr>
          <w:p>
            <w:pPr>
              <w:ind w:left="320"/>
              <w:spacing w:after="0"/>
              <w:rPr>
                <w:sz w:val="20"/>
                <w:szCs w:val="20"/>
                <w:color w:val="auto"/>
              </w:rPr>
            </w:pPr>
            <w:r>
              <w:rPr>
                <w:rFonts w:ascii="Arial" w:cs="Arial" w:eastAsia="Arial" w:hAnsi="Arial"/>
                <w:sz w:val="17"/>
                <w:szCs w:val="17"/>
                <w:color w:val="auto"/>
              </w:rPr>
              <w:t>12,688,866 shares issued and outstanding</w:t>
            </w: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12,689</w:t>
            </w:r>
          </w:p>
        </w:tc>
        <w:tc>
          <w:tcPr>
            <w:tcW w:w="1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12,263</w:t>
            </w: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ind w:left="320"/>
              <w:spacing w:after="0"/>
              <w:rPr>
                <w:sz w:val="20"/>
                <w:szCs w:val="20"/>
                <w:color w:val="auto"/>
              </w:rPr>
            </w:pPr>
            <w:r>
              <w:rPr>
                <w:rFonts w:ascii="Arial" w:cs="Arial" w:eastAsia="Arial" w:hAnsi="Arial"/>
                <w:sz w:val="17"/>
                <w:szCs w:val="17"/>
                <w:color w:val="auto"/>
              </w:rPr>
              <w:t>Stock warrants</w:t>
            </w: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16,199,995</w:t>
            </w:r>
          </w:p>
        </w:tc>
        <w:tc>
          <w:tcPr>
            <w:tcW w:w="1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16,905,280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Pr>
          <w:p>
            <w:pPr>
              <w:ind w:left="320"/>
              <w:spacing w:after="0"/>
              <w:rPr>
                <w:sz w:val="20"/>
                <w:szCs w:val="20"/>
                <w:color w:val="auto"/>
              </w:rPr>
            </w:pPr>
            <w:r>
              <w:rPr>
                <w:rFonts w:ascii="Arial" w:cs="Arial" w:eastAsia="Arial" w:hAnsi="Arial"/>
                <w:sz w:val="17"/>
                <w:szCs w:val="17"/>
                <w:color w:val="auto"/>
              </w:rPr>
              <w:t>Additional paid-in-capital</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1,400,859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shd w:val="clear" w:color="auto" w:fill="CBDBD1"/>
          </w:tcPr>
          <w:p>
            <w:pPr>
              <w:ind w:left="320"/>
              <w:spacing w:after="0"/>
              <w:rPr>
                <w:sz w:val="20"/>
                <w:szCs w:val="20"/>
                <w:color w:val="auto"/>
              </w:rPr>
            </w:pPr>
            <w:r>
              <w:rPr>
                <w:rFonts w:ascii="Arial" w:cs="Arial" w:eastAsia="Arial" w:hAnsi="Arial"/>
                <w:sz w:val="17"/>
                <w:szCs w:val="17"/>
                <w:color w:val="auto"/>
              </w:rPr>
              <w:t>Deficit accumulated during the development stage</w:t>
            </w:r>
          </w:p>
        </w:tc>
        <w:tc>
          <w:tcPr>
            <w:tcW w:w="120" w:type="dxa"/>
            <w:vAlign w:val="bottom"/>
            <w:shd w:val="clear" w:color="auto" w:fill="CBDBD1"/>
          </w:tcPr>
          <w:p>
            <w:pPr>
              <w:spacing w:after="0"/>
              <w:rPr>
                <w:sz w:val="18"/>
                <w:szCs w:val="18"/>
                <w:color w:val="auto"/>
              </w:rPr>
            </w:pPr>
          </w:p>
        </w:tc>
        <w:tc>
          <w:tcPr>
            <w:tcW w:w="132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(16,194,907)</w:t>
            </w: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(14,492,039)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tcBorders>
              <w:top w:val="single" w:sz="8" w:color="CBDBD1"/>
            </w:tcBorders>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1,418,636</w:t>
            </w:r>
          </w:p>
        </w:tc>
        <w:tc>
          <w:tcPr>
            <w:tcW w:w="100" w:type="dxa"/>
            <w:vAlign w:val="bottom"/>
            <w:tcBorders>
              <w:top w:val="single" w:sz="8" w:color="CBDBD1"/>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2,425,504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22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1,466,979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2,643,303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4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2"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FOR THE THREE MONTHS ENDED JUNE 30, 2009 AND 2008</w:t>
      </w:r>
    </w:p>
    <w:p>
      <w:pPr>
        <w:spacing w:after="0" w:line="228" w:lineRule="exact"/>
        <w:rPr>
          <w:sz w:val="20"/>
          <w:szCs w:val="20"/>
          <w:color w:val="auto"/>
        </w:rPr>
      </w:pPr>
    </w:p>
    <w:tbl>
      <w:tblPr>
        <w:tblLayout w:type="fixed"/>
        <w:tblInd w:w="230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Three months</w:t>
            </w:r>
          </w:p>
        </w:tc>
        <w:tc>
          <w:tcPr>
            <w:tcW w:w="16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Three months</w:t>
            </w: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ended</w:t>
            </w:r>
          </w:p>
        </w:tc>
        <w:tc>
          <w:tcPr>
            <w:tcW w:w="16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ended</w:t>
            </w: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June 30, 2009</w:t>
            </w:r>
          </w:p>
        </w:tc>
        <w:tc>
          <w:tcPr>
            <w:tcW w:w="16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June 30, 2008</w:t>
            </w:r>
          </w:p>
        </w:tc>
        <w:tc>
          <w:tcPr>
            <w:tcW w:w="0" w:type="dxa"/>
            <w:vAlign w:val="bottom"/>
          </w:tcPr>
          <w:p>
            <w:pPr>
              <w:spacing w:after="0"/>
              <w:rPr>
                <w:sz w:val="1"/>
                <w:szCs w:val="1"/>
                <w:color w:val="auto"/>
              </w:rPr>
            </w:pPr>
          </w:p>
        </w:tc>
      </w:tr>
      <w:tr>
        <w:trPr>
          <w:trHeight w:val="232"/>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5"/>
              </w:rPr>
              <w:t>(Unaudited)</w:t>
            </w:r>
          </w:p>
        </w:tc>
        <w:tc>
          <w:tcPr>
            <w:tcW w:w="16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5"/>
              </w:rPr>
              <w:t>(Unaudited)</w:t>
            </w: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REVENUE</w:t>
            </w:r>
          </w:p>
        </w:tc>
        <w:tc>
          <w:tcPr>
            <w:tcW w:w="14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3,449</w:t>
            </w:r>
          </w:p>
        </w:tc>
        <w:tc>
          <w:tcPr>
            <w:tcW w:w="120" w:type="dxa"/>
            <w:vAlign w:val="bottom"/>
            <w:shd w:val="clear" w:color="auto" w:fill="CBDBD1"/>
          </w:tcPr>
          <w:p>
            <w:pPr>
              <w:spacing w:after="0"/>
              <w:rPr>
                <w:sz w:val="18"/>
                <w:szCs w:val="18"/>
                <w:color w:val="auto"/>
              </w:rPr>
            </w:pPr>
          </w:p>
        </w:tc>
        <w:tc>
          <w:tcPr>
            <w:tcW w:w="160" w:type="dxa"/>
            <w:vAlign w:val="bottom"/>
            <w:shd w:val="clear" w:color="auto" w:fill="CBDBD1"/>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16,679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shd w:val="clear" w:color="auto" w:fill="CBDBD1"/>
          </w:tcPr>
          <w:p>
            <w:pPr>
              <w:spacing w:after="0"/>
              <w:rPr>
                <w:sz w:val="18"/>
                <w:szCs w:val="18"/>
                <w:color w:val="auto"/>
              </w:rPr>
            </w:pPr>
          </w:p>
        </w:tc>
        <w:tc>
          <w:tcPr>
            <w:tcW w:w="13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355,462</w:t>
            </w:r>
          </w:p>
        </w:tc>
        <w:tc>
          <w:tcPr>
            <w:tcW w:w="1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3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218,927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8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7"/>
                <w:szCs w:val="17"/>
                <w:b w:val="1"/>
                <w:bCs w:val="1"/>
                <w:color w:val="auto"/>
              </w:rPr>
              <w:t>OPERATING LOSS</w:t>
            </w:r>
          </w:p>
        </w:tc>
        <w:tc>
          <w:tcPr>
            <w:tcW w:w="140" w:type="dxa"/>
            <w:vAlign w:val="bottom"/>
            <w:tcBorders>
              <w:bottom w:val="single" w:sz="8" w:color="auto"/>
            </w:tcBorders>
            <w:shd w:val="clear" w:color="auto" w:fill="CBDBD1"/>
          </w:tcPr>
          <w:p>
            <w:pPr>
              <w:spacing w:after="0"/>
              <w:rPr>
                <w:sz w:val="18"/>
                <w:szCs w:val="18"/>
                <w:color w:val="auto"/>
              </w:rPr>
            </w:pPr>
          </w:p>
        </w:tc>
        <w:tc>
          <w:tcPr>
            <w:tcW w:w="13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7"/>
                <w:szCs w:val="17"/>
                <w:color w:val="auto"/>
              </w:rPr>
              <w:t>(352,013)</w:t>
            </w:r>
          </w:p>
        </w:tc>
        <w:tc>
          <w:tcPr>
            <w:tcW w:w="120" w:type="dxa"/>
            <w:vAlign w:val="bottom"/>
            <w:tcBorders>
              <w:bottom w:val="single" w:sz="8" w:color="CBDBD1"/>
            </w:tcBorders>
            <w:shd w:val="clear" w:color="auto" w:fill="CBDBD1"/>
          </w:tcPr>
          <w:p>
            <w:pPr>
              <w:spacing w:after="0"/>
              <w:rPr>
                <w:sz w:val="18"/>
                <w:szCs w:val="18"/>
                <w:color w:val="auto"/>
              </w:rPr>
            </w:pPr>
          </w:p>
        </w:tc>
        <w:tc>
          <w:tcPr>
            <w:tcW w:w="160" w:type="dxa"/>
            <w:vAlign w:val="bottom"/>
            <w:tcBorders>
              <w:bottom w:val="single" w:sz="8" w:color="auto"/>
            </w:tcBorders>
            <w:shd w:val="clear" w:color="auto" w:fill="CBDBD1"/>
          </w:tcPr>
          <w:p>
            <w:pPr>
              <w:spacing w:after="0"/>
              <w:rPr>
                <w:sz w:val="18"/>
                <w:szCs w:val="18"/>
                <w:color w:val="auto"/>
              </w:rPr>
            </w:pPr>
          </w:p>
        </w:tc>
        <w:tc>
          <w:tcPr>
            <w:tcW w:w="13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7"/>
                <w:szCs w:val="17"/>
                <w:color w:val="auto"/>
              </w:rPr>
              <w:t>(202,248)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OTHER INCOME (EXPENSE)</w:t>
            </w:r>
          </w:p>
        </w:tc>
        <w:tc>
          <w:tcPr>
            <w:tcW w:w="140" w:type="dxa"/>
            <w:vAlign w:val="bottom"/>
            <w:shd w:val="clear" w:color="auto" w:fill="CBDBD1"/>
          </w:tcPr>
          <w:p>
            <w:pPr>
              <w:spacing w:after="0"/>
              <w:rPr>
                <w:sz w:val="18"/>
                <w:szCs w:val="18"/>
                <w:color w:val="auto"/>
              </w:rPr>
            </w:pPr>
          </w:p>
        </w:tc>
        <w:tc>
          <w:tcPr>
            <w:tcW w:w="13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32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ind w:left="62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9,576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shd w:val="clear" w:color="auto" w:fill="CBDBD1"/>
          </w:tcPr>
          <w:p>
            <w:pPr>
              <w:ind w:left="620"/>
              <w:spacing w:after="0"/>
              <w:rPr>
                <w:sz w:val="20"/>
                <w:szCs w:val="20"/>
                <w:color w:val="auto"/>
              </w:rPr>
            </w:pPr>
            <w:r>
              <w:rPr>
                <w:rFonts w:ascii="Arial" w:cs="Arial" w:eastAsia="Arial" w:hAnsi="Arial"/>
                <w:sz w:val="17"/>
                <w:szCs w:val="17"/>
                <w:color w:val="auto"/>
              </w:rPr>
              <w:t>Other income</w:t>
            </w:r>
          </w:p>
        </w:tc>
        <w:tc>
          <w:tcPr>
            <w:tcW w:w="140" w:type="dxa"/>
            <w:vAlign w:val="bottom"/>
            <w:shd w:val="clear" w:color="auto" w:fill="CBDBD1"/>
          </w:tcPr>
          <w:p>
            <w:pPr>
              <w:spacing w:after="0"/>
              <w:rPr>
                <w:sz w:val="18"/>
                <w:szCs w:val="18"/>
                <w:color w:val="auto"/>
              </w:rPr>
            </w:pPr>
          </w:p>
        </w:tc>
        <w:tc>
          <w:tcPr>
            <w:tcW w:w="13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312</w:t>
            </w:r>
          </w:p>
        </w:tc>
        <w:tc>
          <w:tcPr>
            <w:tcW w:w="1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3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ind w:left="62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80" w:type="dxa"/>
            <w:vAlign w:val="bottom"/>
            <w:tcBorders>
              <w:bottom w:val="single" w:sz="8" w:color="CBDBD1"/>
            </w:tcBorders>
            <w:shd w:val="clear" w:color="auto" w:fill="CBDBD1"/>
          </w:tcPr>
          <w:p>
            <w:pPr>
              <w:ind w:left="620"/>
              <w:spacing w:after="0"/>
              <w:rPr>
                <w:sz w:val="20"/>
                <w:szCs w:val="20"/>
                <w:color w:val="auto"/>
              </w:rPr>
            </w:pPr>
            <w:r>
              <w:rPr>
                <w:rFonts w:ascii="Arial" w:cs="Arial" w:eastAsia="Arial" w:hAnsi="Arial"/>
                <w:sz w:val="17"/>
                <w:szCs w:val="17"/>
                <w:color w:val="auto"/>
              </w:rPr>
              <w:t>Stock warrant expense</w:t>
            </w:r>
          </w:p>
        </w:tc>
        <w:tc>
          <w:tcPr>
            <w:tcW w:w="140" w:type="dxa"/>
            <w:vAlign w:val="bottom"/>
            <w:tcBorders>
              <w:bottom w:val="single" w:sz="8" w:color="auto"/>
            </w:tcBorders>
            <w:shd w:val="clear" w:color="auto" w:fill="CBDBD1"/>
          </w:tcPr>
          <w:p>
            <w:pPr>
              <w:spacing w:after="0"/>
              <w:rPr>
                <w:sz w:val="18"/>
                <w:szCs w:val="18"/>
                <w:color w:val="auto"/>
              </w:rPr>
            </w:pPr>
          </w:p>
        </w:tc>
        <w:tc>
          <w:tcPr>
            <w:tcW w:w="13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7"/>
                <w:szCs w:val="17"/>
                <w:color w:val="auto"/>
              </w:rPr>
              <w:t>-0-</w:t>
            </w:r>
          </w:p>
        </w:tc>
        <w:tc>
          <w:tcPr>
            <w:tcW w:w="120" w:type="dxa"/>
            <w:vAlign w:val="bottom"/>
            <w:tcBorders>
              <w:bottom w:val="single" w:sz="8" w:color="CBDBD1"/>
            </w:tcBorders>
            <w:shd w:val="clear" w:color="auto" w:fill="CBDBD1"/>
          </w:tcPr>
          <w:p>
            <w:pPr>
              <w:spacing w:after="0"/>
              <w:rPr>
                <w:sz w:val="18"/>
                <w:szCs w:val="18"/>
                <w:color w:val="auto"/>
              </w:rPr>
            </w:pPr>
          </w:p>
        </w:tc>
        <w:tc>
          <w:tcPr>
            <w:tcW w:w="160" w:type="dxa"/>
            <w:vAlign w:val="bottom"/>
            <w:tcBorders>
              <w:bottom w:val="single" w:sz="8" w:color="auto"/>
            </w:tcBorders>
            <w:shd w:val="clear" w:color="auto" w:fill="CBDBD1"/>
          </w:tcPr>
          <w:p>
            <w:pPr>
              <w:spacing w:after="0"/>
              <w:rPr>
                <w:sz w:val="18"/>
                <w:szCs w:val="18"/>
                <w:color w:val="auto"/>
              </w:rPr>
            </w:pPr>
          </w:p>
        </w:tc>
        <w:tc>
          <w:tcPr>
            <w:tcW w:w="13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7"/>
                <w:szCs w:val="17"/>
                <w:color w:val="auto"/>
              </w:rPr>
              <w:t>(333,004)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80" w:type="dxa"/>
            <w:vAlign w:val="bottom"/>
          </w:tcPr>
          <w:p>
            <w:pPr>
              <w:spacing w:after="0"/>
              <w:rPr>
                <w:sz w:val="20"/>
                <w:szCs w:val="20"/>
                <w:color w:val="auto"/>
              </w:rPr>
            </w:pPr>
            <w:r>
              <w:rPr>
                <w:rFonts w:ascii="Arial" w:cs="Arial" w:eastAsia="Arial" w:hAnsi="Arial"/>
                <w:sz w:val="17"/>
                <w:szCs w:val="17"/>
                <w:b w:val="1"/>
                <w:bCs w:val="1"/>
                <w:color w:val="auto"/>
              </w:rPr>
              <w:t>TOTAL OTHER INCOME (EXPENSE)</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9,868</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shd w:val="clear" w:color="auto" w:fill="CBDBD1"/>
          </w:tcPr>
          <w:p>
            <w:pPr>
              <w:spacing w:after="0"/>
              <w:rPr>
                <w:sz w:val="18"/>
                <w:szCs w:val="18"/>
                <w:color w:val="auto"/>
              </w:rPr>
            </w:pPr>
          </w:p>
        </w:tc>
        <w:tc>
          <w:tcPr>
            <w:tcW w:w="140" w:type="dxa"/>
            <w:vAlign w:val="bottom"/>
            <w:shd w:val="clear" w:color="auto" w:fill="CBDBD1"/>
          </w:tcPr>
          <w:p>
            <w:pPr>
              <w:spacing w:after="0"/>
              <w:rPr>
                <w:sz w:val="18"/>
                <w:szCs w:val="18"/>
                <w:color w:val="auto"/>
              </w:rPr>
            </w:pPr>
          </w:p>
        </w:tc>
        <w:tc>
          <w:tcPr>
            <w:tcW w:w="132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60" w:type="dxa"/>
            <w:vAlign w:val="bottom"/>
            <w:shd w:val="clear" w:color="auto" w:fill="CBDBD1"/>
          </w:tcPr>
          <w:p>
            <w:pPr>
              <w:spacing w:after="0"/>
              <w:rPr>
                <w:sz w:val="18"/>
                <w:szCs w:val="18"/>
                <w:color w:val="auto"/>
              </w:rPr>
            </w:pPr>
          </w:p>
        </w:tc>
        <w:tc>
          <w:tcPr>
            <w:tcW w:w="1320" w:type="dxa"/>
            <w:vAlign w:val="bottom"/>
            <w:shd w:val="clear" w:color="auto" w:fill="CBDBD1"/>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(342,145)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(535,238)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7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132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60" w:type="dxa"/>
            <w:vAlign w:val="bottom"/>
            <w:shd w:val="clear" w:color="auto" w:fill="CBDBD1"/>
          </w:tcPr>
          <w:p>
            <w:pPr>
              <w:spacing w:after="0"/>
              <w:rPr>
                <w:sz w:val="17"/>
                <w:szCs w:val="17"/>
                <w:color w:val="auto"/>
              </w:rPr>
            </w:pPr>
          </w:p>
        </w:tc>
        <w:tc>
          <w:tcPr>
            <w:tcW w:w="132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Arial" w:cs="Arial" w:eastAsia="Arial" w:hAnsi="Arial"/>
                <w:sz w:val="17"/>
                <w:szCs w:val="17"/>
                <w:b w:val="1"/>
                <w:bCs w:val="1"/>
                <w:color w:val="auto"/>
              </w:rPr>
              <w:t>WEIGHTED AVERAGE NUMBER OF</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80" w:type="dxa"/>
            <w:vAlign w:val="bottom"/>
          </w:tcPr>
          <w:p>
            <w:pPr>
              <w:spacing w:after="0"/>
              <w:rPr>
                <w:sz w:val="20"/>
                <w:szCs w:val="20"/>
                <w:color w:val="auto"/>
              </w:rPr>
            </w:pPr>
            <w:r>
              <w:rPr>
                <w:rFonts w:ascii="Arial" w:cs="Arial" w:eastAsia="Arial" w:hAnsi="Arial"/>
                <w:sz w:val="17"/>
                <w:szCs w:val="17"/>
                <w:b w:val="1"/>
                <w:bCs w:val="1"/>
                <w:color w:val="auto"/>
              </w:rPr>
              <w:t>SHARES OUTSTANDING</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12,609,094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11,662,465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780" w:type="dxa"/>
            <w:vAlign w:val="bottom"/>
            <w:shd w:val="clear" w:color="auto" w:fill="CBDBD1"/>
          </w:tcPr>
          <w:p>
            <w:pPr>
              <w:spacing w:after="0"/>
              <w:rPr>
                <w:sz w:val="17"/>
                <w:szCs w:val="17"/>
                <w:color w:val="auto"/>
              </w:rPr>
            </w:pPr>
          </w:p>
        </w:tc>
        <w:tc>
          <w:tcPr>
            <w:tcW w:w="140" w:type="dxa"/>
            <w:vAlign w:val="bottom"/>
            <w:shd w:val="clear" w:color="auto" w:fill="CBDBD1"/>
          </w:tcPr>
          <w:p>
            <w:pPr>
              <w:spacing w:after="0"/>
              <w:rPr>
                <w:sz w:val="17"/>
                <w:szCs w:val="17"/>
                <w:color w:val="auto"/>
              </w:rPr>
            </w:pPr>
          </w:p>
        </w:tc>
        <w:tc>
          <w:tcPr>
            <w:tcW w:w="132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60" w:type="dxa"/>
            <w:vAlign w:val="bottom"/>
            <w:shd w:val="clear" w:color="auto" w:fill="CBDBD1"/>
          </w:tcPr>
          <w:p>
            <w:pPr>
              <w:spacing w:after="0"/>
              <w:rPr>
                <w:sz w:val="17"/>
                <w:szCs w:val="17"/>
                <w:color w:val="auto"/>
              </w:rPr>
            </w:pPr>
          </w:p>
        </w:tc>
        <w:tc>
          <w:tcPr>
            <w:tcW w:w="1320" w:type="dxa"/>
            <w:vAlign w:val="bottom"/>
            <w:shd w:val="clear" w:color="auto" w:fill="CBDBD1"/>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20"/>
                <w:szCs w:val="20"/>
                <w:color w:val="auto"/>
              </w:rPr>
            </w:pPr>
            <w:r>
              <w:rPr>
                <w:rFonts w:ascii="Arial" w:cs="Arial" w:eastAsia="Arial" w:hAnsi="Arial"/>
                <w:sz w:val="17"/>
                <w:szCs w:val="17"/>
                <w:b w:val="1"/>
                <w:bCs w:val="1"/>
                <w:color w:val="auto"/>
              </w:rPr>
              <w:t>NET LOSS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4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CONSOLIDATED STATEMENTS OF OPERATIONS (UNAUDITED)</w:t>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FOR THE SIX MONTHS ENDED JUNE 30, 2009 AND 2008</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AND THE PERIOD FROM JANUARY 31, 2006 (INCEPTION) TO JUNE 30, 2009</w:t>
      </w:r>
    </w:p>
    <w:p>
      <w:pPr>
        <w:spacing w:after="0" w:line="228" w:lineRule="exact"/>
        <w:rPr>
          <w:sz w:val="20"/>
          <w:szCs w:val="20"/>
          <w:color w:val="auto"/>
        </w:rPr>
      </w:pPr>
    </w:p>
    <w:tbl>
      <w:tblPr>
        <w:tblLayout w:type="fixed"/>
        <w:tblInd w:w="2300" w:type="dxa"/>
        <w:tblCellMar>
          <w:top w:w="0" w:type="dxa"/>
          <w:left w:w="0" w:type="dxa"/>
          <w:bottom w:w="0" w:type="dxa"/>
          <w:right w:w="0" w:type="dxa"/>
        </w:tblCellMar>
      </w:tblP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Period from</w:t>
            </w:r>
          </w:p>
        </w:tc>
        <w:tc>
          <w:tcPr>
            <w:tcW w:w="0" w:type="dxa"/>
            <w:vAlign w:val="bottom"/>
          </w:tcPr>
          <w:p>
            <w:pPr>
              <w:spacing w:after="0"/>
              <w:rPr>
                <w:sz w:val="1"/>
                <w:szCs w:val="1"/>
                <w:color w:val="auto"/>
              </w:rPr>
            </w:pPr>
          </w:p>
        </w:tc>
      </w:t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2"/>
              </w:rPr>
              <w:t>January 1,</w:t>
            </w:r>
          </w:p>
        </w:tc>
        <w:tc>
          <w:tcPr>
            <w:tcW w:w="0" w:type="dxa"/>
            <w:vAlign w:val="bottom"/>
          </w:tcPr>
          <w:p>
            <w:pPr>
              <w:spacing w:after="0"/>
              <w:rPr>
                <w:sz w:val="1"/>
                <w:szCs w:val="1"/>
                <w:color w:val="auto"/>
              </w:rPr>
            </w:pPr>
          </w:p>
        </w:tc>
      </w:t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93"/>
              <w:spacing w:after="0"/>
              <w:rPr>
                <w:sz w:val="20"/>
                <w:szCs w:val="20"/>
                <w:color w:val="auto"/>
              </w:rPr>
            </w:pPr>
            <w:r>
              <w:rPr>
                <w:rFonts w:ascii="Arial" w:cs="Arial" w:eastAsia="Arial" w:hAnsi="Arial"/>
                <w:sz w:val="17"/>
                <w:szCs w:val="17"/>
                <w:b w:val="1"/>
                <w:bCs w:val="1"/>
                <w:color w:val="auto"/>
                <w:w w:val="89"/>
              </w:rPr>
              <w:t>Six months</w:t>
            </w:r>
          </w:p>
        </w:tc>
        <w:tc>
          <w:tcPr>
            <w:tcW w:w="1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Six months</w:t>
            </w:r>
          </w:p>
        </w:tc>
        <w:tc>
          <w:tcPr>
            <w:tcW w:w="120" w:type="dxa"/>
            <w:vAlign w:val="bottom"/>
          </w:tcPr>
          <w:p>
            <w:pPr>
              <w:spacing w:after="0"/>
              <w:rPr>
                <w:sz w:val="18"/>
                <w:szCs w:val="18"/>
                <w:color w:val="auto"/>
              </w:rPr>
            </w:pPr>
          </w:p>
        </w:tc>
        <w:tc>
          <w:tcPr>
            <w:tcW w:w="1060" w:type="dxa"/>
            <w:vAlign w:val="bottom"/>
          </w:tcPr>
          <w:p>
            <w:pPr>
              <w:jc w:val="center"/>
              <w:ind w:right="33"/>
              <w:spacing w:after="0"/>
              <w:rPr>
                <w:sz w:val="20"/>
                <w:szCs w:val="20"/>
                <w:color w:val="auto"/>
              </w:rPr>
            </w:pPr>
            <w:r>
              <w:rPr>
                <w:rFonts w:ascii="Arial" w:cs="Arial" w:eastAsia="Arial" w:hAnsi="Arial"/>
                <w:sz w:val="17"/>
                <w:szCs w:val="17"/>
                <w:b w:val="1"/>
                <w:bCs w:val="1"/>
                <w:color w:val="auto"/>
                <w:w w:val="89"/>
              </w:rPr>
              <w:t>2006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13"/>
              <w:spacing w:after="0"/>
              <w:rPr>
                <w:sz w:val="20"/>
                <w:szCs w:val="20"/>
                <w:color w:val="auto"/>
              </w:rPr>
            </w:pPr>
            <w:r>
              <w:rPr>
                <w:rFonts w:ascii="Arial" w:cs="Arial" w:eastAsia="Arial" w:hAnsi="Arial"/>
                <w:sz w:val="17"/>
                <w:szCs w:val="17"/>
                <w:b w:val="1"/>
                <w:bCs w:val="1"/>
                <w:color w:val="auto"/>
                <w:w w:val="87"/>
              </w:rPr>
              <w:t>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ended</w:t>
            </w:r>
          </w:p>
        </w:tc>
        <w:tc>
          <w:tcPr>
            <w:tcW w:w="12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2"/>
              </w:rPr>
              <w:t>(Inception) to</w:t>
            </w:r>
          </w:p>
        </w:tc>
        <w:tc>
          <w:tcPr>
            <w:tcW w:w="0" w:type="dxa"/>
            <w:vAlign w:val="bottom"/>
          </w:tcPr>
          <w:p>
            <w:pPr>
              <w:spacing w:after="0"/>
              <w:rPr>
                <w:sz w:val="1"/>
                <w:szCs w:val="1"/>
                <w:color w:val="auto"/>
              </w:rPr>
            </w:pPr>
          </w:p>
        </w:tc>
      </w:t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3"/>
              <w:spacing w:after="0"/>
              <w:rPr>
                <w:sz w:val="20"/>
                <w:szCs w:val="20"/>
                <w:color w:val="auto"/>
              </w:rPr>
            </w:pPr>
            <w:r>
              <w:rPr>
                <w:rFonts w:ascii="Arial" w:cs="Arial" w:eastAsia="Arial" w:hAnsi="Arial"/>
                <w:sz w:val="17"/>
                <w:szCs w:val="17"/>
                <w:b w:val="1"/>
                <w:bCs w:val="1"/>
                <w:color w:val="auto"/>
                <w:w w:val="90"/>
              </w:rPr>
              <w:t>June 30, 2009</w:t>
            </w: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0"/>
              </w:rPr>
              <w:t>June 30, 2008</w:t>
            </w:r>
          </w:p>
        </w:tc>
        <w:tc>
          <w:tcPr>
            <w:tcW w:w="120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June 30, 2009</w:t>
            </w:r>
          </w:p>
        </w:tc>
        <w:tc>
          <w:tcPr>
            <w:tcW w:w="0" w:type="dxa"/>
            <w:vAlign w:val="bottom"/>
          </w:tcPr>
          <w:p>
            <w:pPr>
              <w:spacing w:after="0"/>
              <w:rPr>
                <w:sz w:val="1"/>
                <w:szCs w:val="1"/>
                <w:color w:val="auto"/>
              </w:rPr>
            </w:pPr>
          </w:p>
        </w:tc>
      </w:tr>
      <w:tr>
        <w:trPr>
          <w:trHeight w:val="232"/>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93"/>
              <w:spacing w:after="0"/>
              <w:rPr>
                <w:sz w:val="20"/>
                <w:szCs w:val="20"/>
                <w:color w:val="auto"/>
              </w:rPr>
            </w:pPr>
            <w:r>
              <w:rPr>
                <w:rFonts w:ascii="Arial" w:cs="Arial" w:eastAsia="Arial" w:hAnsi="Arial"/>
                <w:sz w:val="17"/>
                <w:szCs w:val="17"/>
                <w:b w:val="1"/>
                <w:bCs w:val="1"/>
                <w:color w:val="auto"/>
                <w:w w:val="95"/>
              </w:rPr>
              <w:t>(Unaudited)</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5"/>
              </w:rPr>
              <w:t>(Unaudited)</w:t>
            </w:r>
          </w:p>
        </w:tc>
        <w:tc>
          <w:tcPr>
            <w:tcW w:w="120" w:type="dxa"/>
            <w:vAlign w:val="bottom"/>
          </w:tcPr>
          <w:p>
            <w:pPr>
              <w:spacing w:after="0"/>
              <w:rPr>
                <w:sz w:val="20"/>
                <w:szCs w:val="20"/>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5"/>
              </w:rPr>
              <w:t>(Unaudited)</w:t>
            </w:r>
          </w:p>
        </w:tc>
        <w:tc>
          <w:tcPr>
            <w:tcW w:w="0" w:type="dxa"/>
            <w:vAlign w:val="bottom"/>
          </w:tcPr>
          <w:p>
            <w:pPr>
              <w:spacing w:after="0"/>
              <w:rPr>
                <w:sz w:val="1"/>
                <w:szCs w:val="1"/>
                <w:color w:val="auto"/>
              </w:rPr>
            </w:pPr>
          </w:p>
        </w:tc>
      </w:t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REVENUE</w:t>
            </w:r>
          </w:p>
        </w:tc>
        <w:tc>
          <w:tcPr>
            <w:tcW w:w="220" w:type="dxa"/>
            <w:vAlign w:val="bottom"/>
            <w:gridSpan w:val="2"/>
            <w:shd w:val="clear" w:color="auto" w:fill="CBDBD1"/>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4,720</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67,206</w:t>
            </w:r>
          </w:p>
        </w:tc>
        <w:tc>
          <w:tcPr>
            <w:tcW w:w="120" w:type="dxa"/>
            <w:vAlign w:val="bottom"/>
            <w:shd w:val="clear" w:color="auto" w:fill="CBDBD1"/>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188,724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1,731,766</w:t>
            </w:r>
          </w:p>
        </w:tc>
        <w:tc>
          <w:tcPr>
            <w:tcW w:w="100" w:type="dxa"/>
            <w:vAlign w:val="bottom"/>
            <w:shd w:val="clear" w:color="auto" w:fill="CBDBD1"/>
          </w:tcPr>
          <w:p>
            <w:pPr>
              <w:spacing w:after="0"/>
              <w:rPr>
                <w:sz w:val="18"/>
                <w:szCs w:val="18"/>
                <w:color w:val="auto"/>
              </w:rPr>
            </w:pPr>
          </w:p>
        </w:tc>
        <w:tc>
          <w:tcPr>
            <w:tcW w:w="112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485,036</w:t>
            </w:r>
          </w:p>
        </w:tc>
        <w:tc>
          <w:tcPr>
            <w:tcW w:w="12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3,964,074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0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OPERATING LOSS</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(1,727,046)</w:t>
            </w:r>
          </w:p>
        </w:tc>
        <w:tc>
          <w:tcPr>
            <w:tcW w:w="100" w:type="dxa"/>
            <w:vAlign w:val="bottom"/>
            <w:shd w:val="clear" w:color="auto" w:fill="CBDBD1"/>
          </w:tcPr>
          <w:p>
            <w:pPr>
              <w:spacing w:after="0"/>
              <w:rPr>
                <w:sz w:val="18"/>
                <w:szCs w:val="18"/>
                <w:color w:val="auto"/>
              </w:rPr>
            </w:pPr>
          </w:p>
        </w:tc>
        <w:tc>
          <w:tcPr>
            <w:tcW w:w="112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(417,830)</w:t>
            </w:r>
          </w:p>
        </w:tc>
        <w:tc>
          <w:tcPr>
            <w:tcW w:w="12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(3,775,350)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tcBorders>
              <w:top w:val="single" w:sz="8" w:color="CBDBD1"/>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OTHER INCOME (EXPENSE)</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20" w:type="dxa"/>
            <w:vAlign w:val="bottom"/>
            <w:tcBorders>
              <w:right w:val="single" w:sz="8" w:color="CBDBD1"/>
            </w:tcBorders>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6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tcPr>
          <w:p>
            <w:pPr>
              <w:ind w:left="30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22,664</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BDBD1"/>
          </w:tcPr>
          <w:p>
            <w:pPr>
              <w:ind w:left="300"/>
              <w:spacing w:after="0"/>
              <w:rPr>
                <w:sz w:val="20"/>
                <w:szCs w:val="20"/>
                <w:color w:val="auto"/>
              </w:rPr>
            </w:pPr>
            <w:r>
              <w:rPr>
                <w:rFonts w:ascii="Arial" w:cs="Arial" w:eastAsia="Arial" w:hAnsi="Arial"/>
                <w:sz w:val="17"/>
                <w:szCs w:val="17"/>
                <w:color w:val="auto"/>
              </w:rPr>
              <w:t>Other income</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1,783</w:t>
            </w:r>
          </w:p>
        </w:tc>
        <w:tc>
          <w:tcPr>
            <w:tcW w:w="100" w:type="dxa"/>
            <w:vAlign w:val="bottom"/>
            <w:shd w:val="clear" w:color="auto" w:fill="CBDBD1"/>
          </w:tcPr>
          <w:p>
            <w:pPr>
              <w:spacing w:after="0"/>
              <w:rPr>
                <w:sz w:val="18"/>
                <w:szCs w:val="18"/>
                <w:color w:val="auto"/>
              </w:rPr>
            </w:pPr>
          </w:p>
        </w:tc>
        <w:tc>
          <w:tcPr>
            <w:tcW w:w="112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-0-</w:t>
            </w:r>
          </w:p>
        </w:tc>
        <w:tc>
          <w:tcPr>
            <w:tcW w:w="12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tcPr>
          <w:p>
            <w:pPr>
              <w:ind w:left="300"/>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00" w:type="dxa"/>
            <w:vAlign w:val="bottom"/>
            <w:shd w:val="clear" w:color="auto" w:fill="CBDBD1"/>
          </w:tcPr>
          <w:p>
            <w:pPr>
              <w:ind w:left="300"/>
              <w:spacing w:after="0"/>
              <w:rPr>
                <w:sz w:val="20"/>
                <w:szCs w:val="20"/>
                <w:color w:val="auto"/>
              </w:rPr>
            </w:pPr>
            <w:r>
              <w:rPr>
                <w:rFonts w:ascii="Arial" w:cs="Arial" w:eastAsia="Arial" w:hAnsi="Arial"/>
                <w:sz w:val="17"/>
                <w:szCs w:val="17"/>
                <w:color w:val="auto"/>
              </w:rPr>
              <w:t>Stock warrant expense</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-0-</w:t>
            </w:r>
          </w:p>
        </w:tc>
        <w:tc>
          <w:tcPr>
            <w:tcW w:w="100" w:type="dxa"/>
            <w:vAlign w:val="bottom"/>
            <w:shd w:val="clear" w:color="auto" w:fill="CBDBD1"/>
          </w:tcPr>
          <w:p>
            <w:pPr>
              <w:spacing w:after="0"/>
              <w:rPr>
                <w:sz w:val="18"/>
                <w:szCs w:val="18"/>
                <w:color w:val="auto"/>
              </w:rPr>
            </w:pPr>
          </w:p>
        </w:tc>
        <w:tc>
          <w:tcPr>
            <w:tcW w:w="112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(333,004)</w:t>
            </w:r>
          </w:p>
        </w:tc>
        <w:tc>
          <w:tcPr>
            <w:tcW w:w="12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(2,745,280)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tcBorders>
              <w:top w:val="single" w:sz="8" w:color="CBDBD1"/>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1060" w:type="dxa"/>
            <w:vAlign w:val="bottom"/>
            <w:tcBorders>
              <w:top w:val="single" w:sz="8" w:color="CBDBD1"/>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0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TOTAL OTHER INCOME (EXPENSE)</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1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24,178</w:t>
            </w:r>
          </w:p>
        </w:tc>
        <w:tc>
          <w:tcPr>
            <w:tcW w:w="100" w:type="dxa"/>
            <w:vAlign w:val="bottom"/>
            <w:shd w:val="clear" w:color="auto" w:fill="CBDBD1"/>
          </w:tcPr>
          <w:p>
            <w:pPr>
              <w:spacing w:after="0"/>
              <w:rPr>
                <w:sz w:val="18"/>
                <w:szCs w:val="18"/>
                <w:color w:val="auto"/>
              </w:rPr>
            </w:pPr>
          </w:p>
        </w:tc>
        <w:tc>
          <w:tcPr>
            <w:tcW w:w="112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(332,990)</w:t>
            </w:r>
          </w:p>
        </w:tc>
        <w:tc>
          <w:tcPr>
            <w:tcW w:w="120" w:type="dxa"/>
            <w:vAlign w:val="bottom"/>
            <w:shd w:val="clear" w:color="auto" w:fill="CBDBD1"/>
          </w:tcPr>
          <w:p>
            <w:pPr>
              <w:spacing w:after="0"/>
              <w:rPr>
                <w:sz w:val="18"/>
                <w:szCs w:val="18"/>
                <w:color w:val="auto"/>
              </w:rPr>
            </w:pPr>
          </w:p>
        </w:tc>
        <w:tc>
          <w:tcPr>
            <w:tcW w:w="10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(2,722,148)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tcBorders>
              <w:top w:val="single" w:sz="8" w:color="CBDBD1"/>
            </w:tcBorders>
          </w:tcPr>
          <w:p>
            <w:pPr>
              <w:spacing w:after="0"/>
              <w:rPr>
                <w:sz w:val="18"/>
                <w:szCs w:val="18"/>
                <w:color w:val="auto"/>
              </w:rPr>
            </w:pPr>
          </w:p>
        </w:tc>
        <w:tc>
          <w:tcPr>
            <w:tcW w:w="12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10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NET LOSS</w:t>
            </w:r>
          </w:p>
        </w:tc>
        <w:tc>
          <w:tcPr>
            <w:tcW w:w="220" w:type="dxa"/>
            <w:vAlign w:val="bottom"/>
            <w:gridSpan w:val="2"/>
            <w:shd w:val="clear" w:color="auto" w:fill="CBDBD1"/>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(1,702,868)</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(750,820)</w:t>
            </w:r>
          </w:p>
        </w:tc>
        <w:tc>
          <w:tcPr>
            <w:tcW w:w="120" w:type="dxa"/>
            <w:vAlign w:val="bottom"/>
            <w:shd w:val="clear" w:color="auto" w:fill="CBDBD1"/>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(6,497,498)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100" w:type="dxa"/>
            <w:vAlign w:val="bottom"/>
            <w:tcBorders>
              <w:top w:val="single" w:sz="8" w:color="CBDBD1"/>
            </w:tcBorders>
          </w:tcPr>
          <w:p>
            <w:pPr>
              <w:spacing w:after="0"/>
              <w:rPr>
                <w:sz w:val="17"/>
                <w:szCs w:val="17"/>
                <w:color w:val="auto"/>
              </w:rPr>
            </w:pPr>
          </w:p>
        </w:tc>
        <w:tc>
          <w:tcPr>
            <w:tcW w:w="120" w:type="dxa"/>
            <w:vAlign w:val="bottom"/>
            <w:tcBorders>
              <w:top w:val="single" w:sz="8" w:color="CBDBD1"/>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BDBD1"/>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BDBD1"/>
          </w:tcPr>
          <w:p>
            <w:pPr>
              <w:spacing w:after="0" w:line="189" w:lineRule="exact"/>
              <w:rPr>
                <w:sz w:val="20"/>
                <w:szCs w:val="20"/>
                <w:color w:val="auto"/>
              </w:rPr>
            </w:pPr>
            <w:r>
              <w:rPr>
                <w:rFonts w:ascii="Arial" w:cs="Arial" w:eastAsia="Arial" w:hAnsi="Arial"/>
                <w:sz w:val="17"/>
                <w:szCs w:val="17"/>
                <w:b w:val="1"/>
                <w:bCs w:val="1"/>
                <w:color w:val="auto"/>
              </w:rPr>
              <w:t>WEIGHTED AVERAGE NUMBER OF</w:t>
            </w:r>
          </w:p>
        </w:tc>
        <w:tc>
          <w:tcPr>
            <w:tcW w:w="12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120" w:type="dxa"/>
            <w:vAlign w:val="bottom"/>
            <w:tcBorders>
              <w:right w:val="single" w:sz="8" w:color="CBDBD1"/>
            </w:tcBorders>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04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120" w:type="dxa"/>
            <w:vAlign w:val="bottom"/>
            <w:shd w:val="clear" w:color="auto" w:fill="CBDBD1"/>
          </w:tcPr>
          <w:p>
            <w:pPr>
              <w:spacing w:after="0"/>
              <w:rPr>
                <w:sz w:val="16"/>
                <w:szCs w:val="16"/>
                <w:color w:val="auto"/>
              </w:rPr>
            </w:pPr>
          </w:p>
        </w:tc>
        <w:tc>
          <w:tcPr>
            <w:tcW w:w="1060" w:type="dxa"/>
            <w:vAlign w:val="bottom"/>
            <w:shd w:val="clear" w:color="auto" w:fill="CBDB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310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SHARES OUTSTANDING</w:t>
            </w:r>
          </w:p>
        </w:tc>
        <w:tc>
          <w:tcPr>
            <w:tcW w:w="120" w:type="dxa"/>
            <w:vAlign w:val="bottom"/>
            <w:shd w:val="clear" w:color="auto" w:fill="CBDBD1"/>
          </w:tcPr>
          <w:p>
            <w:pPr>
              <w:spacing w:after="0"/>
              <w:rPr>
                <w:sz w:val="23"/>
                <w:szCs w:val="23"/>
                <w:color w:val="auto"/>
              </w:rPr>
            </w:pPr>
          </w:p>
        </w:tc>
        <w:tc>
          <w:tcPr>
            <w:tcW w:w="100" w:type="dxa"/>
            <w:vAlign w:val="bottom"/>
            <w:shd w:val="clear" w:color="auto" w:fill="CBDBD1"/>
          </w:tcPr>
          <w:p>
            <w:pPr>
              <w:spacing w:after="0"/>
              <w:rPr>
                <w:sz w:val="23"/>
                <w:szCs w:val="23"/>
                <w:color w:val="auto"/>
              </w:rPr>
            </w:pPr>
          </w:p>
        </w:tc>
        <w:tc>
          <w:tcPr>
            <w:tcW w:w="11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12,499,137</w:t>
            </w:r>
          </w:p>
        </w:tc>
        <w:tc>
          <w:tcPr>
            <w:tcW w:w="100" w:type="dxa"/>
            <w:vAlign w:val="bottom"/>
            <w:shd w:val="clear" w:color="auto" w:fill="CBDBD1"/>
          </w:tcPr>
          <w:p>
            <w:pPr>
              <w:spacing w:after="0"/>
              <w:rPr>
                <w:sz w:val="23"/>
                <w:szCs w:val="23"/>
                <w:color w:val="auto"/>
              </w:rPr>
            </w:pPr>
          </w:p>
        </w:tc>
        <w:tc>
          <w:tcPr>
            <w:tcW w:w="112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11,031,233</w:t>
            </w:r>
          </w:p>
        </w:tc>
        <w:tc>
          <w:tcPr>
            <w:tcW w:w="120" w:type="dxa"/>
            <w:vAlign w:val="bottom"/>
            <w:shd w:val="clear" w:color="auto" w:fill="CBDBD1"/>
          </w:tcPr>
          <w:p>
            <w:pPr>
              <w:spacing w:after="0"/>
              <w:rPr>
                <w:sz w:val="23"/>
                <w:szCs w:val="23"/>
                <w:color w:val="auto"/>
              </w:rPr>
            </w:pPr>
          </w:p>
        </w:tc>
        <w:tc>
          <w:tcPr>
            <w:tcW w:w="1060" w:type="dxa"/>
            <w:vAlign w:val="bottom"/>
            <w:shd w:val="clear" w:color="auto" w:fill="CBDBD1"/>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100" w:type="dxa"/>
            <w:vAlign w:val="bottom"/>
            <w:tcBorders>
              <w:top w:val="single" w:sz="8" w:color="CBDBD1"/>
            </w:tcBorders>
          </w:tcPr>
          <w:p>
            <w:pPr>
              <w:spacing w:after="0"/>
              <w:rPr>
                <w:sz w:val="17"/>
                <w:szCs w:val="17"/>
                <w:color w:val="auto"/>
              </w:rPr>
            </w:pPr>
          </w:p>
        </w:tc>
        <w:tc>
          <w:tcPr>
            <w:tcW w:w="120" w:type="dxa"/>
            <w:vAlign w:val="bottom"/>
            <w:tcBorders>
              <w:top w:val="single" w:sz="8" w:color="CBDBD1"/>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BDBD1"/>
            </w:tcBorders>
          </w:tcPr>
          <w:p>
            <w:pPr>
              <w:spacing w:after="0"/>
              <w:rPr>
                <w:sz w:val="17"/>
                <w:szCs w:val="17"/>
                <w:color w:val="auto"/>
              </w:rPr>
            </w:pPr>
          </w:p>
        </w:tc>
        <w:tc>
          <w:tcPr>
            <w:tcW w:w="120" w:type="dxa"/>
            <w:vAlign w:val="bottom"/>
            <w:tcBorders>
              <w:top w:val="single" w:sz="8" w:color="CBDBD1"/>
            </w:tcBorders>
          </w:tcPr>
          <w:p>
            <w:pPr>
              <w:spacing w:after="0"/>
              <w:rPr>
                <w:sz w:val="17"/>
                <w:szCs w:val="17"/>
                <w:color w:val="auto"/>
              </w:rPr>
            </w:pPr>
          </w:p>
        </w:tc>
        <w:tc>
          <w:tcPr>
            <w:tcW w:w="1060" w:type="dxa"/>
            <w:vAlign w:val="bottom"/>
            <w:tcBorders>
              <w:top w:val="single" w:sz="8" w:color="CBDBD1"/>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NET LOSS PER SHARE</w:t>
            </w:r>
          </w:p>
        </w:tc>
        <w:tc>
          <w:tcPr>
            <w:tcW w:w="220" w:type="dxa"/>
            <w:vAlign w:val="bottom"/>
            <w:gridSpan w:val="2"/>
            <w:shd w:val="clear" w:color="auto" w:fill="CBDBD1"/>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(0.07)</w:t>
            </w:r>
          </w:p>
        </w:tc>
        <w:tc>
          <w:tcPr>
            <w:tcW w:w="120" w:type="dxa"/>
            <w:vAlign w:val="bottom"/>
            <w:shd w:val="clear" w:color="auto" w:fill="CBDBD1"/>
          </w:tcPr>
          <w:p>
            <w:pPr>
              <w:spacing w:after="0"/>
              <w:rPr>
                <w:sz w:val="19"/>
                <w:szCs w:val="19"/>
                <w:color w:val="auto"/>
              </w:rPr>
            </w:pPr>
          </w:p>
        </w:tc>
        <w:tc>
          <w:tcPr>
            <w:tcW w:w="1060" w:type="dxa"/>
            <w:vAlign w:val="bottom"/>
            <w:shd w:val="clear" w:color="auto" w:fill="CBDBD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060" w:type="dxa"/>
            <w:vAlign w:val="bottom"/>
            <w:tcBorders>
              <w:top w:val="single" w:sz="8" w:color="CBDBD1"/>
            </w:tcBorders>
            <w:shd w:val="clear" w:color="auto" w:fill="CBDBD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4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AS OF JUNE 30, 2009</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Deficit</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Accumulated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ind w:left="20"/>
              <w:spacing w:after="0"/>
              <w:rPr>
                <w:sz w:val="20"/>
                <w:szCs w:val="20"/>
                <w:color w:val="auto"/>
              </w:rPr>
            </w:pPr>
            <w:r>
              <w:rPr>
                <w:rFonts w:ascii="Arial" w:cs="Arial" w:eastAsia="Arial" w:hAnsi="Arial"/>
                <w:sz w:val="17"/>
                <w:szCs w:val="17"/>
                <w:b w:val="1"/>
                <w:bCs w:val="1"/>
                <w:color w:val="auto"/>
              </w:rPr>
              <w:t>Additional</w:t>
            </w: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During the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700" w:type="dxa"/>
            <w:vAlign w:val="bottom"/>
            <w:gridSpan w:val="4"/>
          </w:tcPr>
          <w:p>
            <w:pPr>
              <w:ind w:left="240"/>
              <w:spacing w:after="0"/>
              <w:rPr>
                <w:sz w:val="20"/>
                <w:szCs w:val="20"/>
                <w:color w:val="auto"/>
              </w:rPr>
            </w:pPr>
            <w:r>
              <w:rPr>
                <w:rFonts w:ascii="Arial" w:cs="Arial" w:eastAsia="Arial" w:hAnsi="Arial"/>
                <w:sz w:val="17"/>
                <w:szCs w:val="17"/>
                <w:b w:val="1"/>
                <w:bCs w:val="1"/>
                <w:color w:val="auto"/>
              </w:rPr>
              <w:t>Common Stock</w:t>
            </w:r>
          </w:p>
        </w:tc>
        <w:tc>
          <w:tcPr>
            <w:tcW w:w="1300" w:type="dxa"/>
            <w:vAlign w:val="bottom"/>
            <w:gridSpan w:val="3"/>
          </w:tcPr>
          <w:p>
            <w:pPr>
              <w:ind w:left="120"/>
              <w:spacing w:after="0"/>
              <w:rPr>
                <w:sz w:val="20"/>
                <w:szCs w:val="20"/>
                <w:color w:val="auto"/>
              </w:rPr>
            </w:pPr>
            <w:r>
              <w:rPr>
                <w:rFonts w:ascii="Arial" w:cs="Arial" w:eastAsia="Arial" w:hAnsi="Arial"/>
                <w:sz w:val="17"/>
                <w:szCs w:val="17"/>
                <w:b w:val="1"/>
                <w:bCs w:val="1"/>
                <w:color w:val="auto"/>
                <w:w w:val="91"/>
              </w:rPr>
              <w:t>Preferred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Stock</w:t>
            </w:r>
          </w:p>
        </w:tc>
        <w:tc>
          <w:tcPr>
            <w:tcW w:w="10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7"/>
                <w:szCs w:val="17"/>
                <w:b w:val="1"/>
                <w:bCs w:val="1"/>
                <w:color w:val="auto"/>
              </w:rPr>
              <w:t>Paid in</w:t>
            </w: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Development</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Borders>
              <w:top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Shares</w:t>
            </w:r>
          </w:p>
        </w:tc>
        <w:tc>
          <w:tcPr>
            <w:tcW w:w="66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3"/>
              </w:rPr>
              <w:t>Amount</w:t>
            </w:r>
          </w:p>
        </w:tc>
        <w:tc>
          <w:tcPr>
            <w:tcW w:w="8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Shares</w:t>
            </w: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Warrants</w:t>
            </w:r>
          </w:p>
        </w:tc>
        <w:tc>
          <w:tcPr>
            <w:tcW w:w="10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7"/>
                <w:szCs w:val="17"/>
                <w:b w:val="1"/>
                <w:bCs w:val="1"/>
                <w:color w:val="auto"/>
              </w:rPr>
              <w:t>Capital</w:t>
            </w: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Stage</w:t>
            </w:r>
          </w:p>
        </w:tc>
        <w:tc>
          <w:tcPr>
            <w:tcW w:w="10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020" w:type="dxa"/>
            <w:vAlign w:val="bottom"/>
            <w:shd w:val="clear" w:color="auto" w:fill="CBDBD1"/>
          </w:tcPr>
          <w:p>
            <w:pPr>
              <w:spacing w:after="0"/>
              <w:rPr>
                <w:sz w:val="20"/>
                <w:szCs w:val="20"/>
                <w:color w:val="auto"/>
              </w:rPr>
            </w:pPr>
            <w:r>
              <w:rPr>
                <w:rFonts w:ascii="Arial" w:cs="Arial" w:eastAsia="Arial" w:hAnsi="Arial"/>
                <w:sz w:val="17"/>
                <w:szCs w:val="17"/>
                <w:color w:val="auto"/>
                <w:w w:val="90"/>
              </w:rPr>
              <w:t>Balance, December 31, 2008</w:t>
            </w:r>
          </w:p>
        </w:tc>
        <w:tc>
          <w:tcPr>
            <w:tcW w:w="96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12,262,958</w:t>
            </w:r>
          </w:p>
        </w:tc>
        <w:tc>
          <w:tcPr>
            <w:tcW w:w="140" w:type="dxa"/>
            <w:vAlign w:val="bottom"/>
            <w:shd w:val="clear" w:color="auto" w:fill="CBDBD1"/>
          </w:tcPr>
          <w:p>
            <w:pPr>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w w:val="96"/>
              </w:rPr>
              <w:t>12,263</w:t>
            </w:r>
          </w:p>
        </w:tc>
        <w:tc>
          <w:tcPr>
            <w:tcW w:w="6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35</w:t>
            </w:r>
          </w:p>
        </w:tc>
        <w:tc>
          <w:tcPr>
            <w:tcW w:w="640" w:type="dxa"/>
            <w:vAlign w:val="bottom"/>
            <w:gridSpan w:val="2"/>
            <w:shd w:val="clear" w:color="auto" w:fill="CBDBD1"/>
          </w:tcPr>
          <w:p>
            <w:pPr>
              <w:ind w:left="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w w:val="84"/>
              </w:rPr>
              <w:t>0</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w w:val="86"/>
              </w:rPr>
              <w:t>$ 16,905,280</w:t>
            </w:r>
          </w:p>
        </w:tc>
        <w:tc>
          <w:tcPr>
            <w:tcW w:w="100" w:type="dxa"/>
            <w:vAlign w:val="bottom"/>
            <w:shd w:val="clear" w:color="auto" w:fill="CBDBD1"/>
          </w:tcPr>
          <w:p>
            <w:pPr>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0</w:t>
            </w:r>
          </w:p>
        </w:tc>
        <w:tc>
          <w:tcPr>
            <w:tcW w:w="110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w w:val="88"/>
              </w:rPr>
              <w:t>$ (14,492,039)</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2,425,504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020" w:type="dxa"/>
            <w:vAlign w:val="bottom"/>
            <w:shd w:val="clear" w:color="auto" w:fill="CBDBD1"/>
          </w:tcPr>
          <w:p>
            <w:pPr>
              <w:spacing w:after="0"/>
              <w:rPr>
                <w:sz w:val="20"/>
                <w:szCs w:val="20"/>
                <w:color w:val="auto"/>
              </w:rPr>
            </w:pPr>
            <w:r>
              <w:rPr>
                <w:rFonts w:ascii="Arial" w:cs="Arial" w:eastAsia="Arial" w:hAnsi="Arial"/>
                <w:sz w:val="17"/>
                <w:szCs w:val="17"/>
                <w:color w:val="auto"/>
                <w:w w:val="95"/>
              </w:rPr>
              <w:t>Issuances of common stock</w:t>
            </w:r>
          </w:p>
        </w:tc>
        <w:tc>
          <w:tcPr>
            <w:tcW w:w="960" w:type="dxa"/>
            <w:vAlign w:val="bottom"/>
            <w:tcBorders>
              <w:right w:val="single" w:sz="8" w:color="CBDBD1"/>
            </w:tcBorders>
            <w:shd w:val="clear" w:color="auto" w:fill="CBDBD1"/>
          </w:tcPr>
          <w:p>
            <w:pPr>
              <w:spacing w:after="0"/>
              <w:rPr>
                <w:sz w:val="16"/>
                <w:szCs w:val="16"/>
                <w:color w:val="auto"/>
              </w:rPr>
            </w:pPr>
          </w:p>
        </w:tc>
        <w:tc>
          <w:tcPr>
            <w:tcW w:w="140" w:type="dxa"/>
            <w:vAlign w:val="bottom"/>
            <w:shd w:val="clear" w:color="auto" w:fill="CBDBD1"/>
          </w:tcPr>
          <w:p>
            <w:pPr>
              <w:spacing w:after="0"/>
              <w:rPr>
                <w:sz w:val="16"/>
                <w:szCs w:val="16"/>
                <w:color w:val="auto"/>
              </w:rPr>
            </w:pPr>
          </w:p>
        </w:tc>
        <w:tc>
          <w:tcPr>
            <w:tcW w:w="52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66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56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88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72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100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840" w:type="dxa"/>
            <w:vAlign w:val="bottom"/>
            <w:shd w:val="clear" w:color="auto" w:fill="CBDB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20" w:type="dxa"/>
            <w:vAlign w:val="bottom"/>
            <w:shd w:val="clear" w:color="auto" w:fill="CBDBD1"/>
          </w:tcPr>
          <w:p>
            <w:pPr>
              <w:spacing w:after="0"/>
              <w:rPr>
                <w:sz w:val="20"/>
                <w:szCs w:val="20"/>
                <w:color w:val="auto"/>
              </w:rPr>
            </w:pPr>
            <w:r>
              <w:rPr>
                <w:rFonts w:ascii="Arial" w:cs="Arial" w:eastAsia="Arial" w:hAnsi="Arial"/>
                <w:sz w:val="17"/>
                <w:szCs w:val="17"/>
                <w:color w:val="auto"/>
              </w:rPr>
              <w:t>for services</w:t>
            </w:r>
          </w:p>
        </w:tc>
        <w:tc>
          <w:tcPr>
            <w:tcW w:w="96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160,000</w:t>
            </w:r>
          </w:p>
        </w:tc>
        <w:tc>
          <w:tcPr>
            <w:tcW w:w="140" w:type="dxa"/>
            <w:vAlign w:val="bottom"/>
            <w:shd w:val="clear" w:color="auto" w:fill="CBDBD1"/>
          </w:tcPr>
          <w:p>
            <w:pPr>
              <w:spacing w:after="0"/>
              <w:rPr>
                <w:sz w:val="19"/>
                <w:szCs w:val="19"/>
                <w:color w:val="auto"/>
              </w:rPr>
            </w:pPr>
          </w:p>
        </w:tc>
        <w:tc>
          <w:tcPr>
            <w:tcW w:w="60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160</w:t>
            </w:r>
          </w:p>
        </w:tc>
        <w:tc>
          <w:tcPr>
            <w:tcW w:w="6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BDBD1"/>
          </w:tcPr>
          <w:p>
            <w:pPr>
              <w:spacing w:after="0"/>
              <w:rPr>
                <w:sz w:val="19"/>
                <w:szCs w:val="19"/>
                <w:color w:val="auto"/>
              </w:rPr>
            </w:pPr>
          </w:p>
        </w:tc>
        <w:tc>
          <w:tcPr>
            <w:tcW w:w="560" w:type="dxa"/>
            <w:vAlign w:val="bottom"/>
            <w:shd w:val="clear" w:color="auto" w:fill="CBDBD1"/>
          </w:tcPr>
          <w:p>
            <w:pPr>
              <w:spacing w:after="0"/>
              <w:rPr>
                <w:sz w:val="19"/>
                <w:szCs w:val="19"/>
                <w:color w:val="auto"/>
              </w:rPr>
            </w:pPr>
          </w:p>
        </w:tc>
        <w:tc>
          <w:tcPr>
            <w:tcW w:w="20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BDBD1"/>
          </w:tcPr>
          <w:p>
            <w:pPr>
              <w:spacing w:after="0"/>
              <w:rPr>
                <w:sz w:val="19"/>
                <w:szCs w:val="19"/>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695,840</w:t>
            </w:r>
          </w:p>
        </w:tc>
        <w:tc>
          <w:tcPr>
            <w:tcW w:w="80" w:type="dxa"/>
            <w:vAlign w:val="bottom"/>
            <w:shd w:val="clear" w:color="auto" w:fill="CBDBD1"/>
          </w:tcPr>
          <w:p>
            <w:pPr>
              <w:spacing w:after="0"/>
              <w:rPr>
                <w:sz w:val="19"/>
                <w:szCs w:val="19"/>
                <w:color w:val="auto"/>
              </w:rPr>
            </w:pPr>
          </w:p>
        </w:tc>
        <w:tc>
          <w:tcPr>
            <w:tcW w:w="110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BDBD1"/>
          </w:tcPr>
          <w:p>
            <w:pPr>
              <w:spacing w:after="0"/>
              <w:rPr>
                <w:sz w:val="19"/>
                <w:szCs w:val="19"/>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696,000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020" w:type="dxa"/>
            <w:vAlign w:val="bottom"/>
            <w:shd w:val="clear" w:color="auto" w:fill="CBDBD1"/>
          </w:tcPr>
          <w:p>
            <w:pPr>
              <w:spacing w:after="0"/>
              <w:rPr>
                <w:sz w:val="20"/>
                <w:szCs w:val="20"/>
                <w:color w:val="auto"/>
              </w:rPr>
            </w:pPr>
            <w:r>
              <w:rPr>
                <w:rFonts w:ascii="Arial" w:cs="Arial" w:eastAsia="Arial" w:hAnsi="Arial"/>
                <w:sz w:val="17"/>
                <w:szCs w:val="17"/>
                <w:color w:val="auto"/>
                <w:w w:val="91"/>
              </w:rPr>
              <w:t>Conversion of stock warrants</w:t>
            </w:r>
          </w:p>
        </w:tc>
        <w:tc>
          <w:tcPr>
            <w:tcW w:w="960" w:type="dxa"/>
            <w:vAlign w:val="bottom"/>
            <w:tcBorders>
              <w:right w:val="single" w:sz="8" w:color="CBDBD1"/>
            </w:tcBorders>
            <w:shd w:val="clear" w:color="auto" w:fill="CBDBD1"/>
          </w:tcPr>
          <w:p>
            <w:pPr>
              <w:spacing w:after="0"/>
              <w:rPr>
                <w:sz w:val="16"/>
                <w:szCs w:val="16"/>
                <w:color w:val="auto"/>
              </w:rPr>
            </w:pPr>
          </w:p>
        </w:tc>
        <w:tc>
          <w:tcPr>
            <w:tcW w:w="140" w:type="dxa"/>
            <w:vAlign w:val="bottom"/>
            <w:shd w:val="clear" w:color="auto" w:fill="CBDBD1"/>
          </w:tcPr>
          <w:p>
            <w:pPr>
              <w:spacing w:after="0"/>
              <w:rPr>
                <w:sz w:val="16"/>
                <w:szCs w:val="16"/>
                <w:color w:val="auto"/>
              </w:rPr>
            </w:pPr>
          </w:p>
        </w:tc>
        <w:tc>
          <w:tcPr>
            <w:tcW w:w="52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66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56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88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72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100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840" w:type="dxa"/>
            <w:vAlign w:val="bottom"/>
            <w:shd w:val="clear" w:color="auto" w:fill="CBDB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20" w:type="dxa"/>
            <w:vAlign w:val="bottom"/>
            <w:shd w:val="clear" w:color="auto" w:fill="CBDBD1"/>
          </w:tcPr>
          <w:p>
            <w:pPr>
              <w:spacing w:after="0"/>
              <w:rPr>
                <w:sz w:val="20"/>
                <w:szCs w:val="20"/>
                <w:color w:val="auto"/>
              </w:rPr>
            </w:pPr>
            <w:r>
              <w:rPr>
                <w:rFonts w:ascii="Arial" w:cs="Arial" w:eastAsia="Arial" w:hAnsi="Arial"/>
                <w:sz w:val="17"/>
                <w:szCs w:val="17"/>
                <w:color w:val="auto"/>
              </w:rPr>
              <w:t>to common stock</w:t>
            </w:r>
          </w:p>
        </w:tc>
        <w:tc>
          <w:tcPr>
            <w:tcW w:w="96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265,908</w:t>
            </w:r>
          </w:p>
        </w:tc>
        <w:tc>
          <w:tcPr>
            <w:tcW w:w="140" w:type="dxa"/>
            <w:vAlign w:val="bottom"/>
            <w:shd w:val="clear" w:color="auto" w:fill="CBDBD1"/>
          </w:tcPr>
          <w:p>
            <w:pPr>
              <w:spacing w:after="0"/>
              <w:rPr>
                <w:sz w:val="19"/>
                <w:szCs w:val="19"/>
                <w:color w:val="auto"/>
              </w:rPr>
            </w:pPr>
          </w:p>
        </w:tc>
        <w:tc>
          <w:tcPr>
            <w:tcW w:w="60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266</w:t>
            </w:r>
          </w:p>
        </w:tc>
        <w:tc>
          <w:tcPr>
            <w:tcW w:w="6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BDBD1"/>
          </w:tcPr>
          <w:p>
            <w:pPr>
              <w:spacing w:after="0"/>
              <w:rPr>
                <w:sz w:val="19"/>
                <w:szCs w:val="19"/>
                <w:color w:val="auto"/>
              </w:rPr>
            </w:pPr>
          </w:p>
        </w:tc>
        <w:tc>
          <w:tcPr>
            <w:tcW w:w="560" w:type="dxa"/>
            <w:vAlign w:val="bottom"/>
            <w:shd w:val="clear" w:color="auto" w:fill="CBDBD1"/>
          </w:tcPr>
          <w:p>
            <w:pPr>
              <w:spacing w:after="0"/>
              <w:rPr>
                <w:sz w:val="19"/>
                <w:szCs w:val="19"/>
                <w:color w:val="auto"/>
              </w:rPr>
            </w:pPr>
          </w:p>
        </w:tc>
        <w:tc>
          <w:tcPr>
            <w:tcW w:w="20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(705,285)</w:t>
            </w:r>
          </w:p>
        </w:tc>
        <w:tc>
          <w:tcPr>
            <w:tcW w:w="100" w:type="dxa"/>
            <w:vAlign w:val="bottom"/>
            <w:shd w:val="clear" w:color="auto" w:fill="CBDBD1"/>
          </w:tcPr>
          <w:p>
            <w:pPr>
              <w:spacing w:after="0"/>
              <w:rPr>
                <w:sz w:val="19"/>
                <w:szCs w:val="19"/>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705,019</w:t>
            </w:r>
          </w:p>
        </w:tc>
        <w:tc>
          <w:tcPr>
            <w:tcW w:w="80" w:type="dxa"/>
            <w:vAlign w:val="bottom"/>
            <w:shd w:val="clear" w:color="auto" w:fill="CBDBD1"/>
          </w:tcPr>
          <w:p>
            <w:pPr>
              <w:spacing w:after="0"/>
              <w:rPr>
                <w:sz w:val="19"/>
                <w:szCs w:val="19"/>
                <w:color w:val="auto"/>
              </w:rPr>
            </w:pPr>
          </w:p>
        </w:tc>
        <w:tc>
          <w:tcPr>
            <w:tcW w:w="110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BDBD1"/>
          </w:tcPr>
          <w:p>
            <w:pPr>
              <w:spacing w:after="0"/>
              <w:rPr>
                <w:sz w:val="19"/>
                <w:szCs w:val="19"/>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020" w:type="dxa"/>
            <w:vAlign w:val="bottom"/>
            <w:shd w:val="clear" w:color="auto" w:fill="CBDBD1"/>
          </w:tcPr>
          <w:p>
            <w:pPr>
              <w:spacing w:after="0"/>
              <w:rPr>
                <w:sz w:val="20"/>
                <w:szCs w:val="20"/>
                <w:color w:val="auto"/>
              </w:rPr>
            </w:pPr>
            <w:r>
              <w:rPr>
                <w:rFonts w:ascii="Arial" w:cs="Arial" w:eastAsia="Arial" w:hAnsi="Arial"/>
                <w:sz w:val="17"/>
                <w:szCs w:val="17"/>
                <w:color w:val="auto"/>
                <w:w w:val="99"/>
              </w:rPr>
              <w:t>Net loss for the six months</w:t>
            </w:r>
          </w:p>
        </w:tc>
        <w:tc>
          <w:tcPr>
            <w:tcW w:w="960" w:type="dxa"/>
            <w:vAlign w:val="bottom"/>
            <w:tcBorders>
              <w:right w:val="single" w:sz="8" w:color="CBDBD1"/>
            </w:tcBorders>
            <w:shd w:val="clear" w:color="auto" w:fill="CBDBD1"/>
          </w:tcPr>
          <w:p>
            <w:pPr>
              <w:spacing w:after="0"/>
              <w:rPr>
                <w:sz w:val="16"/>
                <w:szCs w:val="16"/>
                <w:color w:val="auto"/>
              </w:rPr>
            </w:pPr>
          </w:p>
        </w:tc>
        <w:tc>
          <w:tcPr>
            <w:tcW w:w="140" w:type="dxa"/>
            <w:vAlign w:val="bottom"/>
            <w:shd w:val="clear" w:color="auto" w:fill="CBDBD1"/>
          </w:tcPr>
          <w:p>
            <w:pPr>
              <w:spacing w:after="0"/>
              <w:rPr>
                <w:sz w:val="16"/>
                <w:szCs w:val="16"/>
                <w:color w:val="auto"/>
              </w:rPr>
            </w:pPr>
          </w:p>
        </w:tc>
        <w:tc>
          <w:tcPr>
            <w:tcW w:w="52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66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56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88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720" w:type="dxa"/>
            <w:vAlign w:val="bottom"/>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100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840" w:type="dxa"/>
            <w:vAlign w:val="bottom"/>
            <w:shd w:val="clear" w:color="auto" w:fill="CBDB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20" w:type="dxa"/>
            <w:vAlign w:val="bottom"/>
            <w:shd w:val="clear" w:color="auto" w:fill="CBDBD1"/>
          </w:tcPr>
          <w:p>
            <w:pPr>
              <w:spacing w:after="0"/>
              <w:rPr>
                <w:sz w:val="20"/>
                <w:szCs w:val="20"/>
                <w:color w:val="auto"/>
              </w:rPr>
            </w:pPr>
            <w:r>
              <w:rPr>
                <w:rFonts w:ascii="Arial" w:cs="Arial" w:eastAsia="Arial" w:hAnsi="Arial"/>
                <w:sz w:val="17"/>
                <w:szCs w:val="17"/>
                <w:color w:val="auto"/>
              </w:rPr>
              <w:t>ended June 30, 2009</w:t>
            </w:r>
          </w:p>
        </w:tc>
        <w:tc>
          <w:tcPr>
            <w:tcW w:w="96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BDBD1"/>
          </w:tcPr>
          <w:p>
            <w:pPr>
              <w:spacing w:after="0"/>
              <w:rPr>
                <w:sz w:val="19"/>
                <w:szCs w:val="19"/>
                <w:color w:val="auto"/>
              </w:rPr>
            </w:pPr>
          </w:p>
        </w:tc>
        <w:tc>
          <w:tcPr>
            <w:tcW w:w="5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BDBD1"/>
          </w:tcPr>
          <w:p>
            <w:pPr>
              <w:spacing w:after="0"/>
              <w:rPr>
                <w:sz w:val="19"/>
                <w:szCs w:val="19"/>
                <w:color w:val="auto"/>
              </w:rPr>
            </w:pPr>
          </w:p>
        </w:tc>
        <w:tc>
          <w:tcPr>
            <w:tcW w:w="6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BDBD1"/>
          </w:tcPr>
          <w:p>
            <w:pPr>
              <w:spacing w:after="0"/>
              <w:rPr>
                <w:sz w:val="19"/>
                <w:szCs w:val="19"/>
                <w:color w:val="auto"/>
              </w:rPr>
            </w:pPr>
          </w:p>
        </w:tc>
        <w:tc>
          <w:tcPr>
            <w:tcW w:w="560" w:type="dxa"/>
            <w:vAlign w:val="bottom"/>
            <w:shd w:val="clear" w:color="auto" w:fill="CBDBD1"/>
          </w:tcPr>
          <w:p>
            <w:pPr>
              <w:spacing w:after="0"/>
              <w:rPr>
                <w:sz w:val="19"/>
                <w:szCs w:val="19"/>
                <w:color w:val="auto"/>
              </w:rPr>
            </w:pPr>
          </w:p>
        </w:tc>
        <w:tc>
          <w:tcPr>
            <w:tcW w:w="20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BDBD1"/>
          </w:tcPr>
          <w:p>
            <w:pPr>
              <w:spacing w:after="0"/>
              <w:rPr>
                <w:sz w:val="19"/>
                <w:szCs w:val="19"/>
                <w:color w:val="auto"/>
              </w:rPr>
            </w:pPr>
          </w:p>
        </w:tc>
        <w:tc>
          <w:tcPr>
            <w:tcW w:w="7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BDBD1"/>
          </w:tcPr>
          <w:p>
            <w:pPr>
              <w:spacing w:after="0"/>
              <w:rPr>
                <w:sz w:val="19"/>
                <w:szCs w:val="19"/>
                <w:color w:val="auto"/>
              </w:rPr>
            </w:pPr>
          </w:p>
        </w:tc>
        <w:tc>
          <w:tcPr>
            <w:tcW w:w="110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(1,702,868)</w:t>
            </w:r>
          </w:p>
        </w:tc>
        <w:tc>
          <w:tcPr>
            <w:tcW w:w="100" w:type="dxa"/>
            <w:vAlign w:val="bottom"/>
            <w:shd w:val="clear" w:color="auto" w:fill="CBDBD1"/>
          </w:tcPr>
          <w:p>
            <w:pPr>
              <w:spacing w:after="0"/>
              <w:rPr>
                <w:sz w:val="19"/>
                <w:szCs w:val="19"/>
                <w:color w:val="auto"/>
              </w:rPr>
            </w:pPr>
          </w:p>
        </w:tc>
        <w:tc>
          <w:tcPr>
            <w:tcW w:w="840" w:type="dxa"/>
            <w:vAlign w:val="bottom"/>
            <w:shd w:val="clear" w:color="auto" w:fill="CBDBD1"/>
          </w:tcPr>
          <w:p>
            <w:pPr>
              <w:jc w:val="right"/>
              <w:spacing w:after="0"/>
              <w:rPr>
                <w:sz w:val="20"/>
                <w:szCs w:val="20"/>
                <w:color w:val="auto"/>
              </w:rPr>
            </w:pPr>
            <w:r>
              <w:rPr>
                <w:rFonts w:ascii="Arial" w:cs="Arial" w:eastAsia="Arial" w:hAnsi="Arial"/>
                <w:sz w:val="17"/>
                <w:szCs w:val="17"/>
                <w:color w:val="auto"/>
                <w:w w:val="94"/>
              </w:rPr>
              <w:t>(1,702,868)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020" w:type="dxa"/>
            <w:vAlign w:val="bottom"/>
            <w:tcBorders>
              <w:top w:val="single" w:sz="8" w:color="CBDBD1"/>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BDBD1"/>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BDBD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020" w:type="dxa"/>
            <w:vAlign w:val="bottom"/>
            <w:shd w:val="clear" w:color="auto" w:fill="CBDBD1"/>
          </w:tcPr>
          <w:p>
            <w:pPr>
              <w:spacing w:after="0"/>
              <w:rPr>
                <w:sz w:val="20"/>
                <w:szCs w:val="20"/>
                <w:color w:val="auto"/>
              </w:rPr>
            </w:pPr>
            <w:r>
              <w:rPr>
                <w:rFonts w:ascii="Arial" w:cs="Arial" w:eastAsia="Arial" w:hAnsi="Arial"/>
                <w:sz w:val="17"/>
                <w:szCs w:val="17"/>
                <w:color w:val="auto"/>
              </w:rPr>
              <w:t>Balance, June, 2009</w:t>
            </w:r>
          </w:p>
        </w:tc>
        <w:tc>
          <w:tcPr>
            <w:tcW w:w="96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12,688,866</w:t>
            </w:r>
          </w:p>
        </w:tc>
        <w:tc>
          <w:tcPr>
            <w:tcW w:w="140" w:type="dxa"/>
            <w:vAlign w:val="bottom"/>
            <w:shd w:val="clear" w:color="auto" w:fill="CBDBD1"/>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BDBD1"/>
          </w:tcPr>
          <w:p>
            <w:pPr>
              <w:jc w:val="right"/>
              <w:spacing w:after="0"/>
              <w:rPr>
                <w:sz w:val="20"/>
                <w:szCs w:val="20"/>
                <w:color w:val="auto"/>
              </w:rPr>
            </w:pPr>
            <w:r>
              <w:rPr>
                <w:rFonts w:ascii="Arial" w:cs="Arial" w:eastAsia="Arial" w:hAnsi="Arial"/>
                <w:sz w:val="17"/>
                <w:szCs w:val="17"/>
                <w:color w:val="auto"/>
                <w:w w:val="96"/>
              </w:rPr>
              <w:t>12,689</w:t>
            </w:r>
          </w:p>
        </w:tc>
        <w:tc>
          <w:tcPr>
            <w:tcW w:w="80" w:type="dxa"/>
            <w:vAlign w:val="bottom"/>
            <w:shd w:val="clear" w:color="auto" w:fill="CBDBD1"/>
          </w:tcPr>
          <w:p>
            <w:pPr>
              <w:spacing w:after="0"/>
              <w:rPr>
                <w:sz w:val="19"/>
                <w:szCs w:val="19"/>
                <w:color w:val="auto"/>
              </w:rPr>
            </w:pPr>
          </w:p>
        </w:tc>
        <w:tc>
          <w:tcPr>
            <w:tcW w:w="660" w:type="dxa"/>
            <w:vAlign w:val="bottom"/>
            <w:shd w:val="clear" w:color="auto" w:fill="CBDBD1"/>
          </w:tcPr>
          <w:p>
            <w:pPr>
              <w:jc w:val="right"/>
              <w:spacing w:after="0"/>
              <w:rPr>
                <w:sz w:val="20"/>
                <w:szCs w:val="20"/>
                <w:color w:val="auto"/>
              </w:rPr>
            </w:pPr>
            <w:r>
              <w:rPr>
                <w:rFonts w:ascii="Arial" w:cs="Arial" w:eastAsia="Arial" w:hAnsi="Arial"/>
                <w:sz w:val="17"/>
                <w:szCs w:val="17"/>
                <w:color w:val="auto"/>
              </w:rPr>
              <w:t>35</w:t>
            </w:r>
          </w:p>
        </w:tc>
        <w:tc>
          <w:tcPr>
            <w:tcW w:w="80" w:type="dxa"/>
            <w:vAlign w:val="bottom"/>
            <w:shd w:val="clear" w:color="auto" w:fill="CBDBD1"/>
          </w:tcPr>
          <w:p>
            <w:pPr>
              <w:spacing w:after="0"/>
              <w:rPr>
                <w:sz w:val="19"/>
                <w:szCs w:val="19"/>
                <w:color w:val="auto"/>
              </w:rPr>
            </w:pPr>
          </w:p>
        </w:tc>
        <w:tc>
          <w:tcPr>
            <w:tcW w:w="560" w:type="dxa"/>
            <w:vAlign w:val="bottom"/>
            <w:shd w:val="clear" w:color="auto" w:fill="CBDBD1"/>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BDBD1"/>
          </w:tcPr>
          <w:p>
            <w:pPr>
              <w:jc w:val="right"/>
              <w:spacing w:after="0"/>
              <w:rPr>
                <w:sz w:val="20"/>
                <w:szCs w:val="20"/>
                <w:color w:val="auto"/>
              </w:rPr>
            </w:pPr>
            <w:r>
              <w:rPr>
                <w:rFonts w:ascii="Arial" w:cs="Arial" w:eastAsia="Arial" w:hAnsi="Arial"/>
                <w:sz w:val="17"/>
                <w:szCs w:val="17"/>
                <w:color w:val="auto"/>
                <w:w w:val="84"/>
              </w:rPr>
              <w:t>0</w:t>
            </w:r>
          </w:p>
        </w:tc>
        <w:tc>
          <w:tcPr>
            <w:tcW w:w="100" w:type="dxa"/>
            <w:vAlign w:val="bottom"/>
            <w:shd w:val="clear" w:color="auto" w:fill="CBDBD1"/>
          </w:tcPr>
          <w:p>
            <w:pPr>
              <w:spacing w:after="0"/>
              <w:rPr>
                <w:sz w:val="19"/>
                <w:szCs w:val="19"/>
                <w:color w:val="auto"/>
              </w:rPr>
            </w:pPr>
          </w:p>
        </w:tc>
        <w:tc>
          <w:tcPr>
            <w:tcW w:w="880" w:type="dxa"/>
            <w:vAlign w:val="bottom"/>
            <w:shd w:val="clear" w:color="auto" w:fill="CBDBD1"/>
          </w:tcPr>
          <w:p>
            <w:pPr>
              <w:jc w:val="right"/>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 xml:space="preserve"> 16,199,995</w:t>
            </w:r>
          </w:p>
        </w:tc>
        <w:tc>
          <w:tcPr>
            <w:tcW w:w="80" w:type="dxa"/>
            <w:vAlign w:val="bottom"/>
            <w:shd w:val="clear" w:color="auto" w:fill="CBDBD1"/>
          </w:tcPr>
          <w:p>
            <w:pPr>
              <w:spacing w:after="0"/>
              <w:rPr>
                <w:sz w:val="19"/>
                <w:szCs w:val="19"/>
                <w:color w:val="auto"/>
              </w:rPr>
            </w:pPr>
          </w:p>
        </w:tc>
        <w:tc>
          <w:tcPr>
            <w:tcW w:w="100" w:type="dxa"/>
            <w:vAlign w:val="bottom"/>
            <w:shd w:val="clear" w:color="auto" w:fill="CBDBD1"/>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BDBD1"/>
          </w:tcPr>
          <w:p>
            <w:pPr>
              <w:jc w:val="right"/>
              <w:spacing w:after="0"/>
              <w:rPr>
                <w:sz w:val="20"/>
                <w:szCs w:val="20"/>
                <w:color w:val="auto"/>
              </w:rPr>
            </w:pPr>
            <w:r>
              <w:rPr>
                <w:rFonts w:ascii="Arial" w:cs="Arial" w:eastAsia="Arial" w:hAnsi="Arial"/>
                <w:sz w:val="17"/>
                <w:szCs w:val="17"/>
                <w:color w:val="auto"/>
                <w:w w:val="92"/>
              </w:rPr>
              <w:t>1,400,859</w:t>
            </w:r>
          </w:p>
        </w:tc>
        <w:tc>
          <w:tcPr>
            <w:tcW w:w="80" w:type="dxa"/>
            <w:vAlign w:val="bottom"/>
            <w:shd w:val="clear" w:color="auto" w:fill="CBDBD1"/>
          </w:tcPr>
          <w:p>
            <w:pPr>
              <w:spacing w:after="0"/>
              <w:rPr>
                <w:sz w:val="19"/>
                <w:szCs w:val="19"/>
                <w:color w:val="auto"/>
              </w:rPr>
            </w:pPr>
          </w:p>
        </w:tc>
        <w:tc>
          <w:tcPr>
            <w:tcW w:w="110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 xml:space="preserve"> (16,194,907)</w:t>
            </w: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1,418,636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BDBD1"/>
            </w:tcBorders>
            <w:shd w:val="clear" w:color="auto" w:fill="CBDBD1"/>
          </w:tcPr>
          <w:p>
            <w:pPr>
              <w:spacing w:after="0" w:line="20" w:lineRule="exact"/>
              <w:rPr>
                <w:sz w:val="1"/>
                <w:szCs w:val="1"/>
                <w:color w:val="auto"/>
              </w:rPr>
            </w:pPr>
          </w:p>
        </w:tc>
        <w:tc>
          <w:tcPr>
            <w:tcW w:w="96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BDBD1"/>
            </w:tcBorders>
            <w:shd w:val="clear" w:color="auto" w:fill="CBDBD1"/>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1139"/>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4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FOR THE SIX MONTHS ENDED JUNE 30, 2009 AND 2008</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17"/>
          <w:szCs w:val="17"/>
          <w:b w:val="1"/>
          <w:bCs w:val="1"/>
          <w:color w:val="auto"/>
        </w:rPr>
        <w:t>AND THE PERIOD FROM JANUARY 31, 2006 (INCEPTION) TO JUNE 30, 2009</w:t>
      </w: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08"/>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Period from</w:t>
            </w: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Six months</w:t>
            </w:r>
          </w:p>
        </w:tc>
        <w:tc>
          <w:tcPr>
            <w:tcW w:w="100" w:type="dxa"/>
            <w:vAlign w:val="bottom"/>
          </w:tcPr>
          <w:p>
            <w:pPr>
              <w:spacing w:after="0"/>
              <w:rPr>
                <w:sz w:val="18"/>
                <w:szCs w:val="18"/>
                <w:color w:val="auto"/>
              </w:rPr>
            </w:pPr>
          </w:p>
        </w:tc>
        <w:tc>
          <w:tcPr>
            <w:tcW w:w="1040" w:type="dxa"/>
            <w:vAlign w:val="bottom"/>
          </w:tcPr>
          <w:p>
            <w:pPr>
              <w:jc w:val="center"/>
              <w:ind w:right="13"/>
              <w:spacing w:after="0"/>
              <w:rPr>
                <w:sz w:val="20"/>
                <w:szCs w:val="20"/>
                <w:color w:val="auto"/>
              </w:rPr>
            </w:pPr>
            <w:r>
              <w:rPr>
                <w:rFonts w:ascii="Arial" w:cs="Arial" w:eastAsia="Arial" w:hAnsi="Arial"/>
                <w:sz w:val="17"/>
                <w:szCs w:val="17"/>
                <w:b w:val="1"/>
                <w:bCs w:val="1"/>
                <w:color w:val="auto"/>
                <w:w w:val="89"/>
              </w:rPr>
              <w:t>Six months</w:t>
            </w:r>
          </w:p>
        </w:tc>
        <w:tc>
          <w:tcPr>
            <w:tcW w:w="1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7"/>
                <w:szCs w:val="17"/>
                <w:b w:val="1"/>
                <w:bCs w:val="1"/>
                <w:color w:val="auto"/>
                <w:w w:val="93"/>
              </w:rPr>
              <w:t>January 1, 2006</w:t>
            </w: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ended</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7"/>
              </w:rPr>
              <w:t>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(Inception) to</w:t>
            </w: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June 30, 2009</w:t>
            </w:r>
          </w:p>
        </w:tc>
        <w:tc>
          <w:tcPr>
            <w:tcW w:w="11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June 30, 2008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June 30, 2009</w:t>
            </w: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5"/>
              </w:rPr>
              <w:t>(Unaudited)</w:t>
            </w:r>
          </w:p>
        </w:tc>
        <w:tc>
          <w:tcPr>
            <w:tcW w:w="100" w:type="dxa"/>
            <w:vAlign w:val="bottom"/>
          </w:tcPr>
          <w:p>
            <w:pPr>
              <w:spacing w:after="0"/>
              <w:rPr>
                <w:sz w:val="20"/>
                <w:szCs w:val="20"/>
                <w:color w:val="auto"/>
              </w:rPr>
            </w:pPr>
          </w:p>
        </w:tc>
        <w:tc>
          <w:tcPr>
            <w:tcW w:w="1040" w:type="dxa"/>
            <w:vAlign w:val="bottom"/>
          </w:tcPr>
          <w:p>
            <w:pPr>
              <w:jc w:val="center"/>
              <w:ind w:right="13"/>
              <w:spacing w:after="0"/>
              <w:rPr>
                <w:sz w:val="20"/>
                <w:szCs w:val="20"/>
                <w:color w:val="auto"/>
              </w:rPr>
            </w:pPr>
            <w:r>
              <w:rPr>
                <w:rFonts w:ascii="Arial" w:cs="Arial" w:eastAsia="Arial" w:hAnsi="Arial"/>
                <w:sz w:val="17"/>
                <w:szCs w:val="17"/>
                <w:b w:val="1"/>
                <w:bCs w:val="1"/>
                <w:color w:val="auto"/>
                <w:w w:val="95"/>
              </w:rPr>
              <w:t>(Unaudited)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5"/>
              </w:rPr>
              <w:t>(Unaudited)</w:t>
            </w: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ind w:left="3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(1,702,868)</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(750,820)</w:t>
            </w:r>
          </w:p>
        </w:tc>
        <w:tc>
          <w:tcPr>
            <w:tcW w:w="200" w:type="dxa"/>
            <w:vAlign w:val="bottom"/>
            <w:tcBorders>
              <w:left w:val="single" w:sz="8" w:color="CBDBD1"/>
            </w:tcBorders>
            <w:gridSpan w:val="2"/>
            <w:shd w:val="clear" w:color="auto" w:fill="CBDBD1"/>
          </w:tcPr>
          <w:p>
            <w:pPr>
              <w:ind w:left="12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(6,497,498)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60" w:type="dxa"/>
            <w:vAlign w:val="bottom"/>
          </w:tcPr>
          <w:p>
            <w:pPr>
              <w:spacing w:after="0" w:line="189" w:lineRule="exact"/>
              <w:rPr>
                <w:sz w:val="20"/>
                <w:szCs w:val="20"/>
                <w:color w:val="auto"/>
              </w:rPr>
            </w:pPr>
            <w:r>
              <w:rPr>
                <w:rFonts w:ascii="Arial" w:cs="Arial" w:eastAsia="Arial" w:hAnsi="Arial"/>
                <w:sz w:val="17"/>
                <w:szCs w:val="17"/>
                <w:b w:val="1"/>
                <w:bCs w:val="1"/>
                <w:color w:val="auto"/>
                <w:w w:val="90"/>
              </w:rPr>
              <w:t>Adjustments to reconcile net income to net cash provided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260" w:type="dxa"/>
            <w:vAlign w:val="bottom"/>
          </w:tcPr>
          <w:p>
            <w:pPr>
              <w:spacing w:after="0"/>
              <w:rPr>
                <w:sz w:val="20"/>
                <w:szCs w:val="20"/>
                <w:color w:val="auto"/>
              </w:rPr>
            </w:pPr>
            <w:r>
              <w:rPr>
                <w:rFonts w:ascii="Arial" w:cs="Arial" w:eastAsia="Arial" w:hAnsi="Arial"/>
                <w:sz w:val="17"/>
                <w:szCs w:val="17"/>
                <w:b w:val="1"/>
                <w:bCs w:val="1"/>
                <w:color w:val="auto"/>
              </w:rPr>
              <w:t>by operating activities: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ind w:left="32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BDBD1"/>
          </w:tcPr>
          <w:p>
            <w:pPr>
              <w:spacing w:after="0"/>
              <w:rPr>
                <w:sz w:val="18"/>
                <w:szCs w:val="18"/>
                <w:color w:val="auto"/>
              </w:rPr>
            </w:pPr>
          </w:p>
        </w:tc>
        <w:tc>
          <w:tcPr>
            <w:tcW w:w="1160" w:type="dxa"/>
            <w:vAlign w:val="bottom"/>
            <w:gridSpan w:val="2"/>
            <w:shd w:val="clear" w:color="auto" w:fill="CBDBD1"/>
          </w:tcPr>
          <w:p>
            <w:pPr>
              <w:jc w:val="right"/>
              <w:ind w:right="120"/>
              <w:spacing w:after="0"/>
              <w:rPr>
                <w:sz w:val="20"/>
                <w:szCs w:val="20"/>
                <w:color w:val="auto"/>
              </w:rPr>
            </w:pPr>
            <w:r>
              <w:rPr>
                <w:rFonts w:ascii="Arial" w:cs="Arial" w:eastAsia="Arial" w:hAnsi="Arial"/>
                <w:sz w:val="17"/>
                <w:szCs w:val="17"/>
                <w:color w:val="auto"/>
              </w:rPr>
              <w:t>16,258</w:t>
            </w: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18,529</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51,271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320"/>
              <w:spacing w:after="0"/>
              <w:rPr>
                <w:sz w:val="20"/>
                <w:szCs w:val="20"/>
                <w:color w:val="auto"/>
              </w:rPr>
            </w:pPr>
            <w:r>
              <w:rPr>
                <w:rFonts w:ascii="Arial" w:cs="Arial" w:eastAsia="Arial" w:hAnsi="Arial"/>
                <w:sz w:val="17"/>
                <w:szCs w:val="17"/>
                <w:color w:val="auto"/>
              </w:rPr>
              <w:t>Stock issued for services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696,000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ind w:left="320"/>
              <w:spacing w:after="0"/>
              <w:rPr>
                <w:sz w:val="20"/>
                <w:szCs w:val="20"/>
                <w:color w:val="auto"/>
              </w:rPr>
            </w:pPr>
            <w:r>
              <w:rPr>
                <w:rFonts w:ascii="Arial" w:cs="Arial" w:eastAsia="Arial" w:hAnsi="Arial"/>
                <w:sz w:val="17"/>
                <w:szCs w:val="17"/>
                <w:color w:val="auto"/>
              </w:rPr>
              <w:t>Compensation expense for stock options</w:t>
            </w:r>
          </w:p>
        </w:tc>
        <w:tc>
          <w:tcPr>
            <w:tcW w:w="120" w:type="dxa"/>
            <w:vAlign w:val="bottom"/>
            <w:shd w:val="clear" w:color="auto" w:fill="CBDBD1"/>
          </w:tcPr>
          <w:p>
            <w:pPr>
              <w:spacing w:after="0"/>
              <w:rPr>
                <w:sz w:val="18"/>
                <w:szCs w:val="18"/>
                <w:color w:val="auto"/>
              </w:rPr>
            </w:pPr>
          </w:p>
        </w:tc>
        <w:tc>
          <w:tcPr>
            <w:tcW w:w="1160" w:type="dxa"/>
            <w:vAlign w:val="bottom"/>
            <w:gridSpan w:val="2"/>
            <w:shd w:val="clear" w:color="auto" w:fill="CBDBD1"/>
          </w:tcPr>
          <w:p>
            <w:pPr>
              <w:jc w:val="right"/>
              <w:ind w:right="12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333,004</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333,004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320"/>
              <w:spacing w:after="0"/>
              <w:rPr>
                <w:sz w:val="20"/>
                <w:szCs w:val="20"/>
                <w:color w:val="auto"/>
              </w:rPr>
            </w:pPr>
            <w:r>
              <w:rPr>
                <w:rFonts w:ascii="Arial" w:cs="Arial" w:eastAsia="Arial" w:hAnsi="Arial"/>
                <w:sz w:val="17"/>
                <w:szCs w:val="17"/>
                <w:color w:val="auto"/>
              </w:rPr>
              <w:t>Stock warrants issued for services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2,745,280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Changes in assets and liabilities:</w:t>
            </w:r>
          </w:p>
        </w:tc>
        <w:tc>
          <w:tcPr>
            <w:tcW w:w="12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320"/>
              <w:spacing w:after="0"/>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(1,728)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ind w:left="320"/>
              <w:spacing w:after="0"/>
              <w:rPr>
                <w:sz w:val="20"/>
                <w:szCs w:val="20"/>
                <w:color w:val="auto"/>
              </w:rPr>
            </w:pPr>
            <w:r>
              <w:rPr>
                <w:rFonts w:ascii="Arial" w:cs="Arial" w:eastAsia="Arial" w:hAnsi="Arial"/>
                <w:sz w:val="17"/>
                <w:szCs w:val="17"/>
                <w:color w:val="auto"/>
              </w:rPr>
              <w:t>Prepaid expenses</w:t>
            </w:r>
          </w:p>
        </w:tc>
        <w:tc>
          <w:tcPr>
            <w:tcW w:w="120" w:type="dxa"/>
            <w:vAlign w:val="bottom"/>
            <w:shd w:val="clear" w:color="auto" w:fill="CBDBD1"/>
          </w:tcPr>
          <w:p>
            <w:pPr>
              <w:spacing w:after="0"/>
              <w:rPr>
                <w:sz w:val="18"/>
                <w:szCs w:val="18"/>
                <w:color w:val="auto"/>
              </w:rPr>
            </w:pPr>
          </w:p>
        </w:tc>
        <w:tc>
          <w:tcPr>
            <w:tcW w:w="1160" w:type="dxa"/>
            <w:vAlign w:val="bottom"/>
            <w:gridSpan w:val="2"/>
            <w:shd w:val="clear" w:color="auto" w:fill="CBDBD1"/>
          </w:tcPr>
          <w:p>
            <w:pPr>
              <w:jc w:val="right"/>
              <w:ind w:right="120"/>
              <w:spacing w:after="0"/>
              <w:rPr>
                <w:sz w:val="20"/>
                <w:szCs w:val="20"/>
                <w:color w:val="auto"/>
              </w:rPr>
            </w:pPr>
            <w:r>
              <w:rPr>
                <w:rFonts w:ascii="Arial" w:cs="Arial" w:eastAsia="Arial" w:hAnsi="Arial"/>
                <w:sz w:val="17"/>
                <w:szCs w:val="17"/>
                <w:color w:val="auto"/>
              </w:rPr>
              <w:t>(4,101)</w:t>
            </w: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2,000</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(7,393)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320"/>
              <w:spacing w:after="0"/>
              <w:rPr>
                <w:sz w:val="20"/>
                <w:szCs w:val="20"/>
                <w:color w:val="auto"/>
              </w:rPr>
            </w:pPr>
            <w:r>
              <w:rPr>
                <w:rFonts w:ascii="Arial" w:cs="Arial" w:eastAsia="Arial" w:hAnsi="Arial"/>
                <w:sz w:val="17"/>
                <w:szCs w:val="17"/>
                <w:color w:val="auto"/>
              </w:rPr>
              <w:t>Loan receivable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ind w:left="32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BDBD1"/>
          </w:tcPr>
          <w:p>
            <w:pPr>
              <w:spacing w:after="0"/>
              <w:rPr>
                <w:sz w:val="18"/>
                <w:szCs w:val="18"/>
                <w:color w:val="auto"/>
              </w:rPr>
            </w:pPr>
          </w:p>
        </w:tc>
        <w:tc>
          <w:tcPr>
            <w:tcW w:w="1160" w:type="dxa"/>
            <w:vAlign w:val="bottom"/>
            <w:gridSpan w:val="2"/>
            <w:shd w:val="clear" w:color="auto" w:fill="CBDBD1"/>
          </w:tcPr>
          <w:p>
            <w:pPr>
              <w:jc w:val="right"/>
              <w:ind w:right="120"/>
              <w:spacing w:after="0"/>
              <w:rPr>
                <w:sz w:val="20"/>
                <w:szCs w:val="20"/>
                <w:color w:val="auto"/>
              </w:rPr>
            </w:pPr>
            <w:r>
              <w:rPr>
                <w:rFonts w:ascii="Arial" w:cs="Arial" w:eastAsia="Arial" w:hAnsi="Arial"/>
                <w:sz w:val="17"/>
                <w:szCs w:val="17"/>
                <w:color w:val="auto"/>
              </w:rPr>
              <w:t>(145,026)</w:t>
            </w: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21,812</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27,743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320"/>
              <w:spacing w:after="0"/>
              <w:rPr>
                <w:sz w:val="20"/>
                <w:szCs w:val="20"/>
                <w:color w:val="auto"/>
              </w:rPr>
            </w:pPr>
            <w:r>
              <w:rPr>
                <w:rFonts w:ascii="Arial" w:cs="Arial" w:eastAsia="Arial" w:hAnsi="Arial"/>
                <w:sz w:val="17"/>
                <w:szCs w:val="17"/>
                <w:color w:val="auto"/>
              </w:rPr>
              <w:t>Payroll taxes payable</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(24,091)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ind w:left="320"/>
              <w:spacing w:after="0"/>
              <w:rPr>
                <w:sz w:val="20"/>
                <w:szCs w:val="20"/>
                <w:color w:val="auto"/>
              </w:rPr>
            </w:pPr>
            <w:r>
              <w:rPr>
                <w:rFonts w:ascii="Arial" w:cs="Arial" w:eastAsia="Arial" w:hAnsi="Arial"/>
                <w:sz w:val="17"/>
                <w:szCs w:val="17"/>
                <w:color w:val="auto"/>
              </w:rPr>
              <w:t>Accrued expenses</w:t>
            </w:r>
          </w:p>
        </w:tc>
        <w:tc>
          <w:tcPr>
            <w:tcW w:w="12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3,660</w:t>
            </w: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(11,353)</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20,601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260" w:type="dxa"/>
            <w:vAlign w:val="bottom"/>
            <w:shd w:val="clear" w:color="auto" w:fill="CBDBD1"/>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BDBD1"/>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left w:val="single" w:sz="8" w:color="CBDBD1"/>
            </w:tcBorders>
            <w:shd w:val="clear" w:color="auto" w:fill="CBDBD1"/>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260" w:type="dxa"/>
            <w:vAlign w:val="bottom"/>
          </w:tcPr>
          <w:p>
            <w:pPr>
              <w:spacing w:after="0"/>
              <w:rPr>
                <w:sz w:val="20"/>
                <w:szCs w:val="20"/>
                <w:color w:val="auto"/>
              </w:rPr>
            </w:pPr>
            <w:r>
              <w:rPr>
                <w:rFonts w:ascii="Arial" w:cs="Arial" w:eastAsia="Arial" w:hAnsi="Arial"/>
                <w:sz w:val="17"/>
                <w:szCs w:val="17"/>
                <w:b w:val="1"/>
                <w:bCs w:val="1"/>
                <w:color w:val="auto"/>
              </w:rPr>
              <w:t>NET CASH (USED BY) OPERATING ACTIVITIES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(1,160,550)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(386,828)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(2,562,720)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spacing w:after="0"/>
              <w:rPr>
                <w:sz w:val="18"/>
                <w:szCs w:val="18"/>
                <w:color w:val="auto"/>
              </w:rPr>
            </w:pPr>
          </w:p>
        </w:tc>
        <w:tc>
          <w:tcPr>
            <w:tcW w:w="120" w:type="dxa"/>
            <w:vAlign w:val="bottom"/>
            <w:tcBorders>
              <w:top w:val="single" w:sz="8" w:color="auto"/>
            </w:tcBorders>
            <w:shd w:val="clear" w:color="auto" w:fill="CBDBD1"/>
          </w:tcPr>
          <w:p>
            <w:pPr>
              <w:spacing w:after="0"/>
              <w:rPr>
                <w:sz w:val="18"/>
                <w:szCs w:val="18"/>
                <w:color w:val="auto"/>
              </w:rPr>
            </w:pPr>
          </w:p>
        </w:tc>
        <w:tc>
          <w:tcPr>
            <w:tcW w:w="1040" w:type="dxa"/>
            <w:vAlign w:val="bottom"/>
            <w:tcBorders>
              <w:top w:val="single" w:sz="8" w:color="auto"/>
            </w:tcBorders>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tcBorders>
              <w:top w:val="single" w:sz="8" w:color="auto"/>
            </w:tcBorders>
            <w:shd w:val="clear" w:color="auto" w:fill="CBDBD1"/>
          </w:tcPr>
          <w:p>
            <w:pPr>
              <w:spacing w:after="0"/>
              <w:rPr>
                <w:sz w:val="18"/>
                <w:szCs w:val="18"/>
                <w:color w:val="auto"/>
              </w:rPr>
            </w:pPr>
          </w:p>
        </w:tc>
        <w:tc>
          <w:tcPr>
            <w:tcW w:w="1040" w:type="dxa"/>
            <w:vAlign w:val="bottom"/>
            <w:tcBorders>
              <w:top w:val="single" w:sz="8" w:color="auto"/>
            </w:tcBorders>
            <w:shd w:val="clear" w:color="auto" w:fill="CBDBD1"/>
          </w:tcPr>
          <w:p>
            <w:pPr>
              <w:spacing w:after="0"/>
              <w:rPr>
                <w:sz w:val="18"/>
                <w:szCs w:val="18"/>
                <w:color w:val="auto"/>
              </w:rPr>
            </w:pP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tcBorders>
              <w:top w:val="single" w:sz="8" w:color="auto"/>
            </w:tcBorders>
            <w:shd w:val="clear" w:color="auto" w:fill="CBDBD1"/>
          </w:tcPr>
          <w:p>
            <w:pPr>
              <w:spacing w:after="0"/>
              <w:rPr>
                <w:sz w:val="18"/>
                <w:szCs w:val="18"/>
                <w:color w:val="auto"/>
              </w:rPr>
            </w:pPr>
          </w:p>
        </w:tc>
        <w:tc>
          <w:tcPr>
            <w:tcW w:w="1100" w:type="dxa"/>
            <w:vAlign w:val="bottom"/>
            <w:tcBorders>
              <w:top w:val="single" w:sz="8" w:color="auto"/>
            </w:tcBorders>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ind w:left="320"/>
              <w:spacing w:after="0"/>
              <w:rPr>
                <w:sz w:val="20"/>
                <w:szCs w:val="20"/>
                <w:color w:val="auto"/>
              </w:rPr>
            </w:pPr>
            <w:r>
              <w:rPr>
                <w:rFonts w:ascii="Arial" w:cs="Arial" w:eastAsia="Arial" w:hAnsi="Arial"/>
                <w:sz w:val="17"/>
                <w:szCs w:val="17"/>
                <w:color w:val="auto"/>
              </w:rPr>
              <w:t>Purchases of property and equipment</w:t>
            </w:r>
          </w:p>
        </w:tc>
        <w:tc>
          <w:tcPr>
            <w:tcW w:w="120" w:type="dxa"/>
            <w:vAlign w:val="bottom"/>
            <w:shd w:val="clear" w:color="auto" w:fill="CBDBD1"/>
          </w:tcPr>
          <w:p>
            <w:pPr>
              <w:spacing w:after="0"/>
              <w:rPr>
                <w:sz w:val="18"/>
                <w:szCs w:val="18"/>
                <w:color w:val="auto"/>
              </w:rPr>
            </w:pPr>
          </w:p>
        </w:tc>
        <w:tc>
          <w:tcPr>
            <w:tcW w:w="1160" w:type="dxa"/>
            <w:vAlign w:val="bottom"/>
            <w:gridSpan w:val="2"/>
            <w:shd w:val="clear" w:color="auto" w:fill="CBDBD1"/>
          </w:tcPr>
          <w:p>
            <w:pPr>
              <w:jc w:val="right"/>
              <w:ind w:right="12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(2,293)</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(16,888)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320"/>
              <w:spacing w:after="0"/>
              <w:rPr>
                <w:sz w:val="20"/>
                <w:szCs w:val="20"/>
                <w:color w:val="auto"/>
              </w:rPr>
            </w:pPr>
            <w:r>
              <w:rPr>
                <w:rFonts w:ascii="Arial" w:cs="Arial" w:eastAsia="Arial" w:hAnsi="Arial"/>
                <w:sz w:val="17"/>
                <w:szCs w:val="17"/>
                <w:color w:val="auto"/>
              </w:rPr>
              <w:t>Website site development costs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(26,875)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(154,133)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NET CASH (USED BY) INVESTING ACTIVITIES</w:t>
            </w:r>
          </w:p>
        </w:tc>
        <w:tc>
          <w:tcPr>
            <w:tcW w:w="120" w:type="dxa"/>
            <w:vAlign w:val="bottom"/>
            <w:shd w:val="clear" w:color="auto" w:fill="CBDBD1"/>
          </w:tcPr>
          <w:p>
            <w:pPr>
              <w:spacing w:after="0"/>
              <w:rPr>
                <w:sz w:val="18"/>
                <w:szCs w:val="18"/>
                <w:color w:val="auto"/>
              </w:rPr>
            </w:pPr>
          </w:p>
        </w:tc>
        <w:tc>
          <w:tcPr>
            <w:tcW w:w="1160" w:type="dxa"/>
            <w:vAlign w:val="bottom"/>
            <w:gridSpan w:val="2"/>
            <w:shd w:val="clear" w:color="auto" w:fill="CBDBD1"/>
          </w:tcPr>
          <w:p>
            <w:pPr>
              <w:jc w:val="right"/>
              <w:ind w:right="12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(29,168)</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(171,021)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120" w:type="dxa"/>
            <w:vAlign w:val="bottom"/>
            <w:shd w:val="clear" w:color="auto" w:fill="CBDBD1"/>
          </w:tcPr>
          <w:p>
            <w:pPr>
              <w:spacing w:after="0"/>
              <w:rPr>
                <w:sz w:val="18"/>
                <w:szCs w:val="18"/>
                <w:color w:val="auto"/>
              </w:rPr>
            </w:pP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spacing w:after="0"/>
              <w:rPr>
                <w:sz w:val="18"/>
                <w:szCs w:val="18"/>
                <w:color w:val="auto"/>
              </w:rPr>
            </w:pP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00" w:type="dxa"/>
            <w:vAlign w:val="bottom"/>
            <w:shd w:val="clear" w:color="auto" w:fill="CBDBD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320"/>
              <w:spacing w:after="0"/>
              <w:rPr>
                <w:sz w:val="20"/>
                <w:szCs w:val="20"/>
                <w:color w:val="auto"/>
              </w:rPr>
            </w:pPr>
            <w:r>
              <w:rPr>
                <w:rFonts w:ascii="Arial" w:cs="Arial" w:eastAsia="Arial" w:hAnsi="Arial"/>
                <w:sz w:val="17"/>
                <w:szCs w:val="17"/>
                <w:color w:val="auto"/>
              </w:rPr>
              <w:t>Members capital contributions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404,600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ind w:left="320"/>
              <w:spacing w:after="0"/>
              <w:rPr>
                <w:sz w:val="20"/>
                <w:szCs w:val="20"/>
                <w:color w:val="auto"/>
              </w:rPr>
            </w:pPr>
            <w:r>
              <w:rPr>
                <w:rFonts w:ascii="Arial" w:cs="Arial" w:eastAsia="Arial" w:hAnsi="Arial"/>
                <w:sz w:val="17"/>
                <w:szCs w:val="17"/>
                <w:color w:val="auto"/>
              </w:rPr>
              <w:t>Issuance of common stock</w:t>
            </w:r>
          </w:p>
        </w:tc>
        <w:tc>
          <w:tcPr>
            <w:tcW w:w="120" w:type="dxa"/>
            <w:vAlign w:val="bottom"/>
            <w:shd w:val="clear" w:color="auto" w:fill="CBDBD1"/>
          </w:tcPr>
          <w:p>
            <w:pPr>
              <w:spacing w:after="0"/>
              <w:rPr>
                <w:sz w:val="18"/>
                <w:szCs w:val="18"/>
                <w:color w:val="auto"/>
              </w:rPr>
            </w:pPr>
          </w:p>
        </w:tc>
        <w:tc>
          <w:tcPr>
            <w:tcW w:w="1160" w:type="dxa"/>
            <w:vAlign w:val="bottom"/>
            <w:gridSpan w:val="2"/>
            <w:shd w:val="clear" w:color="auto" w:fill="CBDBD1"/>
          </w:tcPr>
          <w:p>
            <w:pPr>
              <w:jc w:val="right"/>
              <w:ind w:right="12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430,000</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936,000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320"/>
              <w:spacing w:after="0"/>
              <w:rPr>
                <w:sz w:val="20"/>
                <w:szCs w:val="20"/>
                <w:color w:val="auto"/>
              </w:rPr>
            </w:pPr>
            <w:r>
              <w:rPr>
                <w:rFonts w:ascii="Arial" w:cs="Arial" w:eastAsia="Arial" w:hAnsi="Arial"/>
                <w:sz w:val="17"/>
                <w:szCs w:val="17"/>
                <w:color w:val="auto"/>
              </w:rPr>
              <w:t>Issuance of preferred stock</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BDBD1"/>
          </w:tcPr>
          <w:p>
            <w:pPr>
              <w:ind w:left="320"/>
              <w:spacing w:after="0"/>
              <w:rPr>
                <w:sz w:val="20"/>
                <w:szCs w:val="20"/>
                <w:color w:val="auto"/>
              </w:rPr>
            </w:pPr>
            <w:r>
              <w:rPr>
                <w:rFonts w:ascii="Arial" w:cs="Arial" w:eastAsia="Arial" w:hAnsi="Arial"/>
                <w:sz w:val="17"/>
                <w:szCs w:val="17"/>
                <w:color w:val="auto"/>
              </w:rPr>
              <w:t>Payments on loan payable</w:t>
            </w:r>
          </w:p>
        </w:tc>
        <w:tc>
          <w:tcPr>
            <w:tcW w:w="120" w:type="dxa"/>
            <w:vAlign w:val="bottom"/>
            <w:shd w:val="clear" w:color="auto" w:fill="CBDBD1"/>
          </w:tcPr>
          <w:p>
            <w:pPr>
              <w:spacing w:after="0"/>
              <w:rPr>
                <w:sz w:val="18"/>
                <w:szCs w:val="18"/>
                <w:color w:val="auto"/>
              </w:rPr>
            </w:pPr>
          </w:p>
        </w:tc>
        <w:tc>
          <w:tcPr>
            <w:tcW w:w="1160" w:type="dxa"/>
            <w:vAlign w:val="bottom"/>
            <w:gridSpan w:val="2"/>
            <w:shd w:val="clear" w:color="auto" w:fill="CBDBD1"/>
          </w:tcPr>
          <w:p>
            <w:pPr>
              <w:jc w:val="right"/>
              <w:ind w:right="120"/>
              <w:spacing w:after="0"/>
              <w:rPr>
                <w:sz w:val="20"/>
                <w:szCs w:val="20"/>
                <w:color w:val="auto"/>
              </w:rPr>
            </w:pPr>
            <w:r>
              <w:rPr>
                <w:rFonts w:ascii="Arial" w:cs="Arial" w:eastAsia="Arial" w:hAnsi="Arial"/>
                <w:sz w:val="17"/>
                <w:szCs w:val="17"/>
                <w:color w:val="auto"/>
              </w:rPr>
              <w:t>(4,000)</w:t>
            </w:r>
          </w:p>
        </w:tc>
        <w:tc>
          <w:tcPr>
            <w:tcW w:w="100" w:type="dxa"/>
            <w:vAlign w:val="bottom"/>
            <w:shd w:val="clear" w:color="auto" w:fill="CBDBD1"/>
          </w:tcPr>
          <w:p>
            <w:pPr>
              <w:spacing w:after="0"/>
              <w:rPr>
                <w:sz w:val="18"/>
                <w:szCs w:val="18"/>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(277,750)</w:t>
            </w:r>
          </w:p>
        </w:tc>
        <w:tc>
          <w:tcPr>
            <w:tcW w:w="120" w:type="dxa"/>
            <w:vAlign w:val="bottom"/>
            <w:tcBorders>
              <w:left w:val="single" w:sz="8" w:color="CBDBD1"/>
            </w:tcBorders>
            <w:shd w:val="clear" w:color="auto" w:fill="CBDBD1"/>
          </w:tcPr>
          <w:p>
            <w:pPr>
              <w:spacing w:after="0"/>
              <w:rPr>
                <w:sz w:val="18"/>
                <w:szCs w:val="18"/>
                <w:color w:val="auto"/>
              </w:rPr>
            </w:pPr>
          </w:p>
        </w:tc>
        <w:tc>
          <w:tcPr>
            <w:tcW w:w="80" w:type="dxa"/>
            <w:vAlign w:val="bottom"/>
            <w:shd w:val="clear" w:color="auto" w:fill="CBDBD1"/>
          </w:tcPr>
          <w:p>
            <w:pPr>
              <w:spacing w:after="0"/>
              <w:rPr>
                <w:sz w:val="18"/>
                <w:szCs w:val="18"/>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(647,750)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60" w:type="dxa"/>
            <w:vAlign w:val="bottom"/>
          </w:tcPr>
          <w:p>
            <w:pPr>
              <w:ind w:left="320"/>
              <w:spacing w:after="0"/>
              <w:rPr>
                <w:sz w:val="20"/>
                <w:szCs w:val="20"/>
                <w:color w:val="auto"/>
              </w:rPr>
            </w:pPr>
            <w:r>
              <w:rPr>
                <w:rFonts w:ascii="Arial" w:cs="Arial" w:eastAsia="Arial" w:hAnsi="Arial"/>
                <w:sz w:val="17"/>
                <w:szCs w:val="17"/>
                <w:color w:val="auto"/>
              </w:rPr>
              <w:t>Proceeds from issuance of notes payable</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BDBD1"/>
          </w:tcPr>
          <w:p>
            <w:pPr>
              <w:spacing w:after="0" w:line="189" w:lineRule="exact"/>
              <w:rPr>
                <w:sz w:val="20"/>
                <w:szCs w:val="20"/>
                <w:color w:val="auto"/>
              </w:rPr>
            </w:pPr>
            <w:r>
              <w:rPr>
                <w:rFonts w:ascii="Arial" w:cs="Arial" w:eastAsia="Arial" w:hAnsi="Arial"/>
                <w:sz w:val="17"/>
                <w:szCs w:val="17"/>
                <w:b w:val="1"/>
                <w:bCs w:val="1"/>
                <w:color w:val="auto"/>
              </w:rPr>
              <w:t>NET CASH PROVIDED BY (USED BY) FINANCING</w:t>
            </w:r>
          </w:p>
        </w:tc>
        <w:tc>
          <w:tcPr>
            <w:tcW w:w="120" w:type="dxa"/>
            <w:vAlign w:val="bottom"/>
            <w:tcBorders>
              <w:top w:val="single" w:sz="8" w:color="auto"/>
            </w:tcBorders>
            <w:shd w:val="clear" w:color="auto" w:fill="CBDBD1"/>
          </w:tcPr>
          <w:p>
            <w:pPr>
              <w:spacing w:after="0"/>
              <w:rPr>
                <w:sz w:val="16"/>
                <w:szCs w:val="16"/>
                <w:color w:val="auto"/>
              </w:rPr>
            </w:pPr>
          </w:p>
        </w:tc>
        <w:tc>
          <w:tcPr>
            <w:tcW w:w="1040" w:type="dxa"/>
            <w:vAlign w:val="bottom"/>
            <w:tcBorders>
              <w:top w:val="single" w:sz="8" w:color="auto"/>
            </w:tcBorders>
            <w:shd w:val="clear" w:color="auto" w:fill="CBDBD1"/>
          </w:tcPr>
          <w:p>
            <w:pPr>
              <w:spacing w:after="0"/>
              <w:rPr>
                <w:sz w:val="16"/>
                <w:szCs w:val="16"/>
                <w:color w:val="auto"/>
              </w:rPr>
            </w:pPr>
          </w:p>
        </w:tc>
        <w:tc>
          <w:tcPr>
            <w:tcW w:w="120" w:type="dxa"/>
            <w:vAlign w:val="bottom"/>
            <w:shd w:val="clear" w:color="auto" w:fill="CBDBD1"/>
          </w:tcPr>
          <w:p>
            <w:pPr>
              <w:spacing w:after="0"/>
              <w:rPr>
                <w:sz w:val="16"/>
                <w:szCs w:val="16"/>
                <w:color w:val="auto"/>
              </w:rPr>
            </w:pPr>
          </w:p>
        </w:tc>
        <w:tc>
          <w:tcPr>
            <w:tcW w:w="100" w:type="dxa"/>
            <w:vAlign w:val="bottom"/>
            <w:tcBorders>
              <w:top w:val="single" w:sz="8" w:color="auto"/>
            </w:tcBorders>
            <w:shd w:val="clear" w:color="auto" w:fill="CBDBD1"/>
          </w:tcPr>
          <w:p>
            <w:pPr>
              <w:spacing w:after="0"/>
              <w:rPr>
                <w:sz w:val="16"/>
                <w:szCs w:val="16"/>
                <w:color w:val="auto"/>
              </w:rPr>
            </w:pPr>
          </w:p>
        </w:tc>
        <w:tc>
          <w:tcPr>
            <w:tcW w:w="1040" w:type="dxa"/>
            <w:vAlign w:val="bottom"/>
            <w:tcBorders>
              <w:top w:val="single" w:sz="8" w:color="auto"/>
            </w:tcBorders>
            <w:shd w:val="clear" w:color="auto" w:fill="CBDBD1"/>
          </w:tcPr>
          <w:p>
            <w:pPr>
              <w:spacing w:after="0"/>
              <w:rPr>
                <w:sz w:val="16"/>
                <w:szCs w:val="16"/>
                <w:color w:val="auto"/>
              </w:rPr>
            </w:pPr>
          </w:p>
        </w:tc>
        <w:tc>
          <w:tcPr>
            <w:tcW w:w="120" w:type="dxa"/>
            <w:vAlign w:val="bottom"/>
            <w:tcBorders>
              <w:left w:val="single" w:sz="8" w:color="CBDBD1"/>
            </w:tcBorders>
            <w:shd w:val="clear" w:color="auto" w:fill="CBDBD1"/>
          </w:tcPr>
          <w:p>
            <w:pPr>
              <w:spacing w:after="0"/>
              <w:rPr>
                <w:sz w:val="16"/>
                <w:szCs w:val="16"/>
                <w:color w:val="auto"/>
              </w:rPr>
            </w:pPr>
          </w:p>
        </w:tc>
        <w:tc>
          <w:tcPr>
            <w:tcW w:w="80" w:type="dxa"/>
            <w:vAlign w:val="bottom"/>
            <w:tcBorders>
              <w:top w:val="single" w:sz="8" w:color="auto"/>
            </w:tcBorders>
            <w:shd w:val="clear" w:color="auto" w:fill="CBDBD1"/>
          </w:tcPr>
          <w:p>
            <w:pPr>
              <w:spacing w:after="0"/>
              <w:rPr>
                <w:sz w:val="16"/>
                <w:szCs w:val="16"/>
                <w:color w:val="auto"/>
              </w:rPr>
            </w:pPr>
          </w:p>
        </w:tc>
        <w:tc>
          <w:tcPr>
            <w:tcW w:w="1100" w:type="dxa"/>
            <w:vAlign w:val="bottom"/>
            <w:tcBorders>
              <w:top w:val="single" w:sz="8" w:color="auto"/>
            </w:tcBorders>
            <w:shd w:val="clear" w:color="auto" w:fill="CBDB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26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ACTIVITIES</w:t>
            </w:r>
          </w:p>
        </w:tc>
        <w:tc>
          <w:tcPr>
            <w:tcW w:w="120" w:type="dxa"/>
            <w:vAlign w:val="bottom"/>
            <w:shd w:val="clear" w:color="auto" w:fill="CBDBD1"/>
          </w:tcPr>
          <w:p>
            <w:pPr>
              <w:spacing w:after="0"/>
              <w:rPr>
                <w:sz w:val="19"/>
                <w:szCs w:val="19"/>
                <w:color w:val="auto"/>
              </w:rPr>
            </w:pPr>
          </w:p>
        </w:tc>
        <w:tc>
          <w:tcPr>
            <w:tcW w:w="1160" w:type="dxa"/>
            <w:vAlign w:val="bottom"/>
            <w:gridSpan w:val="2"/>
            <w:shd w:val="clear" w:color="auto" w:fill="CBDBD1"/>
          </w:tcPr>
          <w:p>
            <w:pPr>
              <w:jc w:val="right"/>
              <w:ind w:right="120"/>
              <w:spacing w:after="0"/>
              <w:rPr>
                <w:sz w:val="20"/>
                <w:szCs w:val="20"/>
                <w:color w:val="auto"/>
              </w:rPr>
            </w:pPr>
            <w:r>
              <w:rPr>
                <w:rFonts w:ascii="Arial" w:cs="Arial" w:eastAsia="Arial" w:hAnsi="Arial"/>
                <w:sz w:val="17"/>
                <w:szCs w:val="17"/>
                <w:color w:val="auto"/>
              </w:rPr>
              <w:t>(4,000)</w:t>
            </w:r>
          </w:p>
        </w:tc>
        <w:tc>
          <w:tcPr>
            <w:tcW w:w="100" w:type="dxa"/>
            <w:vAlign w:val="bottom"/>
            <w:shd w:val="clear" w:color="auto" w:fill="CBDBD1"/>
          </w:tcPr>
          <w:p>
            <w:pPr>
              <w:spacing w:after="0"/>
              <w:rPr>
                <w:sz w:val="19"/>
                <w:szCs w:val="19"/>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422,250</w:t>
            </w:r>
          </w:p>
        </w:tc>
        <w:tc>
          <w:tcPr>
            <w:tcW w:w="120" w:type="dxa"/>
            <w:vAlign w:val="bottom"/>
            <w:tcBorders>
              <w:left w:val="single" w:sz="8" w:color="CBDBD1"/>
            </w:tcBorders>
            <w:shd w:val="clear" w:color="auto" w:fill="CBDBD1"/>
          </w:tcPr>
          <w:p>
            <w:pPr>
              <w:spacing w:after="0"/>
              <w:rPr>
                <w:sz w:val="19"/>
                <w:szCs w:val="19"/>
                <w:color w:val="auto"/>
              </w:rPr>
            </w:pPr>
          </w:p>
        </w:tc>
        <w:tc>
          <w:tcPr>
            <w:tcW w:w="80" w:type="dxa"/>
            <w:vAlign w:val="bottom"/>
            <w:shd w:val="clear" w:color="auto" w:fill="CBDBD1"/>
          </w:tcPr>
          <w:p>
            <w:pPr>
              <w:spacing w:after="0"/>
              <w:rPr>
                <w:sz w:val="19"/>
                <w:szCs w:val="19"/>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4,071,850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BDBD1"/>
          </w:tcPr>
          <w:p>
            <w:pPr>
              <w:spacing w:after="0" w:line="189" w:lineRule="exact"/>
              <w:rPr>
                <w:sz w:val="20"/>
                <w:szCs w:val="20"/>
                <w:color w:val="auto"/>
              </w:rPr>
            </w:pPr>
            <w:r>
              <w:rPr>
                <w:rFonts w:ascii="Arial" w:cs="Arial" w:eastAsia="Arial" w:hAnsi="Arial"/>
                <w:sz w:val="17"/>
                <w:szCs w:val="17"/>
                <w:b w:val="1"/>
                <w:bCs w:val="1"/>
                <w:color w:val="auto"/>
              </w:rPr>
              <w:t>NET INCREASE (DECREASE) IN CASH AND CASH</w:t>
            </w:r>
          </w:p>
        </w:tc>
        <w:tc>
          <w:tcPr>
            <w:tcW w:w="120" w:type="dxa"/>
            <w:vAlign w:val="bottom"/>
            <w:shd w:val="clear" w:color="auto" w:fill="CBDBD1"/>
          </w:tcPr>
          <w:p>
            <w:pPr>
              <w:spacing w:after="0"/>
              <w:rPr>
                <w:sz w:val="16"/>
                <w:szCs w:val="16"/>
                <w:color w:val="auto"/>
              </w:rPr>
            </w:pPr>
          </w:p>
        </w:tc>
        <w:tc>
          <w:tcPr>
            <w:tcW w:w="1040" w:type="dxa"/>
            <w:vAlign w:val="bottom"/>
            <w:shd w:val="clear" w:color="auto" w:fill="CBDBD1"/>
          </w:tcPr>
          <w:p>
            <w:pPr>
              <w:spacing w:after="0"/>
              <w:rPr>
                <w:sz w:val="16"/>
                <w:szCs w:val="16"/>
                <w:color w:val="auto"/>
              </w:rPr>
            </w:pPr>
          </w:p>
        </w:tc>
        <w:tc>
          <w:tcPr>
            <w:tcW w:w="12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040" w:type="dxa"/>
            <w:vAlign w:val="bottom"/>
            <w:shd w:val="clear" w:color="auto" w:fill="CBDBD1"/>
          </w:tcPr>
          <w:p>
            <w:pPr>
              <w:spacing w:after="0"/>
              <w:rPr>
                <w:sz w:val="16"/>
                <w:szCs w:val="16"/>
                <w:color w:val="auto"/>
              </w:rPr>
            </w:pPr>
          </w:p>
        </w:tc>
        <w:tc>
          <w:tcPr>
            <w:tcW w:w="120" w:type="dxa"/>
            <w:vAlign w:val="bottom"/>
            <w:tcBorders>
              <w:left w:val="single" w:sz="8" w:color="CBDBD1"/>
            </w:tcBorders>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1100" w:type="dxa"/>
            <w:vAlign w:val="bottom"/>
            <w:shd w:val="clear" w:color="auto" w:fill="CBDB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26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EQUIVALENTS</w:t>
            </w:r>
          </w:p>
        </w:tc>
        <w:tc>
          <w:tcPr>
            <w:tcW w:w="120" w:type="dxa"/>
            <w:vAlign w:val="bottom"/>
            <w:shd w:val="clear" w:color="auto" w:fill="CBDBD1"/>
          </w:tcPr>
          <w:p>
            <w:pPr>
              <w:spacing w:after="0"/>
              <w:rPr>
                <w:sz w:val="19"/>
                <w:szCs w:val="19"/>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(1,164,550)</w:t>
            </w:r>
          </w:p>
        </w:tc>
        <w:tc>
          <w:tcPr>
            <w:tcW w:w="120" w:type="dxa"/>
            <w:vAlign w:val="bottom"/>
            <w:shd w:val="clear" w:color="auto" w:fill="CBDBD1"/>
          </w:tcPr>
          <w:p>
            <w:pPr>
              <w:spacing w:after="0"/>
              <w:rPr>
                <w:sz w:val="19"/>
                <w:szCs w:val="19"/>
                <w:color w:val="auto"/>
              </w:rPr>
            </w:pPr>
          </w:p>
        </w:tc>
        <w:tc>
          <w:tcPr>
            <w:tcW w:w="100" w:type="dxa"/>
            <w:vAlign w:val="bottom"/>
            <w:shd w:val="clear" w:color="auto" w:fill="CBDBD1"/>
          </w:tcPr>
          <w:p>
            <w:pPr>
              <w:spacing w:after="0"/>
              <w:rPr>
                <w:sz w:val="19"/>
                <w:szCs w:val="19"/>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6,254</w:t>
            </w:r>
          </w:p>
        </w:tc>
        <w:tc>
          <w:tcPr>
            <w:tcW w:w="120" w:type="dxa"/>
            <w:vAlign w:val="bottom"/>
            <w:tcBorders>
              <w:left w:val="single" w:sz="8" w:color="CBDBD1"/>
            </w:tcBorders>
            <w:shd w:val="clear" w:color="auto" w:fill="CBDBD1"/>
          </w:tcPr>
          <w:p>
            <w:pPr>
              <w:spacing w:after="0"/>
              <w:rPr>
                <w:sz w:val="19"/>
                <w:szCs w:val="19"/>
                <w:color w:val="auto"/>
              </w:rPr>
            </w:pPr>
          </w:p>
        </w:tc>
        <w:tc>
          <w:tcPr>
            <w:tcW w:w="80" w:type="dxa"/>
            <w:vAlign w:val="bottom"/>
            <w:shd w:val="clear" w:color="auto" w:fill="CBDBD1"/>
          </w:tcPr>
          <w:p>
            <w:pPr>
              <w:spacing w:after="0"/>
              <w:rPr>
                <w:sz w:val="19"/>
                <w:szCs w:val="19"/>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1,338,109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60" w:type="dxa"/>
            <w:vAlign w:val="bottom"/>
            <w:shd w:val="clear" w:color="auto" w:fill="CBDBD1"/>
          </w:tcPr>
          <w:p>
            <w:pPr>
              <w:spacing w:after="0" w:line="189" w:lineRule="exact"/>
              <w:rPr>
                <w:sz w:val="20"/>
                <w:szCs w:val="20"/>
                <w:color w:val="auto"/>
              </w:rPr>
            </w:pPr>
            <w:r>
              <w:rPr>
                <w:rFonts w:ascii="Arial" w:cs="Arial" w:eastAsia="Arial" w:hAnsi="Arial"/>
                <w:sz w:val="17"/>
                <w:szCs w:val="17"/>
                <w:b w:val="1"/>
                <w:bCs w:val="1"/>
                <w:color w:val="auto"/>
              </w:rPr>
              <w:t>CASH AND CASH EQUIVALENTS – BEGIN OF</w:t>
            </w:r>
          </w:p>
        </w:tc>
        <w:tc>
          <w:tcPr>
            <w:tcW w:w="120" w:type="dxa"/>
            <w:vAlign w:val="bottom"/>
            <w:shd w:val="clear" w:color="auto" w:fill="CBDBD1"/>
          </w:tcPr>
          <w:p>
            <w:pPr>
              <w:spacing w:after="0"/>
              <w:rPr>
                <w:sz w:val="16"/>
                <w:szCs w:val="16"/>
                <w:color w:val="auto"/>
              </w:rPr>
            </w:pPr>
          </w:p>
        </w:tc>
        <w:tc>
          <w:tcPr>
            <w:tcW w:w="1040" w:type="dxa"/>
            <w:vAlign w:val="bottom"/>
            <w:shd w:val="clear" w:color="auto" w:fill="CBDBD1"/>
          </w:tcPr>
          <w:p>
            <w:pPr>
              <w:spacing w:after="0"/>
              <w:rPr>
                <w:sz w:val="16"/>
                <w:szCs w:val="16"/>
                <w:color w:val="auto"/>
              </w:rPr>
            </w:pPr>
          </w:p>
        </w:tc>
        <w:tc>
          <w:tcPr>
            <w:tcW w:w="12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040" w:type="dxa"/>
            <w:vAlign w:val="bottom"/>
            <w:shd w:val="clear" w:color="auto" w:fill="CBDBD1"/>
          </w:tcPr>
          <w:p>
            <w:pPr>
              <w:spacing w:after="0"/>
              <w:rPr>
                <w:sz w:val="16"/>
                <w:szCs w:val="16"/>
                <w:color w:val="auto"/>
              </w:rPr>
            </w:pPr>
          </w:p>
        </w:tc>
        <w:tc>
          <w:tcPr>
            <w:tcW w:w="120" w:type="dxa"/>
            <w:vAlign w:val="bottom"/>
            <w:tcBorders>
              <w:left w:val="single" w:sz="8" w:color="CBDBD1"/>
            </w:tcBorders>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1100" w:type="dxa"/>
            <w:vAlign w:val="bottom"/>
            <w:shd w:val="clear" w:color="auto" w:fill="CBDBD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26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PERIOD</w:t>
            </w:r>
          </w:p>
        </w:tc>
        <w:tc>
          <w:tcPr>
            <w:tcW w:w="120" w:type="dxa"/>
            <w:vAlign w:val="bottom"/>
            <w:shd w:val="clear" w:color="auto" w:fill="CBDBD1"/>
          </w:tcPr>
          <w:p>
            <w:pPr>
              <w:spacing w:after="0"/>
              <w:rPr>
                <w:sz w:val="19"/>
                <w:szCs w:val="19"/>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2,502,659</w:t>
            </w:r>
          </w:p>
        </w:tc>
        <w:tc>
          <w:tcPr>
            <w:tcW w:w="120" w:type="dxa"/>
            <w:vAlign w:val="bottom"/>
            <w:shd w:val="clear" w:color="auto" w:fill="CBDBD1"/>
          </w:tcPr>
          <w:p>
            <w:pPr>
              <w:spacing w:after="0"/>
              <w:rPr>
                <w:sz w:val="19"/>
                <w:szCs w:val="19"/>
                <w:color w:val="auto"/>
              </w:rPr>
            </w:pPr>
          </w:p>
        </w:tc>
        <w:tc>
          <w:tcPr>
            <w:tcW w:w="100" w:type="dxa"/>
            <w:vAlign w:val="bottom"/>
            <w:shd w:val="clear" w:color="auto" w:fill="CBDBD1"/>
          </w:tcPr>
          <w:p>
            <w:pPr>
              <w:spacing w:after="0"/>
              <w:rPr>
                <w:sz w:val="19"/>
                <w:szCs w:val="19"/>
                <w:color w:val="auto"/>
              </w:rPr>
            </w:pP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135,429</w:t>
            </w:r>
          </w:p>
        </w:tc>
        <w:tc>
          <w:tcPr>
            <w:tcW w:w="120" w:type="dxa"/>
            <w:vAlign w:val="bottom"/>
            <w:tcBorders>
              <w:left w:val="single" w:sz="8" w:color="CBDBD1"/>
            </w:tcBorders>
            <w:shd w:val="clear" w:color="auto" w:fill="CBDBD1"/>
          </w:tcPr>
          <w:p>
            <w:pPr>
              <w:spacing w:after="0"/>
              <w:rPr>
                <w:sz w:val="19"/>
                <w:szCs w:val="19"/>
                <w:color w:val="auto"/>
              </w:rPr>
            </w:pPr>
          </w:p>
        </w:tc>
        <w:tc>
          <w:tcPr>
            <w:tcW w:w="80" w:type="dxa"/>
            <w:vAlign w:val="bottom"/>
            <w:shd w:val="clear" w:color="auto" w:fill="CBDBD1"/>
          </w:tcPr>
          <w:p>
            <w:pPr>
              <w:spacing w:after="0"/>
              <w:rPr>
                <w:sz w:val="19"/>
                <w:szCs w:val="19"/>
                <w:color w:val="auto"/>
              </w:rPr>
            </w:pP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380" w:type="dxa"/>
            <w:vAlign w:val="bottom"/>
            <w:gridSpan w:val="2"/>
          </w:tcPr>
          <w:p>
            <w:pPr>
              <w:spacing w:after="0"/>
              <w:rPr>
                <w:sz w:val="20"/>
                <w:szCs w:val="20"/>
                <w:color w:val="auto"/>
              </w:rPr>
            </w:pPr>
            <w:r>
              <w:rPr>
                <w:rFonts w:ascii="Arial" w:cs="Arial" w:eastAsia="Arial" w:hAnsi="Arial"/>
                <w:sz w:val="17"/>
                <w:szCs w:val="17"/>
                <w:b w:val="1"/>
                <w:bCs w:val="1"/>
                <w:color w:val="auto"/>
              </w:rPr>
              <w:t>CASH AND CASH EQUIVALENTS – END OF PERIOD</w:t>
            </w: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1,338,109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141,683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1,338,109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6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120" w:type="dxa"/>
            <w:vAlign w:val="bottom"/>
            <w:shd w:val="clear" w:color="auto" w:fill="CBDBD1"/>
          </w:tcPr>
          <w:p>
            <w:pPr>
              <w:spacing w:after="0"/>
              <w:rPr>
                <w:sz w:val="17"/>
                <w:szCs w:val="17"/>
                <w:color w:val="auto"/>
              </w:rPr>
            </w:pPr>
          </w:p>
        </w:tc>
        <w:tc>
          <w:tcPr>
            <w:tcW w:w="100" w:type="dxa"/>
            <w:vAlign w:val="bottom"/>
            <w:shd w:val="clear" w:color="auto" w:fill="CBDBD1"/>
          </w:tcPr>
          <w:p>
            <w:pPr>
              <w:spacing w:after="0"/>
              <w:rPr>
                <w:sz w:val="17"/>
                <w:szCs w:val="17"/>
                <w:color w:val="auto"/>
              </w:rPr>
            </w:pPr>
          </w:p>
        </w:tc>
        <w:tc>
          <w:tcPr>
            <w:tcW w:w="1040" w:type="dxa"/>
            <w:vAlign w:val="bottom"/>
            <w:shd w:val="clear" w:color="auto" w:fill="CBDBD1"/>
          </w:tcPr>
          <w:p>
            <w:pPr>
              <w:spacing w:after="0"/>
              <w:rPr>
                <w:sz w:val="17"/>
                <w:szCs w:val="17"/>
                <w:color w:val="auto"/>
              </w:rPr>
            </w:pPr>
          </w:p>
        </w:tc>
        <w:tc>
          <w:tcPr>
            <w:tcW w:w="120" w:type="dxa"/>
            <w:vAlign w:val="bottom"/>
            <w:tcBorders>
              <w:left w:val="single" w:sz="8" w:color="CBDBD1"/>
            </w:tcBorders>
            <w:shd w:val="clear" w:color="auto" w:fill="CBDBD1"/>
          </w:tcPr>
          <w:p>
            <w:pPr>
              <w:spacing w:after="0"/>
              <w:rPr>
                <w:sz w:val="17"/>
                <w:szCs w:val="17"/>
                <w:color w:val="auto"/>
              </w:rPr>
            </w:pPr>
          </w:p>
        </w:tc>
        <w:tc>
          <w:tcPr>
            <w:tcW w:w="80" w:type="dxa"/>
            <w:vAlign w:val="bottom"/>
            <w:shd w:val="clear" w:color="auto" w:fill="CBDBD1"/>
          </w:tcPr>
          <w:p>
            <w:pPr>
              <w:spacing w:after="0"/>
              <w:rPr>
                <w:sz w:val="17"/>
                <w:szCs w:val="17"/>
                <w:color w:val="auto"/>
              </w:rPr>
            </w:pPr>
          </w:p>
        </w:tc>
        <w:tc>
          <w:tcPr>
            <w:tcW w:w="1100" w:type="dxa"/>
            <w:vAlign w:val="bottom"/>
            <w:shd w:val="clear" w:color="auto" w:fill="CBDBD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60" w:type="dxa"/>
            <w:vAlign w:val="bottom"/>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BDBD1"/>
          </w:tcPr>
          <w:p>
            <w:pPr>
              <w:ind w:left="320"/>
              <w:spacing w:after="0"/>
              <w:rPr>
                <w:sz w:val="20"/>
                <w:szCs w:val="20"/>
                <w:color w:val="auto"/>
              </w:rPr>
            </w:pPr>
            <w:r>
              <w:rPr>
                <w:rFonts w:ascii="Arial" w:cs="Arial" w:eastAsia="Arial" w:hAnsi="Arial"/>
                <w:sz w:val="17"/>
                <w:szCs w:val="17"/>
                <w:color w:val="auto"/>
              </w:rPr>
              <w:t>Cash paid for interest</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1,793</w:t>
            </w:r>
          </w:p>
        </w:tc>
        <w:tc>
          <w:tcPr>
            <w:tcW w:w="120" w:type="dxa"/>
            <w:vAlign w:val="bottom"/>
            <w:shd w:val="clear" w:color="auto" w:fill="CBDBD1"/>
          </w:tcPr>
          <w:p>
            <w:pPr>
              <w:spacing w:after="0"/>
              <w:rPr>
                <w:sz w:val="19"/>
                <w:szCs w:val="19"/>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-0-</w:t>
            </w:r>
          </w:p>
        </w:tc>
        <w:tc>
          <w:tcPr>
            <w:tcW w:w="200" w:type="dxa"/>
            <w:vAlign w:val="bottom"/>
            <w:tcBorders>
              <w:left w:val="single" w:sz="8" w:color="CBDBD1"/>
            </w:tcBorders>
            <w:gridSpan w:val="2"/>
            <w:shd w:val="clear" w:color="auto" w:fill="CBDBD1"/>
          </w:tcPr>
          <w:p>
            <w:pPr>
              <w:ind w:left="12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6,246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left w:val="single" w:sz="8" w:color="CBDBD1"/>
            </w:tcBorders>
            <w:shd w:val="clear" w:color="auto" w:fill="CBDBD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60" w:type="dxa"/>
            <w:vAlign w:val="bottom"/>
          </w:tcPr>
          <w:p>
            <w:pPr>
              <w:ind w:left="320"/>
              <w:spacing w:after="0"/>
              <w:rPr>
                <w:sz w:val="20"/>
                <w:szCs w:val="20"/>
                <w:color w:val="auto"/>
              </w:rPr>
            </w:pPr>
            <w:r>
              <w:rPr>
                <w:rFonts w:ascii="Arial" w:cs="Arial" w:eastAsia="Arial" w:hAnsi="Arial"/>
                <w:sz w:val="17"/>
                <w:szCs w:val="17"/>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260" w:type="dxa"/>
            <w:vAlign w:val="bottom"/>
            <w:shd w:val="clear" w:color="auto" w:fill="CBDBD1"/>
          </w:tcPr>
          <w:p>
            <w:pPr>
              <w:spacing w:after="0" w:line="181" w:lineRule="exact"/>
              <w:rPr>
                <w:sz w:val="20"/>
                <w:szCs w:val="20"/>
                <w:color w:val="auto"/>
              </w:rPr>
            </w:pPr>
            <w:r>
              <w:rPr>
                <w:rFonts w:ascii="Arial" w:cs="Arial" w:eastAsia="Arial" w:hAnsi="Arial"/>
                <w:sz w:val="17"/>
                <w:szCs w:val="17"/>
                <w:b w:val="1"/>
                <w:bCs w:val="1"/>
                <w:color w:val="auto"/>
              </w:rPr>
              <w:t>SUPPLEMENTAL DISCLOSURE OF NON-CASH</w:t>
            </w:r>
          </w:p>
        </w:tc>
        <w:tc>
          <w:tcPr>
            <w:tcW w:w="120" w:type="dxa"/>
            <w:vAlign w:val="bottom"/>
            <w:shd w:val="clear" w:color="auto" w:fill="CBDBD1"/>
          </w:tcPr>
          <w:p>
            <w:pPr>
              <w:spacing w:after="0"/>
              <w:rPr>
                <w:sz w:val="15"/>
                <w:szCs w:val="15"/>
                <w:color w:val="auto"/>
              </w:rPr>
            </w:pPr>
          </w:p>
        </w:tc>
        <w:tc>
          <w:tcPr>
            <w:tcW w:w="1040" w:type="dxa"/>
            <w:vAlign w:val="bottom"/>
            <w:shd w:val="clear" w:color="auto" w:fill="CBDBD1"/>
          </w:tcPr>
          <w:p>
            <w:pPr>
              <w:spacing w:after="0"/>
              <w:rPr>
                <w:sz w:val="15"/>
                <w:szCs w:val="15"/>
                <w:color w:val="auto"/>
              </w:rPr>
            </w:pPr>
          </w:p>
        </w:tc>
        <w:tc>
          <w:tcPr>
            <w:tcW w:w="120" w:type="dxa"/>
            <w:vAlign w:val="bottom"/>
            <w:shd w:val="clear" w:color="auto" w:fill="CBDBD1"/>
          </w:tcPr>
          <w:p>
            <w:pPr>
              <w:spacing w:after="0"/>
              <w:rPr>
                <w:sz w:val="15"/>
                <w:szCs w:val="15"/>
                <w:color w:val="auto"/>
              </w:rPr>
            </w:pPr>
          </w:p>
        </w:tc>
        <w:tc>
          <w:tcPr>
            <w:tcW w:w="100" w:type="dxa"/>
            <w:vAlign w:val="bottom"/>
            <w:shd w:val="clear" w:color="auto" w:fill="CBDBD1"/>
          </w:tcPr>
          <w:p>
            <w:pPr>
              <w:spacing w:after="0"/>
              <w:rPr>
                <w:sz w:val="15"/>
                <w:szCs w:val="15"/>
                <w:color w:val="auto"/>
              </w:rPr>
            </w:pPr>
          </w:p>
        </w:tc>
        <w:tc>
          <w:tcPr>
            <w:tcW w:w="1040" w:type="dxa"/>
            <w:vAlign w:val="bottom"/>
            <w:shd w:val="clear" w:color="auto" w:fill="CBDBD1"/>
          </w:tcPr>
          <w:p>
            <w:pPr>
              <w:spacing w:after="0"/>
              <w:rPr>
                <w:sz w:val="15"/>
                <w:szCs w:val="15"/>
                <w:color w:val="auto"/>
              </w:rPr>
            </w:pPr>
          </w:p>
        </w:tc>
        <w:tc>
          <w:tcPr>
            <w:tcW w:w="120" w:type="dxa"/>
            <w:vAlign w:val="bottom"/>
            <w:tcBorders>
              <w:left w:val="single" w:sz="8" w:color="CBDBD1"/>
            </w:tcBorders>
            <w:shd w:val="clear" w:color="auto" w:fill="CBDBD1"/>
          </w:tcPr>
          <w:p>
            <w:pPr>
              <w:spacing w:after="0"/>
              <w:rPr>
                <w:sz w:val="15"/>
                <w:szCs w:val="15"/>
                <w:color w:val="auto"/>
              </w:rPr>
            </w:pPr>
          </w:p>
        </w:tc>
        <w:tc>
          <w:tcPr>
            <w:tcW w:w="80" w:type="dxa"/>
            <w:vAlign w:val="bottom"/>
            <w:shd w:val="clear" w:color="auto" w:fill="CBDBD1"/>
          </w:tcPr>
          <w:p>
            <w:pPr>
              <w:spacing w:after="0"/>
              <w:rPr>
                <w:sz w:val="15"/>
                <w:szCs w:val="15"/>
                <w:color w:val="auto"/>
              </w:rPr>
            </w:pPr>
          </w:p>
        </w:tc>
        <w:tc>
          <w:tcPr>
            <w:tcW w:w="1100" w:type="dxa"/>
            <w:vAlign w:val="bottom"/>
            <w:shd w:val="clear" w:color="auto" w:fill="CBDBD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260" w:type="dxa"/>
            <w:vAlign w:val="bottom"/>
            <w:shd w:val="clear" w:color="auto" w:fill="CBDBD1"/>
          </w:tcPr>
          <w:p>
            <w:pPr>
              <w:spacing w:after="0"/>
              <w:rPr>
                <w:sz w:val="20"/>
                <w:szCs w:val="20"/>
                <w:color w:val="auto"/>
              </w:rPr>
            </w:pPr>
            <w:r>
              <w:rPr>
                <w:rFonts w:ascii="Arial" w:cs="Arial" w:eastAsia="Arial" w:hAnsi="Arial"/>
                <w:sz w:val="17"/>
                <w:szCs w:val="17"/>
                <w:b w:val="1"/>
                <w:bCs w:val="1"/>
                <w:color w:val="auto"/>
              </w:rPr>
              <w:t>INVESTING AND FINANCING ACTIVITIES:</w:t>
            </w:r>
          </w:p>
        </w:tc>
        <w:tc>
          <w:tcPr>
            <w:tcW w:w="120" w:type="dxa"/>
            <w:vAlign w:val="bottom"/>
            <w:shd w:val="clear" w:color="auto" w:fill="CBDBD1"/>
          </w:tcPr>
          <w:p>
            <w:pPr>
              <w:spacing w:after="0"/>
              <w:rPr>
                <w:sz w:val="19"/>
                <w:szCs w:val="19"/>
                <w:color w:val="auto"/>
              </w:rPr>
            </w:pPr>
          </w:p>
        </w:tc>
        <w:tc>
          <w:tcPr>
            <w:tcW w:w="1040" w:type="dxa"/>
            <w:vAlign w:val="bottom"/>
            <w:shd w:val="clear" w:color="auto" w:fill="CBDBD1"/>
          </w:tcPr>
          <w:p>
            <w:pPr>
              <w:spacing w:after="0"/>
              <w:rPr>
                <w:sz w:val="19"/>
                <w:szCs w:val="19"/>
                <w:color w:val="auto"/>
              </w:rPr>
            </w:pPr>
          </w:p>
        </w:tc>
        <w:tc>
          <w:tcPr>
            <w:tcW w:w="120" w:type="dxa"/>
            <w:vAlign w:val="bottom"/>
            <w:shd w:val="clear" w:color="auto" w:fill="CBDBD1"/>
          </w:tcPr>
          <w:p>
            <w:pPr>
              <w:spacing w:after="0"/>
              <w:rPr>
                <w:sz w:val="19"/>
                <w:szCs w:val="19"/>
                <w:color w:val="auto"/>
              </w:rPr>
            </w:pPr>
          </w:p>
        </w:tc>
        <w:tc>
          <w:tcPr>
            <w:tcW w:w="100" w:type="dxa"/>
            <w:vAlign w:val="bottom"/>
            <w:shd w:val="clear" w:color="auto" w:fill="CBDBD1"/>
          </w:tcPr>
          <w:p>
            <w:pPr>
              <w:spacing w:after="0"/>
              <w:rPr>
                <w:sz w:val="19"/>
                <w:szCs w:val="19"/>
                <w:color w:val="auto"/>
              </w:rPr>
            </w:pPr>
          </w:p>
        </w:tc>
        <w:tc>
          <w:tcPr>
            <w:tcW w:w="1040" w:type="dxa"/>
            <w:vAlign w:val="bottom"/>
            <w:shd w:val="clear" w:color="auto" w:fill="CBDBD1"/>
          </w:tcPr>
          <w:p>
            <w:pPr>
              <w:spacing w:after="0"/>
              <w:rPr>
                <w:sz w:val="19"/>
                <w:szCs w:val="19"/>
                <w:color w:val="auto"/>
              </w:rPr>
            </w:pPr>
          </w:p>
        </w:tc>
        <w:tc>
          <w:tcPr>
            <w:tcW w:w="120" w:type="dxa"/>
            <w:vAlign w:val="bottom"/>
            <w:tcBorders>
              <w:left w:val="single" w:sz="8" w:color="CBDBD1"/>
            </w:tcBorders>
            <w:shd w:val="clear" w:color="auto" w:fill="CBDBD1"/>
          </w:tcPr>
          <w:p>
            <w:pPr>
              <w:spacing w:after="0"/>
              <w:rPr>
                <w:sz w:val="19"/>
                <w:szCs w:val="19"/>
                <w:color w:val="auto"/>
              </w:rPr>
            </w:pPr>
          </w:p>
        </w:tc>
        <w:tc>
          <w:tcPr>
            <w:tcW w:w="80" w:type="dxa"/>
            <w:vAlign w:val="bottom"/>
            <w:shd w:val="clear" w:color="auto" w:fill="CBDBD1"/>
          </w:tcPr>
          <w:p>
            <w:pPr>
              <w:spacing w:after="0"/>
              <w:rPr>
                <w:sz w:val="19"/>
                <w:szCs w:val="19"/>
                <w:color w:val="auto"/>
              </w:rPr>
            </w:pPr>
          </w:p>
        </w:tc>
        <w:tc>
          <w:tcPr>
            <w:tcW w:w="1100" w:type="dxa"/>
            <w:vAlign w:val="bottom"/>
            <w:shd w:val="clear" w:color="auto" w:fill="CBDBD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260" w:type="dxa"/>
            <w:vAlign w:val="bottom"/>
          </w:tcPr>
          <w:p>
            <w:pPr>
              <w:ind w:left="320"/>
              <w:spacing w:after="0"/>
              <w:rPr>
                <w:sz w:val="20"/>
                <w:szCs w:val="20"/>
                <w:color w:val="auto"/>
              </w:rPr>
            </w:pPr>
            <w:r>
              <w:rPr>
                <w:rFonts w:ascii="Arial" w:cs="Arial" w:eastAsia="Arial" w:hAnsi="Arial"/>
                <w:sz w:val="17"/>
                <w:szCs w:val="17"/>
                <w:color w:val="auto"/>
                <w:w w:val="96"/>
              </w:rPr>
              <w:t>Distributions paid through issuance of notes payable –</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320"/>
              <w:spacing w:after="0"/>
              <w:rPr>
                <w:sz w:val="20"/>
                <w:szCs w:val="20"/>
                <w:color w:val="auto"/>
              </w:rPr>
            </w:pPr>
            <w:r>
              <w:rPr>
                <w:rFonts w:ascii="Arial" w:cs="Arial" w:eastAsia="Arial" w:hAnsi="Arial"/>
                <w:sz w:val="17"/>
                <w:szCs w:val="17"/>
                <w:color w:val="auto"/>
              </w:rPr>
              <w:t>related party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253,750</w:t>
            </w:r>
          </w:p>
        </w:tc>
        <w:tc>
          <w:tcPr>
            <w:tcW w:w="0" w:type="dxa"/>
            <w:vAlign w:val="bottom"/>
          </w:tcPr>
          <w:p>
            <w:pPr>
              <w:spacing w:after="0"/>
              <w:rPr>
                <w:sz w:val="1"/>
                <w:szCs w:val="1"/>
                <w:color w:val="auto"/>
              </w:rPr>
            </w:pPr>
          </w:p>
        </w:tc>
      </w:tr>
      <w:tr>
        <w:trPr>
          <w:trHeight w:val="228"/>
        </w:trPr>
        <w:tc>
          <w:tcPr>
            <w:tcW w:w="4260" w:type="dxa"/>
            <w:vAlign w:val="bottom"/>
            <w:shd w:val="clear" w:color="auto" w:fill="CBDBD1"/>
          </w:tcPr>
          <w:p>
            <w:pPr>
              <w:ind w:left="320"/>
              <w:spacing w:after="0"/>
              <w:rPr>
                <w:sz w:val="20"/>
                <w:szCs w:val="20"/>
                <w:color w:val="auto"/>
              </w:rPr>
            </w:pPr>
            <w:r>
              <w:rPr>
                <w:rFonts w:ascii="Arial" w:cs="Arial" w:eastAsia="Arial" w:hAnsi="Arial"/>
                <w:sz w:val="17"/>
                <w:szCs w:val="17"/>
                <w:color w:val="auto"/>
              </w:rPr>
              <w:t>Conversion of warrants to common stock</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705,285</w:t>
            </w:r>
          </w:p>
        </w:tc>
        <w:tc>
          <w:tcPr>
            <w:tcW w:w="120" w:type="dxa"/>
            <w:vAlign w:val="bottom"/>
            <w:shd w:val="clear" w:color="auto" w:fill="CBDBD1"/>
          </w:tcPr>
          <w:p>
            <w:pPr>
              <w:spacing w:after="0"/>
              <w:rPr>
                <w:sz w:val="19"/>
                <w:szCs w:val="19"/>
                <w:color w:val="auto"/>
              </w:rPr>
            </w:pPr>
          </w:p>
        </w:tc>
        <w:tc>
          <w:tcPr>
            <w:tcW w:w="10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BDBD1"/>
          </w:tcPr>
          <w:p>
            <w:pPr>
              <w:jc w:val="right"/>
              <w:spacing w:after="0"/>
              <w:rPr>
                <w:sz w:val="20"/>
                <w:szCs w:val="20"/>
                <w:color w:val="auto"/>
              </w:rPr>
            </w:pPr>
            <w:r>
              <w:rPr>
                <w:rFonts w:ascii="Arial" w:cs="Arial" w:eastAsia="Arial" w:hAnsi="Arial"/>
                <w:sz w:val="17"/>
                <w:szCs w:val="17"/>
                <w:color w:val="auto"/>
              </w:rPr>
              <w:t>-0-</w:t>
            </w:r>
          </w:p>
        </w:tc>
        <w:tc>
          <w:tcPr>
            <w:tcW w:w="200" w:type="dxa"/>
            <w:vAlign w:val="bottom"/>
            <w:tcBorders>
              <w:left w:val="single" w:sz="8" w:color="CBDBD1"/>
            </w:tcBorders>
            <w:gridSpan w:val="2"/>
            <w:shd w:val="clear" w:color="auto" w:fill="CBDBD1"/>
          </w:tcPr>
          <w:p>
            <w:pPr>
              <w:ind w:left="12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BDBD1"/>
          </w:tcPr>
          <w:p>
            <w:pPr>
              <w:jc w:val="right"/>
              <w:spacing w:after="0"/>
              <w:rPr>
                <w:sz w:val="20"/>
                <w:szCs w:val="20"/>
                <w:color w:val="auto"/>
              </w:rPr>
            </w:pPr>
            <w:r>
              <w:rPr>
                <w:rFonts w:ascii="Arial" w:cs="Arial" w:eastAsia="Arial" w:hAnsi="Arial"/>
                <w:sz w:val="17"/>
                <w:szCs w:val="17"/>
                <w:color w:val="auto"/>
              </w:rPr>
              <w:t>705,285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tcBorders>
            <w:shd w:val="clear" w:color="auto" w:fill="CBDBD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BDBD1"/>
              <w:left w:val="single" w:sz="8" w:color="CBDBD1"/>
            </w:tcBorders>
            <w:shd w:val="clear" w:color="auto" w:fill="CBDBD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200"/>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46"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JUNE 30, 2009</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1. NATURE OF BUSINESS</w:t>
      </w:r>
    </w:p>
    <w:p>
      <w:pPr>
        <w:spacing w:after="0" w:line="252" w:lineRule="exact"/>
        <w:rPr>
          <w:sz w:val="20"/>
          <w:szCs w:val="20"/>
          <w:color w:val="auto"/>
        </w:rPr>
      </w:pPr>
    </w:p>
    <w:p>
      <w:pPr>
        <w:jc w:val="both"/>
        <w:ind w:left="620"/>
        <w:spacing w:after="0" w:line="277"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94"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auto"/>
        </w:rPr>
        <w:t>The wholly-owned subsidiary, OptimizeRx Corporation, is a development stage website publisher and marketing company that creates, promotes and fulfills custom marketing and advertising programs. The Company helps patients better afford and manage their rising healthcare costs. In addition, the Company also provides unique advertising programs to the pharmaceutical and healthcare industries. The Company’s websites provide the following services: (i) OptimizeRx provides patients an opportunity to centrally review and participate in prescription and healthcare savings/support programs; (ii) OFFERx provides a platform to allow manufacturers to create, promote and fulfill new patient offer programs in over 64,000 pharmacies; and (iii) ADHERxE provides a platform that allows manufacturers to engage and monitor patients each month in exchange for activation of their monthly co-pay coupons.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52" w:lineRule="exact"/>
        <w:rPr>
          <w:sz w:val="20"/>
          <w:szCs w:val="20"/>
          <w:color w:val="auto"/>
        </w:rPr>
      </w:pPr>
    </w:p>
    <w:p>
      <w:pPr>
        <w:jc w:val="both"/>
        <w:ind w:left="620"/>
        <w:spacing w:after="0" w:line="322" w:lineRule="auto"/>
        <w:rPr>
          <w:sz w:val="20"/>
          <w:szCs w:val="20"/>
          <w:color w:val="auto"/>
        </w:rPr>
      </w:pPr>
      <w:r>
        <w:rPr>
          <w:rFonts w:ascii="Arial" w:cs="Arial" w:eastAsia="Arial" w:hAnsi="Arial"/>
          <w:sz w:val="15"/>
          <w:szCs w:val="15"/>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Basis of Accounting</w:t>
      </w:r>
    </w:p>
    <w:p>
      <w:pPr>
        <w:spacing w:after="0" w:line="246" w:lineRule="exact"/>
        <w:rPr>
          <w:sz w:val="20"/>
          <w:szCs w:val="20"/>
          <w:color w:val="auto"/>
        </w:rPr>
      </w:pPr>
    </w:p>
    <w:p>
      <w:pPr>
        <w:jc w:val="both"/>
        <w:ind w:left="620"/>
        <w:spacing w:after="0" w:line="265" w:lineRule="auto"/>
        <w:rPr>
          <w:sz w:val="20"/>
          <w:szCs w:val="20"/>
          <w:color w:val="auto"/>
        </w:rPr>
      </w:pPr>
      <w:r>
        <w:rPr>
          <w:rFonts w:ascii="Arial" w:cs="Arial" w:eastAsia="Arial" w:hAnsi="Arial"/>
          <w:sz w:val="17"/>
          <w:szCs w:val="17"/>
          <w:color w:val="auto"/>
        </w:rPr>
        <w:t>The accompanying financial statements have been prepared using the accrual basis of accounting in accordance with accounting principles generally accepted in the United States of America. The Company is currently a development stage enterprise. All losses accumulated since the inception of the business have been considered as part of its development stage activities. Revenues are recognized as income when earned and expenses are recognized when they are incurred.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JUNE 30, 2009</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Principles of Consolidation</w:t>
      </w:r>
    </w:p>
    <w:p>
      <w:pPr>
        <w:spacing w:after="0" w:line="246" w:lineRule="exact"/>
        <w:rPr>
          <w:sz w:val="20"/>
          <w:szCs w:val="20"/>
          <w:color w:val="auto"/>
        </w:rPr>
      </w:pPr>
    </w:p>
    <w:p>
      <w:pPr>
        <w:ind w:left="620"/>
        <w:spacing w:after="0" w:line="285" w:lineRule="auto"/>
        <w:rPr>
          <w:sz w:val="20"/>
          <w:szCs w:val="20"/>
          <w:color w:val="auto"/>
        </w:rPr>
      </w:pPr>
      <w:r>
        <w:rPr>
          <w:rFonts w:ascii="Arial" w:cs="Arial" w:eastAsia="Arial" w:hAnsi="Arial"/>
          <w:sz w:val="17"/>
          <w:szCs w:val="17"/>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Cash and Cash Equivalents</w:t>
      </w:r>
    </w:p>
    <w:p>
      <w:pPr>
        <w:spacing w:after="0" w:line="246" w:lineRule="exact"/>
        <w:rPr>
          <w:sz w:val="20"/>
          <w:szCs w:val="20"/>
          <w:color w:val="auto"/>
        </w:rPr>
      </w:pPr>
    </w:p>
    <w:p>
      <w:pPr>
        <w:ind w:left="620"/>
        <w:spacing w:after="0" w:line="285" w:lineRule="auto"/>
        <w:rPr>
          <w:sz w:val="20"/>
          <w:szCs w:val="20"/>
          <w:color w:val="auto"/>
        </w:rPr>
      </w:pPr>
      <w:r>
        <w:rPr>
          <w:rFonts w:ascii="Arial" w:cs="Arial" w:eastAsia="Arial" w:hAnsi="Arial"/>
          <w:sz w:val="17"/>
          <w:szCs w:val="17"/>
          <w:color w:val="auto"/>
        </w:rPr>
        <w:t>For purposes of the accompanying financial statements, the Company considers all highly liquid instruments with an initial maturity of three months or less to be cash equivalents.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246" w:lineRule="exact"/>
        <w:rPr>
          <w:sz w:val="20"/>
          <w:szCs w:val="20"/>
          <w:color w:val="auto"/>
        </w:rPr>
      </w:pPr>
    </w:p>
    <w:p>
      <w:pPr>
        <w:ind w:left="620"/>
        <w:spacing w:after="0" w:line="285" w:lineRule="auto"/>
        <w:rPr>
          <w:sz w:val="20"/>
          <w:szCs w:val="20"/>
          <w:color w:val="auto"/>
        </w:rPr>
      </w:pPr>
      <w:r>
        <w:rPr>
          <w:rFonts w:ascii="Arial" w:cs="Arial" w:eastAsia="Arial" w:hAnsi="Arial"/>
          <w:sz w:val="17"/>
          <w:szCs w:val="17"/>
          <w:color w:val="auto"/>
        </w:rPr>
        <w:t>The fair value of cash, accounts receivable and accounts payable approximates the carrying amount of these financial instruments due to their short-term nature.</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Property and Equipment</w:t>
      </w:r>
    </w:p>
    <w:p>
      <w:pPr>
        <w:spacing w:after="0" w:line="246" w:lineRule="exact"/>
        <w:rPr>
          <w:sz w:val="20"/>
          <w:szCs w:val="20"/>
          <w:color w:val="auto"/>
        </w:rPr>
      </w:pPr>
    </w:p>
    <w:p>
      <w:pPr>
        <w:ind w:left="620"/>
        <w:spacing w:after="0" w:line="285" w:lineRule="auto"/>
        <w:rPr>
          <w:sz w:val="20"/>
          <w:szCs w:val="20"/>
          <w:color w:val="auto"/>
        </w:rPr>
      </w:pPr>
      <w:r>
        <w:rPr>
          <w:rFonts w:ascii="Arial" w:cs="Arial" w:eastAsia="Arial" w:hAnsi="Arial"/>
          <w:sz w:val="17"/>
          <w:szCs w:val="17"/>
          <w:color w:val="auto"/>
        </w:rPr>
        <w:t>The capital assets are being depreciated over their estimated useful lives using the straight-line method of depreciation for book purposes. As of October 18, 2007, the Company acquired the majority of its capital assets at the lower market cost from the Optimizer Systems, LLC.</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Research and Development</w:t>
      </w:r>
    </w:p>
    <w:p>
      <w:pPr>
        <w:spacing w:after="0" w:line="246" w:lineRule="exact"/>
        <w:rPr>
          <w:sz w:val="20"/>
          <w:szCs w:val="20"/>
          <w:color w:val="auto"/>
        </w:rPr>
      </w:pPr>
    </w:p>
    <w:p>
      <w:pPr>
        <w:ind w:left="620"/>
        <w:spacing w:after="0" w:line="318" w:lineRule="auto"/>
        <w:rPr>
          <w:sz w:val="20"/>
          <w:szCs w:val="20"/>
          <w:color w:val="auto"/>
        </w:rPr>
      </w:pPr>
      <w:r>
        <w:rPr>
          <w:rFonts w:ascii="Arial" w:cs="Arial" w:eastAsia="Arial" w:hAnsi="Arial"/>
          <w:sz w:val="16"/>
          <w:szCs w:val="16"/>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ind w:left="620"/>
        <w:spacing w:after="0" w:line="285" w:lineRule="auto"/>
        <w:rPr>
          <w:sz w:val="20"/>
          <w:szCs w:val="20"/>
          <w:color w:val="auto"/>
        </w:rPr>
      </w:pPr>
      <w:r>
        <w:rPr>
          <w:rFonts w:ascii="Arial" w:cs="Arial" w:eastAsia="Arial" w:hAnsi="Arial"/>
          <w:sz w:val="17"/>
          <w:szCs w:val="17"/>
          <w:color w:val="auto"/>
        </w:rPr>
        <w:t>The Company is currently in launch phase with ADHERxE to allow pharmaceutical and healthcare manufacturers a unique way to engage and monitor patients each month in exchange for activation of their next savings offer.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JUNE 30, 2009</w:t>
      </w:r>
    </w:p>
    <w:p>
      <w:pPr>
        <w:spacing w:after="0" w:line="228" w:lineRule="exact"/>
        <w:rPr>
          <w:sz w:val="20"/>
          <w:szCs w:val="20"/>
          <w:color w:val="auto"/>
        </w:rPr>
      </w:pPr>
    </w:p>
    <w:p>
      <w:pPr>
        <w:ind w:left="620" w:right="5060" w:hanging="209"/>
        <w:spacing w:after="0" w:line="546" w:lineRule="auto"/>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(CONTINUED) </w:t>
      </w:r>
      <w:r>
        <w:rPr>
          <w:rFonts w:ascii="Arial" w:cs="Arial" w:eastAsia="Arial" w:hAnsi="Arial"/>
          <w:sz w:val="17"/>
          <w:szCs w:val="17"/>
          <w:u w:val="single" w:color="auto"/>
          <w:color w:val="auto"/>
        </w:rPr>
        <w:t>Research and Development (Continued)</w:t>
      </w:r>
    </w:p>
    <w:p>
      <w:pPr>
        <w:jc w:val="both"/>
        <w:ind w:left="620"/>
        <w:spacing w:after="0" w:line="283" w:lineRule="auto"/>
        <w:rPr>
          <w:rFonts w:ascii="Arial" w:cs="Arial" w:eastAsia="Arial" w:hAnsi="Arial"/>
          <w:sz w:val="17"/>
          <w:szCs w:val="17"/>
          <w:b w:val="1"/>
          <w:bCs w:val="1"/>
          <w:color w:val="auto"/>
        </w:rPr>
      </w:pPr>
      <w:r>
        <w:rPr>
          <w:rFonts w:ascii="Arial" w:cs="Arial" w:eastAsia="Arial" w:hAnsi="Arial"/>
          <w:sz w:val="16"/>
          <w:szCs w:val="16"/>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88"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Revenue Recognition</w:t>
      </w:r>
    </w:p>
    <w:p>
      <w:pPr>
        <w:spacing w:after="0" w:line="246" w:lineRule="exact"/>
        <w:rPr>
          <w:rFonts w:ascii="Arial" w:cs="Arial" w:eastAsia="Arial" w:hAnsi="Arial"/>
          <w:sz w:val="17"/>
          <w:szCs w:val="17"/>
          <w:b w:val="1"/>
          <w:bCs w:val="1"/>
          <w:color w:val="auto"/>
        </w:rPr>
      </w:pPr>
    </w:p>
    <w:p>
      <w:pPr>
        <w:ind w:left="620"/>
        <w:spacing w:after="0" w:line="355" w:lineRule="auto"/>
        <w:rPr>
          <w:rFonts w:ascii="Arial" w:cs="Arial" w:eastAsia="Arial" w:hAnsi="Arial"/>
          <w:sz w:val="17"/>
          <w:szCs w:val="17"/>
          <w:b w:val="1"/>
          <w:bCs w:val="1"/>
          <w:color w:val="auto"/>
        </w:rPr>
      </w:pPr>
      <w:r>
        <w:rPr>
          <w:rFonts w:ascii="Arial" w:cs="Arial" w:eastAsia="Arial" w:hAnsi="Arial"/>
          <w:sz w:val="15"/>
          <w:szCs w:val="15"/>
          <w:color w:val="auto"/>
        </w:rPr>
        <w:t>Substantially all revenue is recognized when it is earned. All revenues are generated through the Company's website activities. The Company's processes are monitored by third parties who collect revenues from clients on a per activity basis and report and forward the revenue to the Company's account.</w:t>
      </w:r>
    </w:p>
    <w:p>
      <w:pPr>
        <w:spacing w:after="0" w:line="13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Management Estimates</w:t>
      </w:r>
    </w:p>
    <w:p>
      <w:pPr>
        <w:spacing w:after="0" w:line="246" w:lineRule="exact"/>
        <w:rPr>
          <w:rFonts w:ascii="Arial" w:cs="Arial" w:eastAsia="Arial" w:hAnsi="Arial"/>
          <w:sz w:val="17"/>
          <w:szCs w:val="17"/>
          <w:b w:val="1"/>
          <w:bCs w:val="1"/>
          <w:color w:val="auto"/>
        </w:rPr>
      </w:pPr>
    </w:p>
    <w:p>
      <w:pPr>
        <w:jc w:val="both"/>
        <w:ind w:left="62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202"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Recently Issued Accounting Guidance</w:t>
      </w:r>
    </w:p>
    <w:p>
      <w:pPr>
        <w:spacing w:after="0" w:line="246" w:lineRule="exact"/>
        <w:rPr>
          <w:rFonts w:ascii="Arial" w:cs="Arial" w:eastAsia="Arial" w:hAnsi="Arial"/>
          <w:sz w:val="17"/>
          <w:szCs w:val="17"/>
          <w:b w:val="1"/>
          <w:bCs w:val="1"/>
          <w:color w:val="auto"/>
        </w:rPr>
      </w:pPr>
    </w:p>
    <w:p>
      <w:pPr>
        <w:ind w:left="620"/>
        <w:spacing w:after="0" w:line="285" w:lineRule="auto"/>
        <w:rPr>
          <w:rFonts w:ascii="Arial" w:cs="Arial" w:eastAsia="Arial" w:hAnsi="Arial"/>
          <w:sz w:val="17"/>
          <w:szCs w:val="17"/>
          <w:b w:val="1"/>
          <w:bCs w:val="1"/>
          <w:color w:val="auto"/>
        </w:rPr>
      </w:pPr>
      <w:r>
        <w:rPr>
          <w:rFonts w:ascii="Arial" w:cs="Arial" w:eastAsia="Arial" w:hAnsi="Arial"/>
          <w:sz w:val="17"/>
          <w:szCs w:val="17"/>
          <w:color w:val="auto"/>
        </w:rPr>
        <w:t>The Company does not expect the adoption of recently issued accounting pronouncements to have a significant impact on the Company’s results of operations, financial position or cash flow.</w:t>
      </w:r>
    </w:p>
    <w:p>
      <w:pPr>
        <w:spacing w:after="0" w:line="185"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Concentration of Credit Risks</w:t>
      </w:r>
    </w:p>
    <w:p>
      <w:pPr>
        <w:spacing w:after="0" w:line="246" w:lineRule="exact"/>
        <w:rPr>
          <w:rFonts w:ascii="Arial" w:cs="Arial" w:eastAsia="Arial" w:hAnsi="Arial"/>
          <w:sz w:val="17"/>
          <w:szCs w:val="17"/>
          <w:b w:val="1"/>
          <w:bCs w:val="1"/>
          <w:color w:val="auto"/>
        </w:rPr>
      </w:pPr>
    </w:p>
    <w:p>
      <w:pPr>
        <w:jc w:val="both"/>
        <w:ind w:left="62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JUNE 30, 2009</w:t>
      </w:r>
    </w:p>
    <w:p>
      <w:pPr>
        <w:spacing w:after="0" w:line="228" w:lineRule="exact"/>
        <w:rPr>
          <w:sz w:val="20"/>
          <w:szCs w:val="20"/>
          <w:color w:val="auto"/>
        </w:rPr>
      </w:pPr>
    </w:p>
    <w:p>
      <w:pPr>
        <w:ind w:left="620" w:right="5060" w:hanging="209"/>
        <w:spacing w:after="0" w:line="546" w:lineRule="auto"/>
        <w:tabs>
          <w:tab w:leader="none" w:pos="6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(CONTINUED) </w:t>
      </w:r>
      <w:r>
        <w:rPr>
          <w:rFonts w:ascii="Arial" w:cs="Arial" w:eastAsia="Arial" w:hAnsi="Arial"/>
          <w:sz w:val="17"/>
          <w:szCs w:val="17"/>
          <w:u w:val="single" w:color="auto"/>
          <w:color w:val="auto"/>
        </w:rPr>
        <w:t>Earnings Per Common and Common Equivalent Share</w:t>
      </w:r>
    </w:p>
    <w:p>
      <w:pPr>
        <w:jc w:val="both"/>
        <w:ind w:left="620"/>
        <w:spacing w:after="0" w:line="262" w:lineRule="auto"/>
        <w:rPr>
          <w:rFonts w:ascii="Arial" w:cs="Arial" w:eastAsia="Arial" w:hAnsi="Arial"/>
          <w:sz w:val="17"/>
          <w:szCs w:val="17"/>
          <w:b w:val="1"/>
          <w:bCs w:val="1"/>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June 30, 2009 and June 30, 2008, respectively, since their effect is anti-dilutive.</w:t>
      </w:r>
    </w:p>
    <w:p>
      <w:pPr>
        <w:spacing w:after="0" w:line="206"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u w:val="single" w:color="auto"/>
          <w:color w:val="auto"/>
        </w:rPr>
        <w:t>Basis of Presentation</w:t>
      </w:r>
    </w:p>
    <w:p>
      <w:pPr>
        <w:spacing w:after="0" w:line="246" w:lineRule="exact"/>
        <w:rPr>
          <w:rFonts w:ascii="Arial" w:cs="Arial" w:eastAsia="Arial" w:hAnsi="Arial"/>
          <w:sz w:val="17"/>
          <w:szCs w:val="17"/>
          <w:b w:val="1"/>
          <w:bCs w:val="1"/>
          <w:color w:val="auto"/>
        </w:rPr>
      </w:pPr>
    </w:p>
    <w:p>
      <w:pPr>
        <w:jc w:val="both"/>
        <w:ind w:left="620"/>
        <w:spacing w:after="0" w:line="283" w:lineRule="auto"/>
        <w:rPr>
          <w:rFonts w:ascii="Arial" w:cs="Arial" w:eastAsia="Arial" w:hAnsi="Arial"/>
          <w:sz w:val="17"/>
          <w:szCs w:val="17"/>
          <w:b w:val="1"/>
          <w:bCs w:val="1"/>
          <w:color w:val="auto"/>
        </w:rPr>
      </w:pPr>
      <w:r>
        <w:rPr>
          <w:rFonts w:ascii="Arial" w:cs="Arial" w:eastAsia="Arial" w:hAnsi="Arial"/>
          <w:sz w:val="16"/>
          <w:szCs w:val="16"/>
          <w:color w:val="auto"/>
        </w:rPr>
        <w:t>The accompanying unaudited interim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period ended December 31, 2008.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82" w:lineRule="exact"/>
        <w:rPr>
          <w:rFonts w:ascii="Arial" w:cs="Arial" w:eastAsia="Arial" w:hAnsi="Arial"/>
          <w:sz w:val="17"/>
          <w:szCs w:val="17"/>
          <w:b w:val="1"/>
          <w:bCs w:val="1"/>
          <w:color w:val="auto"/>
        </w:rPr>
      </w:pPr>
    </w:p>
    <w:p>
      <w:pPr>
        <w:ind w:left="620" w:hanging="209"/>
        <w:spacing w:after="0"/>
        <w:tabs>
          <w:tab w:leader="none" w:pos="6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w:t>
      </w:r>
    </w:p>
    <w:p>
      <w:pPr>
        <w:spacing w:after="0" w:line="252"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The Company and the LLC owned equipment recorded at cost which consisted of the following:</w:t>
      </w:r>
    </w:p>
    <w:p>
      <w:pPr>
        <w:spacing w:after="0" w:line="240" w:lineRule="exact"/>
        <w:rPr>
          <w:sz w:val="20"/>
          <w:szCs w:val="20"/>
          <w:color w:val="auto"/>
        </w:rPr>
      </w:pPr>
    </w:p>
    <w:tbl>
      <w:tblPr>
        <w:tblLayout w:type="fixed"/>
        <w:tblInd w:w="34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w:t>
            </w:r>
          </w:p>
        </w:tc>
      </w:tr>
      <w:tr>
        <w:trPr>
          <w:trHeight w:val="232"/>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4"/>
              </w:rPr>
              <w:t>June 30, 2009</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2020" w:type="dxa"/>
            <w:vAlign w:val="bottom"/>
            <w:shd w:val="clear" w:color="auto" w:fill="CBDBD1"/>
          </w:tcPr>
          <w:p>
            <w:pPr>
              <w:spacing w:after="0"/>
              <w:rPr>
                <w:sz w:val="20"/>
                <w:szCs w:val="20"/>
                <w:color w:val="auto"/>
              </w:rPr>
            </w:pPr>
            <w:r>
              <w:rPr>
                <w:rFonts w:ascii="Arial" w:cs="Arial" w:eastAsia="Arial" w:hAnsi="Arial"/>
                <w:sz w:val="17"/>
                <w:szCs w:val="17"/>
                <w:color w:val="auto"/>
              </w:rPr>
              <w:t>Computer equipment</w:t>
            </w:r>
          </w:p>
        </w:tc>
        <w:tc>
          <w:tcPr>
            <w:tcW w:w="380" w:type="dxa"/>
            <w:vAlign w:val="bottom"/>
            <w:gridSpan w:val="2"/>
            <w:shd w:val="clear" w:color="auto" w:fill="CBDBD1"/>
          </w:tcPr>
          <w:p>
            <w:pPr>
              <w:jc w:val="right"/>
              <w:ind w:right="153"/>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12,594</w:t>
            </w:r>
          </w:p>
        </w:tc>
        <w:tc>
          <w:tcPr>
            <w:tcW w:w="120" w:type="dxa"/>
            <w:vAlign w:val="bottom"/>
            <w:shd w:val="clear" w:color="auto" w:fill="CBDBD1"/>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12,594</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7"/>
                <w:szCs w:val="17"/>
                <w:color w:val="auto"/>
              </w:rPr>
              <w:t>Furniture and fixtures</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4,294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4,294</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020" w:type="dxa"/>
            <w:vAlign w:val="bottom"/>
            <w:shd w:val="clear" w:color="auto" w:fill="CBDBD1"/>
          </w:tcPr>
          <w:p>
            <w:pPr>
              <w:ind w:left="280"/>
              <w:spacing w:after="0"/>
              <w:rPr>
                <w:sz w:val="20"/>
                <w:szCs w:val="20"/>
                <w:color w:val="auto"/>
              </w:rPr>
            </w:pPr>
            <w:r>
              <w:rPr>
                <w:rFonts w:ascii="Arial" w:cs="Arial" w:eastAsia="Arial" w:hAnsi="Arial"/>
                <w:sz w:val="17"/>
                <w:szCs w:val="17"/>
                <w:color w:val="auto"/>
              </w:rPr>
              <w:t>Subtotal</w:t>
            </w:r>
          </w:p>
        </w:tc>
        <w:tc>
          <w:tcPr>
            <w:tcW w:w="40" w:type="dxa"/>
            <w:vAlign w:val="bottom"/>
            <w:shd w:val="clear" w:color="auto" w:fill="CBDBD1"/>
          </w:tcPr>
          <w:p>
            <w:pPr>
              <w:spacing w:after="0"/>
              <w:rPr>
                <w:sz w:val="18"/>
                <w:szCs w:val="18"/>
                <w:color w:val="auto"/>
              </w:rPr>
            </w:pPr>
          </w:p>
        </w:tc>
        <w:tc>
          <w:tcPr>
            <w:tcW w:w="340" w:type="dxa"/>
            <w:vAlign w:val="bottom"/>
            <w:shd w:val="clear" w:color="auto" w:fill="CBDBD1"/>
          </w:tcPr>
          <w:p>
            <w:pPr>
              <w:spacing w:after="0"/>
              <w:rPr>
                <w:sz w:val="18"/>
                <w:szCs w:val="18"/>
                <w:color w:val="auto"/>
              </w:rPr>
            </w:pPr>
          </w:p>
        </w:tc>
        <w:tc>
          <w:tcPr>
            <w:tcW w:w="840" w:type="dxa"/>
            <w:vAlign w:val="bottom"/>
            <w:gridSpan w:val="2"/>
            <w:shd w:val="clear" w:color="auto" w:fill="CBDBD1"/>
          </w:tcPr>
          <w:p>
            <w:pPr>
              <w:jc w:val="right"/>
              <w:ind w:right="80"/>
              <w:spacing w:after="0"/>
              <w:rPr>
                <w:sz w:val="20"/>
                <w:szCs w:val="20"/>
                <w:color w:val="auto"/>
              </w:rPr>
            </w:pPr>
            <w:r>
              <w:rPr>
                <w:rFonts w:ascii="Arial" w:cs="Arial" w:eastAsia="Arial" w:hAnsi="Arial"/>
                <w:sz w:val="17"/>
                <w:szCs w:val="17"/>
                <w:color w:val="auto"/>
              </w:rPr>
              <w:t>16,888</w:t>
            </w:r>
          </w:p>
        </w:tc>
        <w:tc>
          <w:tcPr>
            <w:tcW w:w="120" w:type="dxa"/>
            <w:vAlign w:val="bottom"/>
            <w:shd w:val="clear" w:color="auto" w:fill="CBDBD1"/>
          </w:tcPr>
          <w:p>
            <w:pPr>
              <w:spacing w:after="0"/>
              <w:rPr>
                <w:sz w:val="18"/>
                <w:szCs w:val="18"/>
                <w:color w:val="auto"/>
              </w:rPr>
            </w:pPr>
          </w:p>
        </w:tc>
        <w:tc>
          <w:tcPr>
            <w:tcW w:w="118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16,888</w:t>
            </w:r>
          </w:p>
        </w:tc>
        <w:tc>
          <w:tcPr>
            <w:tcW w:w="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(2,462)</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(1,617)</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020" w:type="dxa"/>
            <w:vAlign w:val="bottom"/>
            <w:shd w:val="clear" w:color="auto" w:fill="CBDBD1"/>
          </w:tcPr>
          <w:p>
            <w:pPr>
              <w:ind w:left="280"/>
              <w:spacing w:after="0"/>
              <w:rPr>
                <w:sz w:val="20"/>
                <w:szCs w:val="20"/>
                <w:color w:val="auto"/>
              </w:rPr>
            </w:pPr>
            <w:r>
              <w:rPr>
                <w:rFonts w:ascii="Arial" w:cs="Arial" w:eastAsia="Arial" w:hAnsi="Arial"/>
                <w:sz w:val="17"/>
                <w:szCs w:val="17"/>
                <w:color w:val="auto"/>
                <w:w w:val="92"/>
              </w:rPr>
              <w:t>Property and equipment,</w:t>
            </w:r>
          </w:p>
        </w:tc>
        <w:tc>
          <w:tcPr>
            <w:tcW w:w="40" w:type="dxa"/>
            <w:vAlign w:val="bottom"/>
            <w:shd w:val="clear" w:color="auto" w:fill="CBDBD1"/>
          </w:tcPr>
          <w:p>
            <w:pPr>
              <w:spacing w:after="0"/>
              <w:rPr>
                <w:sz w:val="16"/>
                <w:szCs w:val="16"/>
                <w:color w:val="auto"/>
              </w:rPr>
            </w:pPr>
          </w:p>
        </w:tc>
        <w:tc>
          <w:tcPr>
            <w:tcW w:w="340" w:type="dxa"/>
            <w:vAlign w:val="bottom"/>
            <w:tcBorders>
              <w:top w:val="single" w:sz="8" w:color="auto"/>
            </w:tcBorders>
            <w:shd w:val="clear" w:color="auto" w:fill="CBDBD1"/>
          </w:tcPr>
          <w:p>
            <w:pPr>
              <w:spacing w:after="0"/>
              <w:rPr>
                <w:sz w:val="16"/>
                <w:szCs w:val="16"/>
                <w:color w:val="auto"/>
              </w:rPr>
            </w:pPr>
          </w:p>
        </w:tc>
        <w:tc>
          <w:tcPr>
            <w:tcW w:w="760" w:type="dxa"/>
            <w:vAlign w:val="bottom"/>
            <w:tcBorders>
              <w:top w:val="single" w:sz="8" w:color="auto"/>
            </w:tcBorders>
            <w:shd w:val="clear" w:color="auto" w:fill="CBDBD1"/>
          </w:tcPr>
          <w:p>
            <w:pPr>
              <w:spacing w:after="0"/>
              <w:rPr>
                <w:sz w:val="16"/>
                <w:szCs w:val="16"/>
                <w:color w:val="auto"/>
              </w:rPr>
            </w:pPr>
          </w:p>
        </w:tc>
        <w:tc>
          <w:tcPr>
            <w:tcW w:w="80" w:type="dxa"/>
            <w:vAlign w:val="bottom"/>
            <w:shd w:val="clear" w:color="auto" w:fill="CBDBD1"/>
          </w:tcPr>
          <w:p>
            <w:pPr>
              <w:spacing w:after="0"/>
              <w:rPr>
                <w:sz w:val="16"/>
                <w:szCs w:val="16"/>
                <w:color w:val="auto"/>
              </w:rPr>
            </w:pPr>
          </w:p>
        </w:tc>
        <w:tc>
          <w:tcPr>
            <w:tcW w:w="120" w:type="dxa"/>
            <w:vAlign w:val="bottom"/>
            <w:tcBorders>
              <w:top w:val="single" w:sz="8" w:color="auto"/>
            </w:tcBorders>
            <w:shd w:val="clear" w:color="auto" w:fill="CBDBD1"/>
          </w:tcPr>
          <w:p>
            <w:pPr>
              <w:spacing w:after="0"/>
              <w:rPr>
                <w:sz w:val="16"/>
                <w:szCs w:val="16"/>
                <w:color w:val="auto"/>
              </w:rPr>
            </w:pPr>
          </w:p>
        </w:tc>
        <w:tc>
          <w:tcPr>
            <w:tcW w:w="1180" w:type="dxa"/>
            <w:vAlign w:val="bottom"/>
            <w:tcBorders>
              <w:top w:val="single" w:sz="8" w:color="auto"/>
            </w:tcBorders>
            <w:shd w:val="clear" w:color="auto" w:fill="CBDBD1"/>
          </w:tcPr>
          <w:p>
            <w:pPr>
              <w:spacing w:after="0"/>
              <w:rPr>
                <w:sz w:val="16"/>
                <w:szCs w:val="16"/>
                <w:color w:val="auto"/>
              </w:rPr>
            </w:pPr>
          </w:p>
        </w:tc>
        <w:tc>
          <w:tcPr>
            <w:tcW w:w="20" w:type="dxa"/>
            <w:vAlign w:val="bottom"/>
          </w:tcPr>
          <w:p>
            <w:pPr>
              <w:spacing w:after="0"/>
              <w:rPr>
                <w:sz w:val="16"/>
                <w:szCs w:val="16"/>
                <w:color w:val="auto"/>
              </w:rPr>
            </w:pPr>
          </w:p>
        </w:tc>
      </w:tr>
      <w:tr>
        <w:trPr>
          <w:trHeight w:val="260"/>
        </w:trPr>
        <w:tc>
          <w:tcPr>
            <w:tcW w:w="20" w:type="dxa"/>
            <w:vAlign w:val="bottom"/>
          </w:tcPr>
          <w:p>
            <w:pPr>
              <w:spacing w:after="0"/>
              <w:rPr>
                <w:sz w:val="22"/>
                <w:szCs w:val="22"/>
                <w:color w:val="auto"/>
              </w:rPr>
            </w:pPr>
          </w:p>
        </w:tc>
        <w:tc>
          <w:tcPr>
            <w:tcW w:w="2020" w:type="dxa"/>
            <w:vAlign w:val="bottom"/>
            <w:tcBorders>
              <w:bottom w:val="single" w:sz="8" w:color="CBDBD1"/>
            </w:tcBorders>
            <w:shd w:val="clear" w:color="auto" w:fill="CBDBD1"/>
          </w:tcPr>
          <w:p>
            <w:pPr>
              <w:ind w:left="280"/>
              <w:spacing w:after="0"/>
              <w:rPr>
                <w:sz w:val="20"/>
                <w:szCs w:val="20"/>
                <w:color w:val="auto"/>
              </w:rPr>
            </w:pPr>
            <w:r>
              <w:rPr>
                <w:rFonts w:ascii="Arial" w:cs="Arial" w:eastAsia="Arial" w:hAnsi="Arial"/>
                <w:sz w:val="17"/>
                <w:szCs w:val="17"/>
                <w:color w:val="auto"/>
              </w:rPr>
              <w:t>net</w:t>
            </w:r>
          </w:p>
        </w:tc>
        <w:tc>
          <w:tcPr>
            <w:tcW w:w="40" w:type="dxa"/>
            <w:vAlign w:val="bottom"/>
            <w:tcBorders>
              <w:bottom w:val="single" w:sz="8" w:color="CBDBD1"/>
            </w:tcBorders>
            <w:shd w:val="clear" w:color="auto" w:fill="CBDBD1"/>
          </w:tcPr>
          <w:p>
            <w:pPr>
              <w:spacing w:after="0"/>
              <w:rPr>
                <w:sz w:val="22"/>
                <w:szCs w:val="22"/>
                <w:color w:val="auto"/>
              </w:rPr>
            </w:pPr>
          </w:p>
        </w:tc>
        <w:tc>
          <w:tcPr>
            <w:tcW w:w="340" w:type="dxa"/>
            <w:vAlign w:val="bottom"/>
            <w:tcBorders>
              <w:bottom w:val="single" w:sz="8" w:color="auto"/>
            </w:tcBorders>
            <w:shd w:val="clear" w:color="auto" w:fill="CBDBD1"/>
          </w:tcPr>
          <w:p>
            <w:pPr>
              <w:jc w:val="right"/>
              <w:ind w:right="15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7"/>
                <w:szCs w:val="17"/>
                <w:color w:val="auto"/>
              </w:rPr>
              <w:t>14,426</w:t>
            </w:r>
          </w:p>
        </w:tc>
        <w:tc>
          <w:tcPr>
            <w:tcW w:w="80" w:type="dxa"/>
            <w:vAlign w:val="bottom"/>
            <w:tcBorders>
              <w:bottom w:val="single" w:sz="8" w:color="CBDBD1"/>
            </w:tcBorders>
            <w:shd w:val="clear" w:color="auto" w:fill="CBDBD1"/>
          </w:tcPr>
          <w:p>
            <w:pPr>
              <w:spacing w:after="0"/>
              <w:rPr>
                <w:sz w:val="22"/>
                <w:szCs w:val="22"/>
                <w:color w:val="auto"/>
              </w:rPr>
            </w:pPr>
          </w:p>
        </w:tc>
        <w:tc>
          <w:tcPr>
            <w:tcW w:w="12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7"/>
                <w:szCs w:val="17"/>
                <w:color w:val="auto"/>
              </w:rPr>
              <w:t>15,271</w:t>
            </w:r>
          </w:p>
        </w:tc>
        <w:tc>
          <w:tcPr>
            <w:tcW w:w="20" w:type="dxa"/>
            <w:vAlign w:val="bottom"/>
          </w:tcPr>
          <w:p>
            <w:pPr>
              <w:spacing w:after="0"/>
              <w:rPr>
                <w:sz w:val="22"/>
                <w:szCs w:val="22"/>
                <w:color w:val="auto"/>
              </w:rPr>
            </w:pPr>
          </w:p>
        </w:tc>
      </w:tr>
    </w:tbl>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Depreciation expense was $845 and $1,323 for the six months ended June 30, 2009 and the year ended December 31, 2008,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JUNE 30, 2009</w:t>
      </w:r>
    </w:p>
    <w:p>
      <w:pPr>
        <w:spacing w:after="0" w:line="228" w:lineRule="exact"/>
        <w:rPr>
          <w:sz w:val="20"/>
          <w:szCs w:val="20"/>
          <w:color w:val="auto"/>
        </w:rPr>
      </w:pPr>
    </w:p>
    <w:p>
      <w:pPr>
        <w:ind w:left="620" w:hanging="209"/>
        <w:spacing w:after="0"/>
        <w:tabs>
          <w:tab w:leader="none" w:pos="6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WEBSITE DEVELOPMENT COSTS</w:t>
      </w:r>
    </w:p>
    <w:p>
      <w:pPr>
        <w:spacing w:after="0" w:line="252"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The Company has capitalized costs in developing their website, which consisted of the following:</w:t>
      </w:r>
    </w:p>
    <w:p>
      <w:pPr>
        <w:spacing w:after="0" w:line="240" w:lineRule="exact"/>
        <w:rPr>
          <w:sz w:val="20"/>
          <w:szCs w:val="20"/>
          <w:color w:val="auto"/>
        </w:rPr>
      </w:pPr>
    </w:p>
    <w:tbl>
      <w:tblPr>
        <w:tblLayout w:type="fixed"/>
        <w:tblInd w:w="34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w:t>
            </w:r>
          </w:p>
        </w:tc>
      </w:tr>
      <w:tr>
        <w:trPr>
          <w:trHeight w:val="232"/>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7"/>
              </w:rPr>
              <w:t>June 30, 2009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2008</w:t>
            </w: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19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7"/>
                <w:szCs w:val="17"/>
                <w:color w:val="auto"/>
              </w:rPr>
              <w:t>Website costs</w:t>
            </w: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154,133</w:t>
            </w:r>
          </w:p>
        </w:tc>
        <w:tc>
          <w:tcPr>
            <w:tcW w:w="120" w:type="dxa"/>
            <w:vAlign w:val="bottom"/>
            <w:shd w:val="clear" w:color="auto" w:fill="CBDBD1"/>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154,133</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color w:val="auto"/>
                <w:w w:val="97"/>
              </w:rPr>
              <w:t>Accumulated amortization</w:t>
            </w:r>
          </w:p>
        </w:tc>
        <w:tc>
          <w:tcPr>
            <w:tcW w:w="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(48,810)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(33,396)</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1940" w:type="dxa"/>
            <w:vAlign w:val="bottom"/>
            <w:tcBorders>
              <w:right w:val="single" w:sz="8" w:color="CBDBD1"/>
            </w:tcBorders>
            <w:shd w:val="clear" w:color="auto" w:fill="CBDBD1"/>
          </w:tcPr>
          <w:p>
            <w:pPr>
              <w:ind w:left="140"/>
              <w:spacing w:after="0"/>
              <w:rPr>
                <w:sz w:val="20"/>
                <w:szCs w:val="20"/>
                <w:color w:val="auto"/>
              </w:rPr>
            </w:pPr>
            <w:r>
              <w:rPr>
                <w:rFonts w:ascii="Arial" w:cs="Arial" w:eastAsia="Arial" w:hAnsi="Arial"/>
                <w:sz w:val="17"/>
                <w:szCs w:val="17"/>
                <w:color w:val="auto"/>
              </w:rPr>
              <w:t>Website development</w:t>
            </w:r>
          </w:p>
        </w:tc>
        <w:tc>
          <w:tcPr>
            <w:tcW w:w="80" w:type="dxa"/>
            <w:vAlign w:val="bottom"/>
            <w:shd w:val="clear" w:color="auto" w:fill="CBDBD1"/>
          </w:tcPr>
          <w:p>
            <w:pPr>
              <w:spacing w:after="0"/>
              <w:rPr>
                <w:sz w:val="16"/>
                <w:szCs w:val="16"/>
                <w:color w:val="auto"/>
              </w:rPr>
            </w:pPr>
          </w:p>
        </w:tc>
        <w:tc>
          <w:tcPr>
            <w:tcW w:w="112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20" w:type="dxa"/>
            <w:vAlign w:val="bottom"/>
            <w:shd w:val="clear" w:color="auto" w:fill="CBDBD1"/>
          </w:tcPr>
          <w:p>
            <w:pPr>
              <w:spacing w:after="0"/>
              <w:rPr>
                <w:sz w:val="16"/>
                <w:szCs w:val="16"/>
                <w:color w:val="auto"/>
              </w:rPr>
            </w:pPr>
          </w:p>
        </w:tc>
        <w:tc>
          <w:tcPr>
            <w:tcW w:w="1180" w:type="dxa"/>
            <w:vAlign w:val="bottom"/>
            <w:shd w:val="clear" w:color="auto" w:fill="CBDBD1"/>
          </w:tcPr>
          <w:p>
            <w:pPr>
              <w:spacing w:after="0"/>
              <w:rPr>
                <w:sz w:val="16"/>
                <w:szCs w:val="16"/>
                <w:color w:val="auto"/>
              </w:rPr>
            </w:pPr>
          </w:p>
        </w:tc>
        <w:tc>
          <w:tcPr>
            <w:tcW w:w="20" w:type="dxa"/>
            <w:vAlign w:val="bottom"/>
          </w:tcPr>
          <w:p>
            <w:pPr>
              <w:spacing w:after="0"/>
              <w:rPr>
                <w:sz w:val="16"/>
                <w:szCs w:val="16"/>
                <w:color w:val="auto"/>
              </w:rPr>
            </w:pPr>
          </w:p>
        </w:tc>
      </w:tr>
      <w:tr>
        <w:trPr>
          <w:trHeight w:val="240"/>
        </w:trPr>
        <w:tc>
          <w:tcPr>
            <w:tcW w:w="20" w:type="dxa"/>
            <w:vAlign w:val="bottom"/>
          </w:tcPr>
          <w:p>
            <w:pPr>
              <w:spacing w:after="0"/>
              <w:rPr>
                <w:sz w:val="20"/>
                <w:szCs w:val="20"/>
                <w:color w:val="auto"/>
              </w:rPr>
            </w:pPr>
          </w:p>
        </w:tc>
        <w:tc>
          <w:tcPr>
            <w:tcW w:w="1940" w:type="dxa"/>
            <w:vAlign w:val="bottom"/>
            <w:tcBorders>
              <w:right w:val="single" w:sz="8" w:color="CBDBD1"/>
            </w:tcBorders>
            <w:shd w:val="clear" w:color="auto" w:fill="CBDBD1"/>
          </w:tcPr>
          <w:p>
            <w:pPr>
              <w:spacing w:after="0"/>
              <w:rPr>
                <w:sz w:val="20"/>
                <w:szCs w:val="20"/>
                <w:color w:val="auto"/>
              </w:rPr>
            </w:pPr>
            <w:r>
              <w:rPr>
                <w:rFonts w:ascii="Arial" w:cs="Arial" w:eastAsia="Arial" w:hAnsi="Arial"/>
                <w:sz w:val="17"/>
                <w:szCs w:val="17"/>
                <w:color w:val="auto"/>
              </w:rPr>
              <w:t>costs, net</w:t>
            </w:r>
          </w:p>
        </w:tc>
        <w:tc>
          <w:tcPr>
            <w:tcW w:w="8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105,323</w:t>
            </w:r>
          </w:p>
        </w:tc>
        <w:tc>
          <w:tcPr>
            <w:tcW w:w="120" w:type="dxa"/>
            <w:vAlign w:val="bottom"/>
            <w:shd w:val="clear" w:color="auto" w:fill="CBDBD1"/>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120,737</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620"/>
        <w:spacing w:after="0" w:line="285" w:lineRule="auto"/>
        <w:rPr>
          <w:sz w:val="20"/>
          <w:szCs w:val="20"/>
          <w:color w:val="auto"/>
        </w:rPr>
      </w:pPr>
      <w:r>
        <w:rPr>
          <w:rFonts w:ascii="Arial" w:cs="Arial" w:eastAsia="Arial" w:hAnsi="Arial"/>
          <w:sz w:val="17"/>
          <w:szCs w:val="17"/>
          <w:color w:val="auto"/>
        </w:rPr>
        <w:t>The Company began amortizing the website costs, using the straight-line method over the estimated useful life of five years, once it was put into service in December 2007.</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Amortization expense was $15,414 and $30,827 for the six months ended June 30, 2009 and the year ended December 31, 2008, respectively.</w:t>
      </w:r>
    </w:p>
    <w:p>
      <w:pPr>
        <w:spacing w:after="0" w:line="240" w:lineRule="exact"/>
        <w:rPr>
          <w:sz w:val="20"/>
          <w:szCs w:val="20"/>
          <w:color w:val="auto"/>
        </w:rPr>
      </w:pPr>
    </w:p>
    <w:tbl>
      <w:tblPr>
        <w:tblLayout w:type="fixed"/>
        <w:tblInd w:w="420" w:type="dxa"/>
        <w:tblCellMar>
          <w:top w:w="0" w:type="dxa"/>
          <w:left w:w="0" w:type="dxa"/>
          <w:bottom w:w="0" w:type="dxa"/>
          <w:right w:w="0" w:type="dxa"/>
        </w:tblCellMar>
      </w:tblPr>
      <w:tr>
        <w:trPr>
          <w:trHeight w:val="226"/>
        </w:trPr>
        <w:tc>
          <w:tcPr>
            <w:tcW w:w="4900" w:type="dxa"/>
            <w:vAlign w:val="bottom"/>
            <w:gridSpan w:val="2"/>
          </w:tcPr>
          <w:p>
            <w:pPr>
              <w:spacing w:after="0"/>
              <w:rPr>
                <w:sz w:val="20"/>
                <w:szCs w:val="20"/>
                <w:color w:val="auto"/>
              </w:rPr>
            </w:pPr>
            <w:r>
              <w:rPr>
                <w:rFonts w:ascii="Arial" w:cs="Arial" w:eastAsia="Arial" w:hAnsi="Arial"/>
                <w:sz w:val="17"/>
                <w:szCs w:val="17"/>
                <w:b w:val="1"/>
                <w:bCs w:val="1"/>
                <w:color w:val="auto"/>
              </w:rPr>
              <w:t>5. ACCRUED EXPENSES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2"/>
        </w:trPr>
        <w:tc>
          <w:tcPr>
            <w:tcW w:w="4900" w:type="dxa"/>
            <w:vAlign w:val="bottom"/>
            <w:gridSpan w:val="2"/>
          </w:tcPr>
          <w:p>
            <w:pPr>
              <w:ind w:left="200"/>
              <w:spacing w:after="0"/>
              <w:rPr>
                <w:sz w:val="20"/>
                <w:szCs w:val="20"/>
                <w:color w:val="auto"/>
              </w:rPr>
            </w:pPr>
            <w:r>
              <w:rPr>
                <w:rFonts w:ascii="Arial" w:cs="Arial" w:eastAsia="Arial" w:hAnsi="Arial"/>
                <w:sz w:val="17"/>
                <w:szCs w:val="17"/>
                <w:color w:val="auto"/>
              </w:rPr>
              <w:t>Accrued expenses consisted of the following:</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3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0"/>
              </w:rPr>
              <w:t>December 31,</w:t>
            </w:r>
          </w:p>
        </w:tc>
      </w:tr>
      <w:tr>
        <w:trPr>
          <w:trHeight w:val="232"/>
        </w:trPr>
        <w:tc>
          <w:tcPr>
            <w:tcW w:w="3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2"/>
              </w:rPr>
              <w:t>June 30, 2009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9"/>
              </w:rPr>
              <w:t>2008</w:t>
            </w:r>
          </w:p>
        </w:tc>
        <w:tc>
          <w:tcPr>
            <w:tcW w:w="20" w:type="dxa"/>
            <w:vAlign w:val="bottom"/>
          </w:tcPr>
          <w:p>
            <w:pPr>
              <w:spacing w:after="0"/>
              <w:rPr>
                <w:sz w:val="20"/>
                <w:szCs w:val="20"/>
                <w:color w:val="auto"/>
              </w:rPr>
            </w:pPr>
          </w:p>
        </w:tc>
      </w:tr>
      <w:tr>
        <w:trPr>
          <w:trHeight w:val="208"/>
        </w:trPr>
        <w:tc>
          <w:tcPr>
            <w:tcW w:w="3020" w:type="dxa"/>
            <w:vAlign w:val="bottom"/>
          </w:tcPr>
          <w:p>
            <w:pPr>
              <w:spacing w:after="0"/>
              <w:rPr>
                <w:sz w:val="18"/>
                <w:szCs w:val="18"/>
                <w:color w:val="auto"/>
              </w:rPr>
            </w:pPr>
          </w:p>
        </w:tc>
        <w:tc>
          <w:tcPr>
            <w:tcW w:w="1880" w:type="dxa"/>
            <w:vAlign w:val="bottom"/>
            <w:shd w:val="clear" w:color="auto" w:fill="CBDBD1"/>
          </w:tcPr>
          <w:p>
            <w:pPr>
              <w:spacing w:after="0"/>
              <w:rPr>
                <w:sz w:val="20"/>
                <w:szCs w:val="20"/>
                <w:color w:val="auto"/>
              </w:rPr>
            </w:pPr>
            <w:r>
              <w:rPr>
                <w:rFonts w:ascii="Arial" w:cs="Arial" w:eastAsia="Arial" w:hAnsi="Arial"/>
                <w:sz w:val="17"/>
                <w:szCs w:val="17"/>
                <w:color w:val="auto"/>
              </w:rPr>
              <w:t>Accrued interest</w:t>
            </w:r>
          </w:p>
        </w:tc>
        <w:tc>
          <w:tcPr>
            <w:tcW w:w="500" w:type="dxa"/>
            <w:vAlign w:val="bottom"/>
            <w:gridSpan w:val="2"/>
            <w:shd w:val="clear" w:color="auto" w:fill="CBDBD1"/>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BDBD1"/>
            </w:tcBorders>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-0-</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1,683</w:t>
            </w:r>
          </w:p>
        </w:tc>
        <w:tc>
          <w:tcPr>
            <w:tcW w:w="20" w:type="dxa"/>
            <w:vAlign w:val="bottom"/>
          </w:tcPr>
          <w:p>
            <w:pPr>
              <w:spacing w:after="0"/>
              <w:rPr>
                <w:sz w:val="18"/>
                <w:szCs w:val="18"/>
                <w:color w:val="auto"/>
              </w:rPr>
            </w:pPr>
          </w:p>
        </w:tc>
      </w:tr>
      <w:tr>
        <w:trPr>
          <w:trHeight w:val="208"/>
        </w:trPr>
        <w:tc>
          <w:tcPr>
            <w:tcW w:w="30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Accrued expenses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5,256</w:t>
            </w:r>
          </w:p>
        </w:tc>
        <w:tc>
          <w:tcPr>
            <w:tcW w:w="20" w:type="dxa"/>
            <w:vAlign w:val="bottom"/>
          </w:tcPr>
          <w:p>
            <w:pPr>
              <w:spacing w:after="0"/>
              <w:rPr>
                <w:sz w:val="18"/>
                <w:szCs w:val="18"/>
                <w:color w:val="auto"/>
              </w:rPr>
            </w:pPr>
          </w:p>
        </w:tc>
      </w:tr>
      <w:tr>
        <w:trPr>
          <w:trHeight w:val="208"/>
        </w:trPr>
        <w:tc>
          <w:tcPr>
            <w:tcW w:w="3020" w:type="dxa"/>
            <w:vAlign w:val="bottom"/>
          </w:tcPr>
          <w:p>
            <w:pPr>
              <w:spacing w:after="0"/>
              <w:rPr>
                <w:sz w:val="18"/>
                <w:szCs w:val="18"/>
                <w:color w:val="auto"/>
              </w:rPr>
            </w:pPr>
          </w:p>
        </w:tc>
        <w:tc>
          <w:tcPr>
            <w:tcW w:w="1880" w:type="dxa"/>
            <w:vAlign w:val="bottom"/>
            <w:shd w:val="clear" w:color="auto" w:fill="CBDBD1"/>
          </w:tcPr>
          <w:p>
            <w:pPr>
              <w:spacing w:after="0"/>
              <w:rPr>
                <w:sz w:val="20"/>
                <w:szCs w:val="20"/>
                <w:color w:val="auto"/>
              </w:rPr>
            </w:pPr>
            <w:r>
              <w:rPr>
                <w:rFonts w:ascii="Arial" w:cs="Arial" w:eastAsia="Arial" w:hAnsi="Arial"/>
                <w:sz w:val="17"/>
                <w:szCs w:val="17"/>
                <w:color w:val="auto"/>
              </w:rPr>
              <w:t>Accrued salaries</w:t>
            </w:r>
          </w:p>
        </w:tc>
        <w:tc>
          <w:tcPr>
            <w:tcW w:w="160" w:type="dxa"/>
            <w:vAlign w:val="bottom"/>
            <w:tcBorders>
              <w:right w:val="single" w:sz="8" w:color="CBDBD1"/>
            </w:tcBorders>
            <w:shd w:val="clear" w:color="auto" w:fill="CBDBD1"/>
          </w:tcPr>
          <w:p>
            <w:pPr>
              <w:spacing w:after="0"/>
              <w:rPr>
                <w:sz w:val="18"/>
                <w:szCs w:val="18"/>
                <w:color w:val="auto"/>
              </w:rPr>
            </w:pPr>
          </w:p>
        </w:tc>
        <w:tc>
          <w:tcPr>
            <w:tcW w:w="340" w:type="dxa"/>
            <w:vAlign w:val="bottom"/>
            <w:shd w:val="clear" w:color="auto" w:fill="CBDBD1"/>
          </w:tcPr>
          <w:p>
            <w:pPr>
              <w:spacing w:after="0"/>
              <w:rPr>
                <w:sz w:val="18"/>
                <w:szCs w:val="18"/>
                <w:color w:val="auto"/>
              </w:rPr>
            </w:pPr>
          </w:p>
        </w:tc>
        <w:tc>
          <w:tcPr>
            <w:tcW w:w="840" w:type="dxa"/>
            <w:vAlign w:val="bottom"/>
            <w:tcBorders>
              <w:right w:val="single" w:sz="8" w:color="CBDBD1"/>
            </w:tcBorders>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20,600</w:t>
            </w:r>
          </w:p>
        </w:tc>
        <w:tc>
          <w:tcPr>
            <w:tcW w:w="120" w:type="dxa"/>
            <w:vAlign w:val="bottom"/>
            <w:shd w:val="clear" w:color="auto" w:fill="CBDBD1"/>
          </w:tcPr>
          <w:p>
            <w:pPr>
              <w:spacing w:after="0"/>
              <w:rPr>
                <w:sz w:val="18"/>
                <w:szCs w:val="18"/>
                <w:color w:val="auto"/>
              </w:rPr>
            </w:pP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r>
      <w:tr>
        <w:trPr>
          <w:trHeight w:val="214"/>
        </w:trPr>
        <w:tc>
          <w:tcPr>
            <w:tcW w:w="30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Accrued audit fees</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w:t>
            </w:r>
          </w:p>
        </w:tc>
        <w:tc>
          <w:tcPr>
            <w:tcW w:w="20" w:type="dxa"/>
            <w:vAlign w:val="bottom"/>
          </w:tcPr>
          <w:p>
            <w:pPr>
              <w:spacing w:after="0"/>
              <w:rPr>
                <w:sz w:val="18"/>
                <w:szCs w:val="18"/>
                <w:color w:val="auto"/>
              </w:rPr>
            </w:pPr>
          </w:p>
        </w:tc>
      </w:tr>
      <w:tr>
        <w:trPr>
          <w:trHeight w:val="228"/>
        </w:trPr>
        <w:tc>
          <w:tcPr>
            <w:tcW w:w="3020" w:type="dxa"/>
            <w:vAlign w:val="bottom"/>
          </w:tcPr>
          <w:p>
            <w:pPr>
              <w:spacing w:after="0"/>
              <w:rPr>
                <w:sz w:val="19"/>
                <w:szCs w:val="19"/>
                <w:color w:val="auto"/>
              </w:rPr>
            </w:pPr>
          </w:p>
        </w:tc>
        <w:tc>
          <w:tcPr>
            <w:tcW w:w="1880" w:type="dxa"/>
            <w:vAlign w:val="bottom"/>
            <w:shd w:val="clear" w:color="auto" w:fill="CBDBD1"/>
          </w:tcPr>
          <w:p>
            <w:pPr>
              <w:ind w:left="160"/>
              <w:spacing w:after="0"/>
              <w:rPr>
                <w:sz w:val="20"/>
                <w:szCs w:val="20"/>
                <w:color w:val="auto"/>
              </w:rPr>
            </w:pPr>
            <w:r>
              <w:rPr>
                <w:rFonts w:ascii="Arial" w:cs="Arial" w:eastAsia="Arial" w:hAnsi="Arial"/>
                <w:sz w:val="17"/>
                <w:szCs w:val="17"/>
                <w:color w:val="auto"/>
                <w:w w:val="94"/>
              </w:rPr>
              <w:t>Total accrued expenses</w:t>
            </w:r>
          </w:p>
        </w:tc>
        <w:tc>
          <w:tcPr>
            <w:tcW w:w="500" w:type="dxa"/>
            <w:vAlign w:val="bottom"/>
            <w:gridSpan w:val="2"/>
            <w:shd w:val="clear" w:color="auto" w:fill="CBDBD1"/>
          </w:tcPr>
          <w:p>
            <w:pPr>
              <w:jc w:val="right"/>
              <w:ind w:right="213"/>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BDBD1"/>
            </w:tcBorders>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20,600</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16,939</w:t>
            </w:r>
          </w:p>
        </w:tc>
        <w:tc>
          <w:tcPr>
            <w:tcW w:w="2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88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right w:val="single" w:sz="8" w:color="auto"/>
            </w:tcBorders>
            <w:shd w:val="clear" w:color="auto" w:fill="CBDBD1"/>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4"/>
        </w:trPr>
        <w:tc>
          <w:tcPr>
            <w:tcW w:w="4900" w:type="dxa"/>
            <w:vAlign w:val="bottom"/>
            <w:gridSpan w:val="2"/>
          </w:tcPr>
          <w:p>
            <w:pPr>
              <w:spacing w:after="0"/>
              <w:rPr>
                <w:sz w:val="20"/>
                <w:szCs w:val="20"/>
                <w:color w:val="auto"/>
              </w:rPr>
            </w:pPr>
            <w:r>
              <w:rPr>
                <w:rFonts w:ascii="Arial" w:cs="Arial" w:eastAsia="Arial" w:hAnsi="Arial"/>
                <w:sz w:val="17"/>
                <w:szCs w:val="17"/>
                <w:b w:val="1"/>
                <w:bCs w:val="1"/>
                <w:color w:val="auto"/>
              </w:rPr>
              <w:t>6. NOTES PAYABLE - RELATED PARTY</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2"/>
        </w:trPr>
        <w:tc>
          <w:tcPr>
            <w:tcW w:w="4900" w:type="dxa"/>
            <w:vAlign w:val="bottom"/>
            <w:gridSpan w:val="2"/>
          </w:tcPr>
          <w:p>
            <w:pPr>
              <w:ind w:left="200"/>
              <w:spacing w:after="0"/>
              <w:rPr>
                <w:sz w:val="20"/>
                <w:szCs w:val="20"/>
                <w:color w:val="auto"/>
              </w:rPr>
            </w:pPr>
            <w:r>
              <w:rPr>
                <w:rFonts w:ascii="Arial" w:cs="Arial" w:eastAsia="Arial" w:hAnsi="Arial"/>
                <w:sz w:val="17"/>
                <w:szCs w:val="17"/>
                <w:color w:val="auto"/>
              </w:rPr>
              <w:t>Notes payable - related party consisted of the following:</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3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0"/>
              </w:rPr>
              <w:t>December 31,</w:t>
            </w:r>
          </w:p>
        </w:tc>
      </w:tr>
      <w:tr>
        <w:trPr>
          <w:trHeight w:val="232"/>
        </w:trPr>
        <w:tc>
          <w:tcPr>
            <w:tcW w:w="30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2"/>
              </w:rPr>
              <w:t>June 30, 2009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95"/>
              </w:rPr>
              <w:t>2008</w:t>
            </w:r>
          </w:p>
        </w:tc>
        <w:tc>
          <w:tcPr>
            <w:tcW w:w="20" w:type="dxa"/>
            <w:vAlign w:val="bottom"/>
          </w:tcPr>
          <w:p>
            <w:pPr>
              <w:spacing w:after="0"/>
              <w:rPr>
                <w:sz w:val="20"/>
                <w:szCs w:val="20"/>
                <w:color w:val="auto"/>
              </w:rPr>
            </w:pPr>
          </w:p>
        </w:tc>
      </w:tr>
      <w:tr>
        <w:trPr>
          <w:trHeight w:val="208"/>
        </w:trPr>
        <w:tc>
          <w:tcPr>
            <w:tcW w:w="3020" w:type="dxa"/>
            <w:vAlign w:val="bottom"/>
          </w:tcPr>
          <w:p>
            <w:pPr>
              <w:spacing w:after="0"/>
              <w:rPr>
                <w:sz w:val="18"/>
                <w:szCs w:val="18"/>
                <w:color w:val="auto"/>
              </w:rPr>
            </w:pPr>
          </w:p>
        </w:tc>
        <w:tc>
          <w:tcPr>
            <w:tcW w:w="2380" w:type="dxa"/>
            <w:vAlign w:val="bottom"/>
            <w:gridSpan w:val="3"/>
            <w:shd w:val="clear" w:color="auto" w:fill="CBDBD1"/>
          </w:tcPr>
          <w:p>
            <w:pPr>
              <w:spacing w:after="0"/>
              <w:rPr>
                <w:sz w:val="20"/>
                <w:szCs w:val="20"/>
                <w:color w:val="auto"/>
              </w:rPr>
            </w:pPr>
            <w:r>
              <w:rPr>
                <w:rFonts w:ascii="Arial" w:cs="Arial" w:eastAsia="Arial" w:hAnsi="Arial"/>
                <w:sz w:val="17"/>
                <w:szCs w:val="17"/>
                <w:color w:val="auto"/>
              </w:rPr>
              <w:t>Note payable - David Harrell $</w:t>
            </w:r>
          </w:p>
        </w:tc>
        <w:tc>
          <w:tcPr>
            <w:tcW w:w="7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-0-</w:t>
            </w:r>
          </w:p>
        </w:tc>
        <w:tc>
          <w:tcPr>
            <w:tcW w:w="100" w:type="dxa"/>
            <w:vAlign w:val="bottom"/>
            <w:tcBorders>
              <w:right w:val="single" w:sz="8" w:color="CBDBD1"/>
            </w:tcBorders>
            <w:shd w:val="clear" w:color="auto" w:fill="CBDBD1"/>
          </w:tcPr>
          <w:p>
            <w:pPr>
              <w:spacing w:after="0"/>
              <w:rPr>
                <w:sz w:val="18"/>
                <w:szCs w:val="18"/>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4,000</w:t>
            </w:r>
          </w:p>
        </w:tc>
        <w:tc>
          <w:tcPr>
            <w:tcW w:w="20" w:type="dxa"/>
            <w:vAlign w:val="bottom"/>
          </w:tcPr>
          <w:p>
            <w:pPr>
              <w:spacing w:after="0"/>
              <w:rPr>
                <w:sz w:val="18"/>
                <w:szCs w:val="18"/>
                <w:color w:val="auto"/>
              </w:rPr>
            </w:pPr>
          </w:p>
        </w:tc>
      </w:tr>
      <w:tr>
        <w:trPr>
          <w:trHeight w:val="208"/>
        </w:trPr>
        <w:tc>
          <w:tcPr>
            <w:tcW w:w="3020" w:type="dxa"/>
            <w:vAlign w:val="bottom"/>
          </w:tcPr>
          <w:p>
            <w:pPr>
              <w:spacing w:after="0"/>
              <w:rPr>
                <w:sz w:val="18"/>
                <w:szCs w:val="18"/>
                <w:color w:val="auto"/>
              </w:rPr>
            </w:pPr>
          </w:p>
        </w:tc>
        <w:tc>
          <w:tcPr>
            <w:tcW w:w="1880" w:type="dxa"/>
            <w:vAlign w:val="bottom"/>
          </w:tcPr>
          <w:p>
            <w:pPr>
              <w:ind w:left="160"/>
              <w:spacing w:after="0"/>
              <w:rPr>
                <w:sz w:val="20"/>
                <w:szCs w:val="20"/>
                <w:color w:val="auto"/>
              </w:rPr>
            </w:pPr>
            <w:r>
              <w:rPr>
                <w:rFonts w:ascii="Arial" w:cs="Arial" w:eastAsia="Arial" w:hAnsi="Arial"/>
                <w:sz w:val="17"/>
                <w:szCs w:val="17"/>
                <w:color w:val="auto"/>
              </w:rPr>
              <w:t>Less: current portion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(4,000)</w:t>
            </w:r>
          </w:p>
        </w:tc>
        <w:tc>
          <w:tcPr>
            <w:tcW w:w="20" w:type="dxa"/>
            <w:vAlign w:val="bottom"/>
          </w:tcPr>
          <w:p>
            <w:pPr>
              <w:spacing w:after="0"/>
              <w:rPr>
                <w:sz w:val="18"/>
                <w:szCs w:val="18"/>
                <w:color w:val="auto"/>
              </w:rPr>
            </w:pPr>
          </w:p>
        </w:tc>
      </w:tr>
      <w:tr>
        <w:trPr>
          <w:trHeight w:val="228"/>
        </w:trPr>
        <w:tc>
          <w:tcPr>
            <w:tcW w:w="3020" w:type="dxa"/>
            <w:vAlign w:val="bottom"/>
          </w:tcPr>
          <w:p>
            <w:pPr>
              <w:spacing w:after="0"/>
              <w:rPr>
                <w:sz w:val="19"/>
                <w:szCs w:val="19"/>
                <w:color w:val="auto"/>
              </w:rPr>
            </w:pPr>
          </w:p>
        </w:tc>
        <w:tc>
          <w:tcPr>
            <w:tcW w:w="1880" w:type="dxa"/>
            <w:vAlign w:val="bottom"/>
            <w:shd w:val="clear" w:color="auto" w:fill="CBDBD1"/>
          </w:tcPr>
          <w:p>
            <w:pPr>
              <w:ind w:left="160"/>
              <w:spacing w:after="0"/>
              <w:rPr>
                <w:sz w:val="20"/>
                <w:szCs w:val="20"/>
                <w:color w:val="auto"/>
              </w:rPr>
            </w:pPr>
            <w:r>
              <w:rPr>
                <w:rFonts w:ascii="Arial" w:cs="Arial" w:eastAsia="Arial" w:hAnsi="Arial"/>
                <w:sz w:val="17"/>
                <w:szCs w:val="17"/>
                <w:color w:val="auto"/>
              </w:rPr>
              <w:t>Long-term debt</w:t>
            </w:r>
          </w:p>
        </w:tc>
        <w:tc>
          <w:tcPr>
            <w:tcW w:w="500" w:type="dxa"/>
            <w:vAlign w:val="bottom"/>
            <w:gridSpan w:val="2"/>
            <w:shd w:val="clear" w:color="auto" w:fill="CBDBD1"/>
          </w:tcPr>
          <w:p>
            <w:pPr>
              <w:ind w:left="16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BDBD1"/>
            </w:tcBorders>
            <w:shd w:val="clear" w:color="auto" w:fill="CBDBD1"/>
          </w:tcPr>
          <w:p>
            <w:pPr>
              <w:jc w:val="right"/>
              <w:spacing w:after="0"/>
              <w:rPr>
                <w:sz w:val="20"/>
                <w:szCs w:val="20"/>
                <w:color w:val="auto"/>
              </w:rPr>
            </w:pPr>
            <w:r>
              <w:rPr>
                <w:rFonts w:ascii="Arial" w:cs="Arial" w:eastAsia="Arial" w:hAnsi="Arial"/>
                <w:sz w:val="17"/>
                <w:szCs w:val="17"/>
                <w:color w:val="auto"/>
              </w:rPr>
              <w:t>-0-</w:t>
            </w:r>
          </w:p>
        </w:tc>
        <w:tc>
          <w:tcPr>
            <w:tcW w:w="100" w:type="dxa"/>
            <w:vAlign w:val="bottom"/>
            <w:tcBorders>
              <w:right w:val="single" w:sz="8" w:color="CBDBD1"/>
            </w:tcBorders>
            <w:shd w:val="clear" w:color="auto" w:fill="CBDBD1"/>
          </w:tcPr>
          <w:p>
            <w:pPr>
              <w:spacing w:after="0"/>
              <w:rPr>
                <w:sz w:val="19"/>
                <w:szCs w:val="19"/>
                <w:color w:val="auto"/>
              </w:rPr>
            </w:pPr>
          </w:p>
        </w:tc>
        <w:tc>
          <w:tcPr>
            <w:tcW w:w="120" w:type="dxa"/>
            <w:vAlign w:val="bottom"/>
            <w:shd w:val="clear" w:color="auto" w:fill="CBDBD1"/>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BDBD1"/>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1880" w:type="dxa"/>
            <w:vAlign w:val="bottom"/>
            <w:tcBorders>
              <w:top w:val="single" w:sz="8" w:color="CBDBD1"/>
            </w:tcBorders>
            <w:shd w:val="clear" w:color="auto" w:fill="CBDBD1"/>
          </w:tcPr>
          <w:p>
            <w:pPr>
              <w:spacing w:after="0" w:line="20" w:lineRule="exact"/>
              <w:rPr>
                <w:sz w:val="1"/>
                <w:szCs w:val="1"/>
                <w:color w:val="auto"/>
              </w:rPr>
            </w:pPr>
          </w:p>
        </w:tc>
        <w:tc>
          <w:tcPr>
            <w:tcW w:w="160" w:type="dxa"/>
            <w:vAlign w:val="bottom"/>
            <w:tcBorders>
              <w:top w:val="single" w:sz="8" w:color="CBDBD1"/>
              <w:right w:val="single" w:sz="8" w:color="CBDBD1"/>
            </w:tcBorders>
            <w:shd w:val="clear" w:color="auto" w:fill="CBDBD1"/>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BDBD1"/>
            </w:tcBorders>
            <w:shd w:val="clear" w:color="auto" w:fill="000000"/>
          </w:tcPr>
          <w:p>
            <w:pPr>
              <w:spacing w:after="0" w:line="20" w:lineRule="exact"/>
              <w:rPr>
                <w:sz w:val="1"/>
                <w:szCs w:val="1"/>
                <w:color w:val="auto"/>
              </w:rPr>
            </w:pPr>
          </w:p>
        </w:tc>
        <w:tc>
          <w:tcPr>
            <w:tcW w:w="100" w:type="dxa"/>
            <w:vAlign w:val="bottom"/>
            <w:tcBorders>
              <w:top w:val="single" w:sz="8" w:color="CBDBD1"/>
              <w:right w:val="single" w:sz="8" w:color="auto"/>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note payable to David Harrell is due on demand, bears 9% interest and was paid off in April 2009.</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JUNE 30, 2009</w:t>
      </w:r>
    </w:p>
    <w:p>
      <w:pPr>
        <w:spacing w:after="0" w:line="228" w:lineRule="exact"/>
        <w:rPr>
          <w:sz w:val="20"/>
          <w:szCs w:val="20"/>
          <w:color w:val="auto"/>
        </w:rPr>
      </w:pPr>
    </w:p>
    <w:p>
      <w:pPr>
        <w:ind w:left="620" w:hanging="209"/>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52"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6"/>
          <w:szCs w:val="16"/>
          <w:color w:val="auto"/>
        </w:rPr>
        <w:t>The Company leases their offices for $2,500 a month and has signed a lease through November 7, 2009 with an option for a six month renewal.</w:t>
      </w:r>
    </w:p>
    <w:p>
      <w:pPr>
        <w:spacing w:after="0" w:line="270" w:lineRule="exact"/>
        <w:rPr>
          <w:sz w:val="20"/>
          <w:szCs w:val="20"/>
          <w:color w:val="auto"/>
        </w:rPr>
      </w:pPr>
    </w:p>
    <w:tbl>
      <w:tblPr>
        <w:tblLayout w:type="fixed"/>
        <w:tblInd w:w="4000" w:type="dxa"/>
        <w:tblCellMar>
          <w:top w:w="0" w:type="dxa"/>
          <w:left w:w="0" w:type="dxa"/>
          <w:bottom w:w="0" w:type="dxa"/>
          <w:right w:w="0" w:type="dxa"/>
        </w:tblCellMar>
      </w:tblPr>
      <w:tr>
        <w:trPr>
          <w:trHeight w:val="214"/>
        </w:trPr>
        <w:tc>
          <w:tcPr>
            <w:tcW w:w="2140" w:type="dxa"/>
            <w:vAlign w:val="bottom"/>
            <w:tcBorders>
              <w:bottom w:val="single" w:sz="8" w:color="CBDBD1"/>
            </w:tcBorders>
            <w:shd w:val="clear" w:color="auto" w:fill="CBDBD1"/>
          </w:tcPr>
          <w:p>
            <w:pPr>
              <w:spacing w:after="0"/>
              <w:rPr>
                <w:sz w:val="20"/>
                <w:szCs w:val="20"/>
                <w:color w:val="auto"/>
              </w:rPr>
            </w:pPr>
            <w:r>
              <w:rPr>
                <w:rFonts w:ascii="Arial" w:cs="Arial" w:eastAsia="Arial" w:hAnsi="Arial"/>
                <w:sz w:val="17"/>
                <w:szCs w:val="17"/>
                <w:color w:val="auto"/>
              </w:rPr>
              <w:t>June 30, 2010</w:t>
            </w:r>
          </w:p>
        </w:tc>
        <w:tc>
          <w:tcPr>
            <w:tcW w:w="440" w:type="dxa"/>
            <w:vAlign w:val="bottom"/>
            <w:tcBorders>
              <w:bottom w:val="single" w:sz="8" w:color="auto"/>
            </w:tcBorders>
            <w:shd w:val="clear" w:color="auto" w:fill="CBDBD1"/>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BDBD1"/>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Pr>
          <w:p>
            <w:pPr>
              <w:spacing w:after="0"/>
              <w:rPr>
                <w:sz w:val="18"/>
                <w:szCs w:val="18"/>
                <w:color w:val="auto"/>
              </w:rPr>
            </w:pPr>
          </w:p>
        </w:tc>
      </w:tr>
      <w:tr>
        <w:trPr>
          <w:trHeight w:val="208"/>
        </w:trPr>
        <w:tc>
          <w:tcPr>
            <w:tcW w:w="2140" w:type="dxa"/>
            <w:vAlign w:val="bottom"/>
          </w:tcPr>
          <w:p>
            <w:pPr>
              <w:ind w:left="180"/>
              <w:spacing w:after="0"/>
              <w:rPr>
                <w:sz w:val="20"/>
                <w:szCs w:val="20"/>
                <w:color w:val="auto"/>
              </w:rPr>
            </w:pPr>
            <w:r>
              <w:rPr>
                <w:rFonts w:ascii="Arial" w:cs="Arial" w:eastAsia="Arial" w:hAnsi="Arial"/>
                <w:sz w:val="17"/>
                <w:szCs w:val="17"/>
                <w:color w:val="auto"/>
              </w:rPr>
              <w:t>Total lease obligation</w:t>
            </w: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Borders>
              <w:bottom w:val="single" w:sz="8" w:color="auto"/>
            </w:tcBorders>
          </w:tcPr>
          <w:p>
            <w:pPr>
              <w:spacing w:after="0"/>
              <w:rPr>
                <w:sz w:val="18"/>
                <w:szCs w:val="18"/>
                <w:color w:val="auto"/>
              </w:rPr>
            </w:pPr>
          </w:p>
        </w:tc>
      </w:tr>
      <w:tr>
        <w:trPr>
          <w:trHeight w:val="20"/>
        </w:trPr>
        <w:tc>
          <w:tcPr>
            <w:tcW w:w="2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20" w:hanging="209"/>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DIVIDEND DISTRIBUTION</w:t>
      </w:r>
    </w:p>
    <w:p>
      <w:pPr>
        <w:spacing w:after="0" w:line="252" w:lineRule="exact"/>
        <w:rPr>
          <w:rFonts w:ascii="Arial" w:cs="Arial" w:eastAsia="Arial" w:hAnsi="Arial"/>
          <w:sz w:val="17"/>
          <w:szCs w:val="17"/>
          <w:b w:val="1"/>
          <w:bCs w:val="1"/>
          <w:color w:val="auto"/>
        </w:rPr>
      </w:pPr>
    </w:p>
    <w:p>
      <w:pPr>
        <w:ind w:left="620"/>
        <w:spacing w:after="0" w:line="318" w:lineRule="auto"/>
        <w:rPr>
          <w:rFonts w:ascii="Arial" w:cs="Arial" w:eastAsia="Arial" w:hAnsi="Arial"/>
          <w:sz w:val="17"/>
          <w:szCs w:val="17"/>
          <w:b w:val="1"/>
          <w:bCs w:val="1"/>
          <w:color w:val="auto"/>
        </w:rPr>
      </w:pPr>
      <w:r>
        <w:rPr>
          <w:rFonts w:ascii="Arial" w:cs="Arial" w:eastAsia="Arial" w:hAnsi="Arial"/>
          <w:sz w:val="16"/>
          <w:szCs w:val="16"/>
          <w:color w:val="auto"/>
        </w:rPr>
        <w:t>The Company recorded a one-time, non-cash deemed dividend on October 18, 2007 of $33,461. This dividend resulted due to the continuous efforts of acquiring all the assets from Optimizer Systems, LLC. Through this dividend, the Company acquired all assets and liabilities of the LLC.</w:t>
      </w:r>
    </w:p>
    <w:p>
      <w:pPr>
        <w:spacing w:after="0" w:line="156" w:lineRule="exact"/>
        <w:rPr>
          <w:rFonts w:ascii="Arial" w:cs="Arial" w:eastAsia="Arial" w:hAnsi="Arial"/>
          <w:sz w:val="17"/>
          <w:szCs w:val="17"/>
          <w:b w:val="1"/>
          <w:bCs w:val="1"/>
          <w:color w:val="auto"/>
        </w:rPr>
      </w:pPr>
    </w:p>
    <w:p>
      <w:pPr>
        <w:ind w:left="620" w:hanging="209"/>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COMMON STOCK</w:t>
      </w:r>
    </w:p>
    <w:p>
      <w:pPr>
        <w:spacing w:after="0" w:line="252" w:lineRule="exact"/>
        <w:rPr>
          <w:rFonts w:ascii="Arial" w:cs="Arial" w:eastAsia="Arial" w:hAnsi="Arial"/>
          <w:sz w:val="17"/>
          <w:szCs w:val="17"/>
          <w:b w:val="1"/>
          <w:bCs w:val="1"/>
          <w:color w:val="auto"/>
        </w:rPr>
      </w:pPr>
    </w:p>
    <w:p>
      <w:pPr>
        <w:ind w:left="620"/>
        <w:spacing w:after="0" w:line="285" w:lineRule="auto"/>
        <w:rPr>
          <w:rFonts w:ascii="Arial" w:cs="Arial" w:eastAsia="Arial" w:hAnsi="Arial"/>
          <w:sz w:val="17"/>
          <w:szCs w:val="17"/>
          <w:b w:val="1"/>
          <w:bCs w:val="1"/>
          <w:color w:val="auto"/>
        </w:rPr>
      </w:pPr>
      <w:r>
        <w:rPr>
          <w:rFonts w:ascii="Arial" w:cs="Arial" w:eastAsia="Arial" w:hAnsi="Arial"/>
          <w:sz w:val="17"/>
          <w:szCs w:val="17"/>
          <w:color w:val="auto"/>
        </w:rPr>
        <w:t>OptimizeRx Corporation has 500,000,000 shares of $.001 par value common stock authorized as of June 30, 2009. There were 12,688,866 and 12,262,958 common shares issued and outstanding at June 30, 2009 and December 31, 2008, respectively.</w:t>
      </w:r>
    </w:p>
    <w:p>
      <w:pPr>
        <w:spacing w:after="0" w:line="185" w:lineRule="exact"/>
        <w:rPr>
          <w:rFonts w:ascii="Arial" w:cs="Arial" w:eastAsia="Arial" w:hAnsi="Arial"/>
          <w:sz w:val="17"/>
          <w:szCs w:val="17"/>
          <w:b w:val="1"/>
          <w:bCs w:val="1"/>
          <w:color w:val="auto"/>
        </w:rPr>
      </w:pPr>
    </w:p>
    <w:p>
      <w:pPr>
        <w:ind w:left="620"/>
        <w:spacing w:after="0" w:line="285" w:lineRule="auto"/>
        <w:rPr>
          <w:rFonts w:ascii="Arial" w:cs="Arial" w:eastAsia="Arial" w:hAnsi="Arial"/>
          <w:sz w:val="17"/>
          <w:szCs w:val="17"/>
          <w:b w:val="1"/>
          <w:bCs w:val="1"/>
          <w:color w:val="auto"/>
        </w:rPr>
      </w:pPr>
      <w:r>
        <w:rPr>
          <w:rFonts w:ascii="Arial" w:cs="Arial" w:eastAsia="Arial" w:hAnsi="Arial"/>
          <w:sz w:val="17"/>
          <w:szCs w:val="17"/>
          <w:color w:val="auto"/>
        </w:rPr>
        <w:t>Pursuant to the share exchange agreement with RFID, Ltd., 100% of OptimizeRx’s stock was exchanged for 10,664,000 shares of RFID’s common stock. At the time of the share exchange, RFID had an additional 1,256,958 shares of common stock issued and outstanding.</w:t>
      </w:r>
    </w:p>
    <w:p>
      <w:pPr>
        <w:spacing w:after="0" w:line="185" w:lineRule="exact"/>
        <w:rPr>
          <w:rFonts w:ascii="Arial" w:cs="Arial" w:eastAsia="Arial" w:hAnsi="Arial"/>
          <w:sz w:val="17"/>
          <w:szCs w:val="17"/>
          <w:b w:val="1"/>
          <w:bCs w:val="1"/>
          <w:color w:val="auto"/>
        </w:rPr>
      </w:pPr>
    </w:p>
    <w:p>
      <w:pPr>
        <w:jc w:val="both"/>
        <w:ind w:left="62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During 2008, 636,000 shares of common stock were sold for cash. Additionally, 160,000 and 70,000 shares were issued as compensation for services during the six months ended June 30, 2009 and the year ended December 31, 2008, respectively. Included in operating expenses at June 30, 2009 is $696,000 for the issuance of these 160,000 shares. There were 265,908 shares issued as a cashless exchange of common stock warrants during the six months ended June 30, 2009.</w:t>
      </w:r>
    </w:p>
    <w:p>
      <w:pPr>
        <w:spacing w:after="0" w:line="196" w:lineRule="exact"/>
        <w:rPr>
          <w:rFonts w:ascii="Arial" w:cs="Arial" w:eastAsia="Arial" w:hAnsi="Arial"/>
          <w:sz w:val="17"/>
          <w:szCs w:val="17"/>
          <w:b w:val="1"/>
          <w:bCs w:val="1"/>
          <w:color w:val="auto"/>
        </w:rPr>
      </w:pPr>
    </w:p>
    <w:p>
      <w:pPr>
        <w:ind w:left="620" w:hanging="295"/>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PREFERRED STOCK</w:t>
      </w:r>
    </w:p>
    <w:p>
      <w:pPr>
        <w:spacing w:after="0" w:line="252" w:lineRule="exact"/>
        <w:rPr>
          <w:rFonts w:ascii="Arial" w:cs="Arial" w:eastAsia="Arial" w:hAnsi="Arial"/>
          <w:sz w:val="17"/>
          <w:szCs w:val="17"/>
          <w:b w:val="1"/>
          <w:bCs w:val="1"/>
          <w:color w:val="auto"/>
        </w:rPr>
      </w:pPr>
    </w:p>
    <w:p>
      <w:pPr>
        <w:jc w:val="both"/>
        <w:ind w:left="62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JUNE 30, 2009</w:t>
      </w:r>
    </w:p>
    <w:p>
      <w:pPr>
        <w:spacing w:after="0" w:line="228" w:lineRule="exact"/>
        <w:rPr>
          <w:sz w:val="20"/>
          <w:szCs w:val="20"/>
          <w:color w:val="auto"/>
        </w:rPr>
      </w:pPr>
    </w:p>
    <w:p>
      <w:pPr>
        <w:ind w:left="620" w:hanging="295"/>
        <w:spacing w:after="0"/>
        <w:tabs>
          <w:tab w:leader="none" w:pos="620" w:val="left"/>
        </w:tabs>
        <w:numPr>
          <w:ilvl w:val="1"/>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PREFERRED STOCK (CONTINUED)</w:t>
      </w:r>
    </w:p>
    <w:p>
      <w:pPr>
        <w:spacing w:after="0" w:line="252" w:lineRule="exact"/>
        <w:rPr>
          <w:rFonts w:ascii="Arial" w:cs="Arial" w:eastAsia="Arial" w:hAnsi="Arial"/>
          <w:sz w:val="17"/>
          <w:szCs w:val="17"/>
          <w:b w:val="1"/>
          <w:bCs w:val="1"/>
          <w:color w:val="auto"/>
        </w:rPr>
      </w:pPr>
    </w:p>
    <w:p>
      <w:pPr>
        <w:jc w:val="both"/>
        <w:ind w:left="62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205" w:lineRule="exact"/>
        <w:rPr>
          <w:rFonts w:ascii="Arial" w:cs="Arial" w:eastAsia="Arial" w:hAnsi="Arial"/>
          <w:sz w:val="17"/>
          <w:szCs w:val="17"/>
          <w:b w:val="1"/>
          <w:bCs w:val="1"/>
          <w:color w:val="auto"/>
        </w:rPr>
      </w:pPr>
    </w:p>
    <w:p>
      <w:pPr>
        <w:jc w:val="both"/>
        <w:ind w:left="620"/>
        <w:spacing w:after="0" w:line="294" w:lineRule="auto"/>
        <w:rPr>
          <w:rFonts w:ascii="Arial" w:cs="Arial" w:eastAsia="Arial" w:hAnsi="Arial"/>
          <w:sz w:val="17"/>
          <w:szCs w:val="17"/>
          <w:b w:val="1"/>
          <w:bCs w:val="1"/>
          <w:color w:val="auto"/>
        </w:rPr>
      </w:pPr>
      <w:r>
        <w:rPr>
          <w:rFonts w:ascii="Arial" w:cs="Arial" w:eastAsia="Arial" w:hAnsi="Arial"/>
          <w:sz w:val="16"/>
          <w:szCs w:val="16"/>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 shares are required to be redeemed on September 5, 2010. As of June 30, 2009, the cumulative dividend was $197,774; however, it has not yet been declared.</w:t>
      </w:r>
    </w:p>
    <w:p>
      <w:pPr>
        <w:spacing w:after="0" w:line="175" w:lineRule="exact"/>
        <w:rPr>
          <w:rFonts w:ascii="Arial" w:cs="Arial" w:eastAsia="Arial" w:hAnsi="Arial"/>
          <w:sz w:val="17"/>
          <w:szCs w:val="17"/>
          <w:b w:val="1"/>
          <w:bCs w:val="1"/>
          <w:color w:val="auto"/>
        </w:rPr>
      </w:pPr>
    </w:p>
    <w:p>
      <w:pPr>
        <w:ind w:left="480" w:hanging="302"/>
        <w:spacing w:after="0"/>
        <w:tabs>
          <w:tab w:leader="none" w:pos="4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52" w:lineRule="exact"/>
        <w:rPr>
          <w:sz w:val="20"/>
          <w:szCs w:val="20"/>
          <w:color w:val="auto"/>
        </w:rPr>
      </w:pPr>
    </w:p>
    <w:p>
      <w:pPr>
        <w:jc w:val="both"/>
        <w:ind w:left="620"/>
        <w:spacing w:after="0" w:line="294" w:lineRule="auto"/>
        <w:rPr>
          <w:sz w:val="20"/>
          <w:szCs w:val="20"/>
          <w:color w:val="auto"/>
        </w:rPr>
      </w:pPr>
      <w:r>
        <w:rPr>
          <w:rFonts w:ascii="Arial" w:cs="Arial" w:eastAsia="Arial" w:hAnsi="Arial"/>
          <w:sz w:val="16"/>
          <w:szCs w:val="16"/>
          <w:color w:val="auto"/>
        </w:rPr>
        <w:t>Effective January 1, 2006, the Company adopted SFAS No. 123 (revised), "Share-Based Payment: (SFAS 123(R)) utilizing the modified prospective approach. Prior to the adoption of SFAS 123(R) we accounted for stock option grant in accordance with APB Opinion No. 25, "Accounting for Stock Issued to Employees," and accordingly, recognized compensation expense for stock option grants using the intrinsic value method.</w:t>
      </w:r>
    </w:p>
    <w:p>
      <w:pPr>
        <w:spacing w:after="0" w:line="181" w:lineRule="exact"/>
        <w:rPr>
          <w:sz w:val="20"/>
          <w:szCs w:val="20"/>
          <w:color w:val="auto"/>
        </w:rPr>
      </w:pPr>
    </w:p>
    <w:p>
      <w:pPr>
        <w:jc w:val="both"/>
        <w:ind w:left="620"/>
        <w:spacing w:after="0" w:line="260" w:lineRule="auto"/>
        <w:rPr>
          <w:sz w:val="20"/>
          <w:szCs w:val="20"/>
          <w:color w:val="auto"/>
        </w:rPr>
      </w:pPr>
      <w:r>
        <w:rPr>
          <w:rFonts w:ascii="Arial" w:cs="Arial" w:eastAsia="Arial" w:hAnsi="Arial"/>
          <w:sz w:val="17"/>
          <w:szCs w:val="17"/>
          <w:color w:val="auto"/>
        </w:rPr>
        <w:t>Under the modified prospective approach, SFAS 123(R) applies to new awards and to awards that were outstanding on January 1, 2006 that are subsequently modified, repurchased or cancelled. Under the modified prospective approach, compensation cost recognized in the first quarter of fiscal 2006 includes compensation cost for all share-based payments granted prior to, but not yet vested as of January 1, 2006 based on the grant-date fair value estimated in accordance with the original provisions of SFAS 123, and compensation cost for all share-based payments granted subsequent to January 1, 2006 based on the grant-date fair value estimated in accordance with the provisions of SFAS 123(R). For all quarters after the first quarter of fiscal 2006, compensation costs recognized will include the compensation costs for all share-based payments granted based on the grant date fair value estimated in accordance with the provisions of SFAS 123(R).</w:t>
      </w:r>
    </w:p>
    <w:p>
      <w:pPr>
        <w:spacing w:after="0" w:line="207" w:lineRule="exact"/>
        <w:rPr>
          <w:sz w:val="20"/>
          <w:szCs w:val="20"/>
          <w:color w:val="auto"/>
        </w:rPr>
      </w:pPr>
    </w:p>
    <w:p>
      <w:pPr>
        <w:jc w:val="both"/>
        <w:ind w:left="620"/>
        <w:spacing w:after="0" w:line="270" w:lineRule="auto"/>
        <w:rPr>
          <w:sz w:val="20"/>
          <w:szCs w:val="20"/>
          <w:color w:val="auto"/>
        </w:rPr>
      </w:pPr>
      <w:r>
        <w:rPr>
          <w:rFonts w:ascii="Arial" w:cs="Arial" w:eastAsia="Arial" w:hAnsi="Arial"/>
          <w:sz w:val="17"/>
          <w:szCs w:val="17"/>
          <w:color w:val="auto"/>
        </w:rPr>
        <w:t>The fair value of each option granted in 2008 is estimated on the date of grant using the Black-Scholes option-pricing model with the following weighted average assumptions: dividend yield of 0%, expected volatility of 150%, risk-free interest rate of 2.59% and expected life of 60 months. The Company recognized expense of $333,004 on the 365,000 options issued on March 5, 2008.</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JUNE 30, 2009</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12. STOCK WARRANTS</w:t>
      </w:r>
    </w:p>
    <w:p>
      <w:pPr>
        <w:spacing w:after="0" w:line="252" w:lineRule="exact"/>
        <w:rPr>
          <w:sz w:val="20"/>
          <w:szCs w:val="20"/>
          <w:color w:val="auto"/>
        </w:rPr>
      </w:pPr>
    </w:p>
    <w:p>
      <w:pPr>
        <w:jc w:val="both"/>
        <w:ind w:left="620"/>
        <w:spacing w:after="0" w:line="270" w:lineRule="auto"/>
        <w:rPr>
          <w:sz w:val="20"/>
          <w:szCs w:val="20"/>
          <w:color w:val="auto"/>
        </w:rPr>
      </w:pPr>
      <w:r>
        <w:rPr>
          <w:rFonts w:ascii="Arial" w:cs="Arial" w:eastAsia="Arial" w:hAnsi="Arial"/>
          <w:sz w:val="17"/>
          <w:szCs w:val="17"/>
          <w:color w:val="auto"/>
        </w:rPr>
        <w:t>During the year ended December 31, 2008, OptimizeRx issued 6,000,000 common stock warrants with an exercise price of $2 and a term of seven years in connection with the preferred stock issuance. These warrants were valued using the Black-Scholes pricing model at $14,160,000. The warrants are treated as a re-distribution of equity and are shown as a component of equity.</w:t>
      </w:r>
    </w:p>
    <w:p>
      <w:pPr>
        <w:spacing w:after="0" w:line="198" w:lineRule="exact"/>
        <w:rPr>
          <w:sz w:val="20"/>
          <w:szCs w:val="20"/>
          <w:color w:val="auto"/>
        </w:rPr>
      </w:pPr>
    </w:p>
    <w:p>
      <w:pPr>
        <w:jc w:val="both"/>
        <w:ind w:left="620"/>
        <w:spacing w:after="0" w:line="270" w:lineRule="auto"/>
        <w:rPr>
          <w:sz w:val="20"/>
          <w:szCs w:val="20"/>
          <w:color w:val="auto"/>
        </w:rPr>
      </w:pPr>
      <w:r>
        <w:rPr>
          <w:rFonts w:ascii="Arial" w:cs="Arial" w:eastAsia="Arial" w:hAnsi="Arial"/>
          <w:sz w:val="17"/>
          <w:szCs w:val="17"/>
          <w:color w:val="auto"/>
        </w:rPr>
        <w:t>During the year ended December 31, 2008, OptimizeRx issued 1,059,500 common stock warrants were issued in exchange for services. These warrants were issued with exercise prices of either $1 or $2 and a term of five years. The Black-Scholes method was used to value these warrants at $2,745,280 and the warrants were expensed during 2008.</w:t>
      </w:r>
    </w:p>
    <w:p>
      <w:pPr>
        <w:spacing w:after="0" w:line="198" w:lineRule="exact"/>
        <w:rPr>
          <w:sz w:val="20"/>
          <w:szCs w:val="20"/>
          <w:color w:val="auto"/>
        </w:rPr>
      </w:pPr>
    </w:p>
    <w:p>
      <w:pPr>
        <w:jc w:val="both"/>
        <w:ind w:left="620"/>
        <w:spacing w:after="0" w:line="318" w:lineRule="auto"/>
        <w:rPr>
          <w:sz w:val="20"/>
          <w:szCs w:val="20"/>
          <w:color w:val="auto"/>
        </w:rPr>
      </w:pPr>
      <w:r>
        <w:rPr>
          <w:rFonts w:ascii="Arial" w:cs="Arial" w:eastAsia="Arial" w:hAnsi="Arial"/>
          <w:sz w:val="16"/>
          <w:szCs w:val="16"/>
          <w:color w:val="auto"/>
        </w:rPr>
        <w:t>The fair value of each warrant issued in 2008 was calculated on the date of grant using the Black-Scholes option-pricing model with the following weighted average assumptions: dividend yield of 0%, expected volatility of 6%, risk-free interest rate of 1.85% and expected life of 60 - 84 months.</w:t>
      </w:r>
    </w:p>
    <w:p>
      <w:pPr>
        <w:spacing w:after="0" w:line="162" w:lineRule="exact"/>
        <w:rPr>
          <w:sz w:val="20"/>
          <w:szCs w:val="20"/>
          <w:color w:val="auto"/>
        </w:rPr>
      </w:pPr>
    </w:p>
    <w:p>
      <w:pPr>
        <w:jc w:val="both"/>
        <w:ind w:left="620"/>
        <w:spacing w:after="0" w:line="270" w:lineRule="auto"/>
        <w:rPr>
          <w:sz w:val="20"/>
          <w:szCs w:val="20"/>
          <w:color w:val="auto"/>
        </w:rPr>
      </w:pPr>
      <w:r>
        <w:rPr>
          <w:rFonts w:ascii="Arial" w:cs="Arial" w:eastAsia="Arial" w:hAnsi="Arial"/>
          <w:sz w:val="17"/>
          <w:szCs w:val="17"/>
          <w:color w:val="auto"/>
        </w:rPr>
        <w:t>During the six months ended June 30, 2009, the Company exchanged 173,000 common stock warrants with an exercise price of $1 and 108,908 common stock warrants with an exercise price of $2, for 265,908 shares of common stock in a cashless exchange. This exchange has been reflected in the stockholders' equity for 2009.</w:t>
      </w:r>
    </w:p>
    <w:p>
      <w:pPr>
        <w:spacing w:after="0" w:line="192" w:lineRule="exact"/>
        <w:rPr>
          <w:sz w:val="20"/>
          <w:szCs w:val="20"/>
          <w:color w:val="auto"/>
        </w:rPr>
      </w:pPr>
    </w:p>
    <w:p>
      <w:pPr>
        <w:ind w:left="620" w:hanging="295"/>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52" w:lineRule="exact"/>
        <w:rPr>
          <w:rFonts w:ascii="Arial" w:cs="Arial" w:eastAsia="Arial" w:hAnsi="Arial"/>
          <w:sz w:val="17"/>
          <w:szCs w:val="17"/>
          <w:b w:val="1"/>
          <w:bCs w:val="1"/>
          <w:color w:val="auto"/>
        </w:rPr>
      </w:pPr>
    </w:p>
    <w:p>
      <w:pPr>
        <w:jc w:val="both"/>
        <w:ind w:left="62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The Company had engaged an officer of the Company for management services under a contract that paid him $48,000 for the period ended April 30, 2008 and $114,500 for the year ended December 31, 2008. The Company paid $36,000 through June 30, 2008 and the expense is included in operating expenses. The officer became an employee of the Company beginning on May 1, 2008.</w:t>
      </w:r>
    </w:p>
    <w:p>
      <w:pPr>
        <w:spacing w:after="0" w:line="197" w:lineRule="exact"/>
        <w:rPr>
          <w:rFonts w:ascii="Arial" w:cs="Arial" w:eastAsia="Arial" w:hAnsi="Arial"/>
          <w:sz w:val="17"/>
          <w:szCs w:val="17"/>
          <w:b w:val="1"/>
          <w:bCs w:val="1"/>
          <w:color w:val="auto"/>
        </w:rPr>
      </w:pPr>
    </w:p>
    <w:p>
      <w:pPr>
        <w:ind w:left="620"/>
        <w:spacing w:after="0" w:line="285" w:lineRule="auto"/>
        <w:rPr>
          <w:rFonts w:ascii="Arial" w:cs="Arial" w:eastAsia="Arial" w:hAnsi="Arial"/>
          <w:sz w:val="17"/>
          <w:szCs w:val="17"/>
          <w:b w:val="1"/>
          <w:bCs w:val="1"/>
          <w:color w:val="auto"/>
        </w:rPr>
      </w:pPr>
      <w:r>
        <w:rPr>
          <w:rFonts w:ascii="Arial" w:cs="Arial" w:eastAsia="Arial" w:hAnsi="Arial"/>
          <w:sz w:val="17"/>
          <w:szCs w:val="17"/>
          <w:color w:val="auto"/>
        </w:rPr>
        <w:t>Upon the transfer of the assets and liabilities from the LLC to the Company, the LLC members were issued promissory notes totaling $253,750 under a dilution agreement for a portion of their interests in Optimizer Systems, LLC.</w:t>
      </w:r>
    </w:p>
    <w:p>
      <w:pPr>
        <w:spacing w:after="0" w:line="185" w:lineRule="exact"/>
        <w:rPr>
          <w:rFonts w:ascii="Arial" w:cs="Arial" w:eastAsia="Arial" w:hAnsi="Arial"/>
          <w:sz w:val="17"/>
          <w:szCs w:val="17"/>
          <w:b w:val="1"/>
          <w:bCs w:val="1"/>
          <w:color w:val="auto"/>
        </w:rPr>
      </w:pPr>
    </w:p>
    <w:p>
      <w:pPr>
        <w:ind w:left="620"/>
        <w:spacing w:after="0" w:line="355" w:lineRule="auto"/>
        <w:rPr>
          <w:rFonts w:ascii="Arial" w:cs="Arial" w:eastAsia="Arial" w:hAnsi="Arial"/>
          <w:sz w:val="17"/>
          <w:szCs w:val="17"/>
          <w:b w:val="1"/>
          <w:bCs w:val="1"/>
          <w:color w:val="auto"/>
        </w:rPr>
      </w:pPr>
      <w:r>
        <w:rPr>
          <w:rFonts w:ascii="Arial" w:cs="Arial" w:eastAsia="Arial" w:hAnsi="Arial"/>
          <w:sz w:val="15"/>
          <w:szCs w:val="15"/>
          <w:color w:val="auto"/>
        </w:rPr>
        <w:t>The Company had a $50,000 note payable to a shareholder (see Note 6) that was repaid during the year ended December 31, 2008. In addition, there was a note payable to an officer of the Company (see Note 6) for $4,000 at December 31, 2008 that was repaid during the six months ended June 30, 2009.</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JUNE 30, 2009</w:t>
      </w:r>
    </w:p>
    <w:p>
      <w:pPr>
        <w:spacing w:after="0" w:line="228" w:lineRule="exact"/>
        <w:rPr>
          <w:sz w:val="20"/>
          <w:szCs w:val="20"/>
          <w:color w:val="auto"/>
        </w:rPr>
      </w:pPr>
    </w:p>
    <w:p>
      <w:pPr>
        <w:ind w:left="620" w:hanging="295"/>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52" w:lineRule="exact"/>
        <w:rPr>
          <w:rFonts w:ascii="Arial" w:cs="Arial" w:eastAsia="Arial" w:hAnsi="Arial"/>
          <w:sz w:val="17"/>
          <w:szCs w:val="17"/>
          <w:b w:val="1"/>
          <w:bCs w:val="1"/>
          <w:color w:val="auto"/>
        </w:rPr>
      </w:pPr>
    </w:p>
    <w:p>
      <w:pPr>
        <w:jc w:val="both"/>
        <w:ind w:left="620"/>
        <w:spacing w:after="0" w:line="286" w:lineRule="auto"/>
        <w:rPr>
          <w:rFonts w:ascii="Arial" w:cs="Arial" w:eastAsia="Arial" w:hAnsi="Arial"/>
          <w:sz w:val="17"/>
          <w:szCs w:val="17"/>
          <w:b w:val="1"/>
          <w:bCs w:val="1"/>
          <w:color w:val="auto"/>
        </w:rPr>
      </w:pPr>
      <w:r>
        <w:rPr>
          <w:rFonts w:ascii="Arial" w:cs="Arial" w:eastAsia="Arial" w:hAnsi="Arial"/>
          <w:sz w:val="16"/>
          <w:szCs w:val="16"/>
          <w:color w:val="auto"/>
        </w:rPr>
        <w:t>For the six months ended June 30, 2009, the Company incurred a net loss of approximately $1,702,000 and therefore has no tax liability. The Company began operations in 2007 and has previous net operating loss carry-forwards of $1,513,000 through December 31, 2008. The cumulative loss will be carried forward and can be used through the year 2028 to offset future taxable income. In the future, the cumulative net operating loss carry-forward for income tax purposes may differ from the cumulative financial statement loss due to timing differences between book and tax reporting.</w:t>
      </w:r>
    </w:p>
    <w:p>
      <w:pPr>
        <w:spacing w:after="0" w:line="188"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The cumulative tax effect at the expected rate of 34% of significant items comprising our net deferred tax amount is as follows:</w:t>
      </w:r>
    </w:p>
    <w:p>
      <w:pPr>
        <w:spacing w:after="0" w:line="240" w:lineRule="exact"/>
        <w:rPr>
          <w:sz w:val="20"/>
          <w:szCs w:val="20"/>
          <w:color w:val="auto"/>
        </w:rPr>
      </w:pPr>
    </w:p>
    <w:tbl>
      <w:tblPr>
        <w:tblLayout w:type="fixed"/>
        <w:tblInd w:w="3440" w:type="dxa"/>
        <w:tblCellMar>
          <w:top w:w="0" w:type="dxa"/>
          <w:left w:w="0" w:type="dxa"/>
          <w:bottom w:w="0" w:type="dxa"/>
          <w:right w:w="0" w:type="dxa"/>
        </w:tblCellMar>
      </w:tblPr>
      <w:tr>
        <w:trPr>
          <w:trHeight w:val="208"/>
        </w:trPr>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Arial" w:cs="Arial" w:eastAsia="Arial" w:hAnsi="Arial"/>
                <w:sz w:val="17"/>
                <w:szCs w:val="17"/>
                <w:b w:val="1"/>
                <w:bCs w:val="1"/>
                <w:color w:val="auto"/>
                <w:w w:val="90"/>
              </w:rPr>
              <w:t>December 31,</w:t>
            </w:r>
          </w:p>
        </w:tc>
      </w:tr>
      <w:tr>
        <w:trPr>
          <w:trHeight w:val="232"/>
        </w:trPr>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2"/>
              </w:rPr>
              <w:t>June 30, 2009</w:t>
            </w:r>
          </w:p>
        </w:tc>
        <w:tc>
          <w:tcPr>
            <w:tcW w:w="120" w:type="dxa"/>
            <w:vAlign w:val="bottom"/>
          </w:tcPr>
          <w:p>
            <w:pPr>
              <w:spacing w:after="0"/>
              <w:rPr>
                <w:sz w:val="20"/>
                <w:szCs w:val="20"/>
                <w:color w:val="auto"/>
              </w:rPr>
            </w:pPr>
          </w:p>
        </w:tc>
        <w:tc>
          <w:tcPr>
            <w:tcW w:w="1180" w:type="dxa"/>
            <w:vAlign w:val="bottom"/>
          </w:tcPr>
          <w:p>
            <w:pPr>
              <w:jc w:val="right"/>
              <w:ind w:right="393"/>
              <w:spacing w:after="0"/>
              <w:rPr>
                <w:sz w:val="20"/>
                <w:szCs w:val="20"/>
                <w:color w:val="auto"/>
              </w:rPr>
            </w:pPr>
            <w:r>
              <w:rPr>
                <w:rFonts w:ascii="Arial" w:cs="Arial" w:eastAsia="Arial" w:hAnsi="Arial"/>
                <w:sz w:val="17"/>
                <w:szCs w:val="17"/>
                <w:b w:val="1"/>
                <w:bCs w:val="1"/>
                <w:color w:val="auto"/>
              </w:rPr>
              <w:t>2008</w:t>
            </w:r>
          </w:p>
        </w:tc>
      </w:tr>
      <w:tr>
        <w:trPr>
          <w:trHeight w:val="195"/>
        </w:trPr>
        <w:tc>
          <w:tcPr>
            <w:tcW w:w="1860" w:type="dxa"/>
            <w:vAlign w:val="bottom"/>
          </w:tcPr>
          <w:p>
            <w:pPr>
              <w:ind w:left="300"/>
              <w:spacing w:after="0"/>
              <w:rPr>
                <w:sz w:val="20"/>
                <w:szCs w:val="20"/>
                <w:color w:val="auto"/>
              </w:rPr>
            </w:pPr>
            <w:r>
              <w:rPr>
                <w:rFonts w:ascii="Arial" w:cs="Arial" w:eastAsia="Arial" w:hAnsi="Arial"/>
                <w:sz w:val="17"/>
                <w:szCs w:val="17"/>
                <w:color w:val="auto"/>
              </w:rPr>
              <w:t>Deferred tax asset</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20"/>
        </w:trPr>
        <w:tc>
          <w:tcPr>
            <w:tcW w:w="1860" w:type="dxa"/>
            <w:vAlign w:val="bottom"/>
          </w:tcPr>
          <w:p>
            <w:pPr>
              <w:ind w:left="300"/>
              <w:spacing w:after="0"/>
              <w:rPr>
                <w:sz w:val="20"/>
                <w:szCs w:val="20"/>
                <w:color w:val="auto"/>
              </w:rPr>
            </w:pPr>
            <w:r>
              <w:rPr>
                <w:rFonts w:ascii="Arial" w:cs="Arial" w:eastAsia="Arial" w:hAnsi="Arial"/>
                <w:sz w:val="17"/>
                <w:szCs w:val="17"/>
                <w:color w:val="auto"/>
              </w:rPr>
              <w:t>attributable to:</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5"/>
        </w:trPr>
        <w:tc>
          <w:tcPr>
            <w:tcW w:w="1860" w:type="dxa"/>
            <w:vAlign w:val="bottom"/>
            <w:shd w:val="clear" w:color="auto" w:fill="CBDBD1"/>
          </w:tcPr>
          <w:p>
            <w:pPr>
              <w:ind w:left="400"/>
              <w:spacing w:after="0"/>
              <w:rPr>
                <w:sz w:val="20"/>
                <w:szCs w:val="20"/>
                <w:color w:val="auto"/>
              </w:rPr>
            </w:pPr>
            <w:r>
              <w:rPr>
                <w:rFonts w:ascii="Arial" w:cs="Arial" w:eastAsia="Arial" w:hAnsi="Arial"/>
                <w:sz w:val="17"/>
                <w:szCs w:val="17"/>
                <w:color w:val="auto"/>
              </w:rPr>
              <w:t>Net operating loss</w:t>
            </w:r>
          </w:p>
        </w:tc>
        <w:tc>
          <w:tcPr>
            <w:tcW w:w="120" w:type="dxa"/>
            <w:vAlign w:val="bottom"/>
            <w:shd w:val="clear" w:color="auto" w:fill="CBDBD1"/>
          </w:tcPr>
          <w:p>
            <w:pPr>
              <w:spacing w:after="0"/>
              <w:rPr>
                <w:sz w:val="16"/>
                <w:szCs w:val="16"/>
                <w:color w:val="auto"/>
              </w:rPr>
            </w:pPr>
          </w:p>
        </w:tc>
        <w:tc>
          <w:tcPr>
            <w:tcW w:w="1180" w:type="dxa"/>
            <w:vAlign w:val="bottom"/>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20" w:type="dxa"/>
            <w:vAlign w:val="bottom"/>
            <w:shd w:val="clear" w:color="auto" w:fill="CBDBD1"/>
          </w:tcPr>
          <w:p>
            <w:pPr>
              <w:spacing w:after="0"/>
              <w:rPr>
                <w:sz w:val="16"/>
                <w:szCs w:val="16"/>
                <w:color w:val="auto"/>
              </w:rPr>
            </w:pPr>
          </w:p>
        </w:tc>
        <w:tc>
          <w:tcPr>
            <w:tcW w:w="1180" w:type="dxa"/>
            <w:vAlign w:val="bottom"/>
            <w:shd w:val="clear" w:color="auto" w:fill="CBDBD1"/>
          </w:tcPr>
          <w:p>
            <w:pPr>
              <w:spacing w:after="0"/>
              <w:rPr>
                <w:sz w:val="16"/>
                <w:szCs w:val="16"/>
                <w:color w:val="auto"/>
              </w:rPr>
            </w:pPr>
          </w:p>
        </w:tc>
      </w:tr>
      <w:tr>
        <w:trPr>
          <w:trHeight w:val="220"/>
        </w:trPr>
        <w:tc>
          <w:tcPr>
            <w:tcW w:w="1860" w:type="dxa"/>
            <w:vAlign w:val="bottom"/>
            <w:shd w:val="clear" w:color="auto" w:fill="CBDBD1"/>
          </w:tcPr>
          <w:p>
            <w:pPr>
              <w:ind w:left="300"/>
              <w:spacing w:after="0"/>
              <w:rPr>
                <w:sz w:val="20"/>
                <w:szCs w:val="20"/>
                <w:color w:val="auto"/>
              </w:rPr>
            </w:pPr>
            <w:r>
              <w:rPr>
                <w:rFonts w:ascii="Arial" w:cs="Arial" w:eastAsia="Arial" w:hAnsi="Arial"/>
                <w:sz w:val="17"/>
                <w:szCs w:val="17"/>
                <w:color w:val="auto"/>
              </w:rPr>
              <w:t>carryover</w:t>
            </w:r>
          </w:p>
        </w:tc>
        <w:tc>
          <w:tcPr>
            <w:tcW w:w="120" w:type="dxa"/>
            <w:vAlign w:val="bottom"/>
            <w:shd w:val="clear" w:color="auto" w:fill="CBDBD1"/>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2,091,000</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7"/>
                <w:szCs w:val="17"/>
                <w:color w:val="auto"/>
              </w:rPr>
              <w:t>1,513,000</w:t>
            </w:r>
          </w:p>
        </w:tc>
      </w:tr>
      <w:tr>
        <w:trPr>
          <w:trHeight w:val="214"/>
        </w:trPr>
        <w:tc>
          <w:tcPr>
            <w:tcW w:w="1860" w:type="dxa"/>
            <w:vAlign w:val="bottom"/>
          </w:tcPr>
          <w:p>
            <w:pPr>
              <w:ind w:left="380"/>
              <w:spacing w:after="0"/>
              <w:rPr>
                <w:sz w:val="20"/>
                <w:szCs w:val="20"/>
                <w:color w:val="auto"/>
              </w:rPr>
            </w:pPr>
            <w:r>
              <w:rPr>
                <w:rFonts w:ascii="Arial" w:cs="Arial" w:eastAsia="Arial" w:hAnsi="Arial"/>
                <w:sz w:val="17"/>
                <w:szCs w:val="17"/>
                <w:color w:val="auto"/>
                <w:w w:val="96"/>
              </w:rPr>
              <w:t>Valuation allowance</w:t>
            </w: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(2,091,000)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(1,513,000)</w:t>
            </w:r>
          </w:p>
        </w:tc>
      </w:tr>
      <w:tr>
        <w:trPr>
          <w:trHeight w:val="195"/>
        </w:trPr>
        <w:tc>
          <w:tcPr>
            <w:tcW w:w="1860" w:type="dxa"/>
            <w:vAlign w:val="bottom"/>
            <w:shd w:val="clear" w:color="auto" w:fill="CBDBD1"/>
          </w:tcPr>
          <w:p>
            <w:pPr>
              <w:ind w:left="560"/>
              <w:spacing w:after="0"/>
              <w:rPr>
                <w:sz w:val="20"/>
                <w:szCs w:val="20"/>
                <w:color w:val="auto"/>
              </w:rPr>
            </w:pPr>
            <w:r>
              <w:rPr>
                <w:rFonts w:ascii="Arial" w:cs="Arial" w:eastAsia="Arial" w:hAnsi="Arial"/>
                <w:sz w:val="17"/>
                <w:szCs w:val="17"/>
                <w:color w:val="auto"/>
              </w:rPr>
              <w:t>Net deferred tax</w:t>
            </w:r>
          </w:p>
        </w:tc>
        <w:tc>
          <w:tcPr>
            <w:tcW w:w="120" w:type="dxa"/>
            <w:vAlign w:val="bottom"/>
            <w:tcBorders>
              <w:top w:val="single" w:sz="8" w:color="auto"/>
            </w:tcBorders>
            <w:shd w:val="clear" w:color="auto" w:fill="CBDBD1"/>
          </w:tcPr>
          <w:p>
            <w:pPr>
              <w:spacing w:after="0"/>
              <w:rPr>
                <w:sz w:val="16"/>
                <w:szCs w:val="16"/>
                <w:color w:val="auto"/>
              </w:rPr>
            </w:pPr>
          </w:p>
        </w:tc>
        <w:tc>
          <w:tcPr>
            <w:tcW w:w="1180" w:type="dxa"/>
            <w:vAlign w:val="bottom"/>
            <w:tcBorders>
              <w:top w:val="single" w:sz="8" w:color="auto"/>
            </w:tcBorders>
            <w:shd w:val="clear" w:color="auto" w:fill="CBDBD1"/>
          </w:tcPr>
          <w:p>
            <w:pPr>
              <w:spacing w:after="0"/>
              <w:rPr>
                <w:sz w:val="16"/>
                <w:szCs w:val="16"/>
                <w:color w:val="auto"/>
              </w:rPr>
            </w:pPr>
          </w:p>
        </w:tc>
        <w:tc>
          <w:tcPr>
            <w:tcW w:w="100" w:type="dxa"/>
            <w:vAlign w:val="bottom"/>
            <w:shd w:val="clear" w:color="auto" w:fill="CBDBD1"/>
          </w:tcPr>
          <w:p>
            <w:pPr>
              <w:spacing w:after="0"/>
              <w:rPr>
                <w:sz w:val="16"/>
                <w:szCs w:val="16"/>
                <w:color w:val="auto"/>
              </w:rPr>
            </w:pPr>
          </w:p>
        </w:tc>
        <w:tc>
          <w:tcPr>
            <w:tcW w:w="120" w:type="dxa"/>
            <w:vAlign w:val="bottom"/>
            <w:tcBorders>
              <w:top w:val="single" w:sz="8" w:color="auto"/>
            </w:tcBorders>
            <w:shd w:val="clear" w:color="auto" w:fill="CBDBD1"/>
          </w:tcPr>
          <w:p>
            <w:pPr>
              <w:spacing w:after="0"/>
              <w:rPr>
                <w:sz w:val="16"/>
                <w:szCs w:val="16"/>
                <w:color w:val="auto"/>
              </w:rPr>
            </w:pPr>
          </w:p>
        </w:tc>
        <w:tc>
          <w:tcPr>
            <w:tcW w:w="1180" w:type="dxa"/>
            <w:vAlign w:val="bottom"/>
            <w:tcBorders>
              <w:top w:val="single" w:sz="8" w:color="auto"/>
            </w:tcBorders>
            <w:shd w:val="clear" w:color="auto" w:fill="CBDBD1"/>
          </w:tcPr>
          <w:p>
            <w:pPr>
              <w:spacing w:after="0"/>
              <w:rPr>
                <w:sz w:val="16"/>
                <w:szCs w:val="16"/>
                <w:color w:val="auto"/>
              </w:rPr>
            </w:pPr>
          </w:p>
        </w:tc>
      </w:tr>
      <w:tr>
        <w:trPr>
          <w:trHeight w:val="240"/>
        </w:trPr>
        <w:tc>
          <w:tcPr>
            <w:tcW w:w="1860" w:type="dxa"/>
            <w:vAlign w:val="bottom"/>
            <w:shd w:val="clear" w:color="auto" w:fill="CBDBD1"/>
          </w:tcPr>
          <w:p>
            <w:pPr>
              <w:ind w:left="300"/>
              <w:spacing w:after="0"/>
              <w:rPr>
                <w:sz w:val="20"/>
                <w:szCs w:val="20"/>
                <w:color w:val="auto"/>
              </w:rPr>
            </w:pPr>
            <w:r>
              <w:rPr>
                <w:rFonts w:ascii="Arial" w:cs="Arial" w:eastAsia="Arial" w:hAnsi="Arial"/>
                <w:sz w:val="17"/>
                <w:szCs w:val="17"/>
                <w:color w:val="auto"/>
              </w:rPr>
              <w:t>asset</w:t>
            </w:r>
          </w:p>
        </w:tc>
        <w:tc>
          <w:tcPr>
            <w:tcW w:w="120" w:type="dxa"/>
            <w:vAlign w:val="bottom"/>
            <w:shd w:val="clear" w:color="auto" w:fill="CBDBD1"/>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BDBD1"/>
          </w:tcPr>
          <w:p>
            <w:pPr>
              <w:jc w:val="right"/>
              <w:ind w:right="100"/>
              <w:spacing w:after="0"/>
              <w:rPr>
                <w:sz w:val="20"/>
                <w:szCs w:val="20"/>
                <w:color w:val="auto"/>
              </w:rPr>
            </w:pPr>
            <w:r>
              <w:rPr>
                <w:rFonts w:ascii="Arial" w:cs="Arial" w:eastAsia="Arial" w:hAnsi="Arial"/>
                <w:sz w:val="17"/>
                <w:szCs w:val="17"/>
                <w:color w:val="auto"/>
              </w:rPr>
              <w:t>-0-</w:t>
            </w:r>
          </w:p>
        </w:tc>
        <w:tc>
          <w:tcPr>
            <w:tcW w:w="120" w:type="dxa"/>
            <w:vAlign w:val="bottom"/>
            <w:shd w:val="clear" w:color="auto" w:fill="CBDBD1"/>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BDBD1"/>
          </w:tcPr>
          <w:p>
            <w:pPr>
              <w:jc w:val="right"/>
              <w:spacing w:after="0"/>
              <w:rPr>
                <w:sz w:val="20"/>
                <w:szCs w:val="20"/>
                <w:color w:val="auto"/>
              </w:rPr>
            </w:pPr>
            <w:r>
              <w:rPr>
                <w:rFonts w:ascii="Arial" w:cs="Arial" w:eastAsia="Arial" w:hAnsi="Arial"/>
                <w:sz w:val="17"/>
                <w:szCs w:val="17"/>
                <w:color w:val="auto"/>
              </w:rPr>
              <w:t>-0-</w:t>
            </w:r>
          </w:p>
        </w:tc>
      </w:tr>
      <w:tr>
        <w:trPr>
          <w:trHeight w:val="20"/>
        </w:trPr>
        <w:tc>
          <w:tcPr>
            <w:tcW w:w="186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BDBD1"/>
            </w:tcBorders>
            <w:shd w:val="clear" w:color="auto" w:fill="CBDBD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15" w:lineRule="exact"/>
        <w:rPr>
          <w:sz w:val="20"/>
          <w:szCs w:val="20"/>
          <w:color w:val="auto"/>
        </w:rPr>
      </w:pPr>
    </w:p>
    <w:p>
      <w:pPr>
        <w:ind w:left="620" w:hanging="295"/>
        <w:spacing w:after="0"/>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GOING CONCERN</w:t>
      </w:r>
    </w:p>
    <w:p>
      <w:pPr>
        <w:spacing w:after="0" w:line="252" w:lineRule="exact"/>
        <w:rPr>
          <w:rFonts w:ascii="Arial" w:cs="Arial" w:eastAsia="Arial" w:hAnsi="Arial"/>
          <w:sz w:val="17"/>
          <w:szCs w:val="17"/>
          <w:b w:val="1"/>
          <w:bCs w:val="1"/>
          <w:color w:val="auto"/>
        </w:rPr>
      </w:pPr>
    </w:p>
    <w:p>
      <w:pPr>
        <w:ind w:left="620"/>
        <w:spacing w:after="0" w:line="285" w:lineRule="auto"/>
        <w:rPr>
          <w:rFonts w:ascii="Arial" w:cs="Arial" w:eastAsia="Arial" w:hAnsi="Arial"/>
          <w:sz w:val="17"/>
          <w:szCs w:val="17"/>
          <w:b w:val="1"/>
          <w:bCs w:val="1"/>
          <w:color w:val="auto"/>
        </w:rPr>
      </w:pPr>
      <w:r>
        <w:rPr>
          <w:rFonts w:ascii="Arial" w:cs="Arial" w:eastAsia="Arial" w:hAnsi="Arial"/>
          <w:sz w:val="17"/>
          <w:szCs w:val="17"/>
          <w:color w:val="auto"/>
        </w:rPr>
        <w:t>The accompanying financial statements have been prepared assuming that the Company will continue as a going concern. The Company has sustained substantial losses since inception.</w:t>
      </w:r>
    </w:p>
    <w:p>
      <w:pPr>
        <w:spacing w:after="0" w:line="185" w:lineRule="exact"/>
        <w:rPr>
          <w:rFonts w:ascii="Arial" w:cs="Arial" w:eastAsia="Arial" w:hAnsi="Arial"/>
          <w:sz w:val="17"/>
          <w:szCs w:val="17"/>
          <w:b w:val="1"/>
          <w:bCs w:val="1"/>
          <w:color w:val="auto"/>
        </w:rPr>
      </w:pPr>
    </w:p>
    <w:p>
      <w:pPr>
        <w:jc w:val="both"/>
        <w:ind w:left="62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In view of this matter, the ability of the Company to continue as a going concern is dependent upon growth of revenues and the ability of the Company to raise additional capital. Management believes that its successful ability to raise capital and increases in revenues will provide the opportunity for the Company to continue as a going concern.</w:t>
      </w:r>
    </w:p>
    <w:p>
      <w:pPr>
        <w:spacing w:after="0" w:line="191" w:lineRule="exact"/>
        <w:rPr>
          <w:rFonts w:ascii="Arial" w:cs="Arial" w:eastAsia="Arial" w:hAnsi="Arial"/>
          <w:sz w:val="17"/>
          <w:szCs w:val="17"/>
          <w:b w:val="1"/>
          <w:bCs w:val="1"/>
          <w:color w:val="auto"/>
        </w:rPr>
      </w:pPr>
    </w:p>
    <w:p>
      <w:pPr>
        <w:ind w:left="620" w:hanging="295"/>
        <w:spacing w:after="0"/>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52" w:lineRule="exact"/>
        <w:rPr>
          <w:sz w:val="20"/>
          <w:szCs w:val="20"/>
          <w:color w:val="auto"/>
        </w:rPr>
      </w:pPr>
    </w:p>
    <w:p>
      <w:pPr>
        <w:jc w:val="both"/>
        <w:ind w:left="320"/>
        <w:spacing w:after="0" w:line="261" w:lineRule="auto"/>
        <w:rPr>
          <w:sz w:val="20"/>
          <w:szCs w:val="20"/>
          <w:color w:val="auto"/>
        </w:rPr>
      </w:pPr>
      <w:r>
        <w:rPr>
          <w:rFonts w:ascii="Arial" w:cs="Arial" w:eastAsia="Arial" w:hAnsi="Arial"/>
          <w:sz w:val="17"/>
          <w:szCs w:val="17"/>
          <w:color w:val="auto"/>
        </w:rPr>
        <w:t>OPTIMIZERx has entered into a partnership arrangement with the PARS MEDIA Group, an Internet Advertising Network specializing in customized consumer acquisition services for niche vertical markets including pharmaceuticals, education, and b-to-b. The agreement is structured to drive an additional million plus members to the OPTIMIZERx community by the end of 2009, as well as assist in the ongoing outreach and communications efforts that keep members well informed of new offers and programs. The terms of the agreement call for the Company to pay PARS a monthly fee for a minimum of three months, an initial stock grant of 100,00 shares of the Company’s common stock, and an additional 100,000 shares of the Company’s common stock upon successful completion of the contract.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OPTIMIZERx CORPORATION</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 DEVELOPMENT STAGE COMPANY)</w:t>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JUNE 30, 2009</w:t>
      </w:r>
    </w:p>
    <w:p>
      <w:pPr>
        <w:spacing w:after="0" w:line="228" w:lineRule="exact"/>
        <w:rPr>
          <w:sz w:val="20"/>
          <w:szCs w:val="20"/>
          <w:color w:val="auto"/>
        </w:rPr>
      </w:pPr>
    </w:p>
    <w:p>
      <w:pPr>
        <w:ind w:left="320"/>
        <w:spacing w:after="0"/>
        <w:tabs>
          <w:tab w:leader="none" w:pos="700" w:val="left"/>
        </w:tabs>
        <w:rPr>
          <w:sz w:val="20"/>
          <w:szCs w:val="20"/>
          <w:color w:val="auto"/>
        </w:rPr>
      </w:pPr>
      <w:r>
        <w:rPr>
          <w:rFonts w:ascii="Arial" w:cs="Arial" w:eastAsia="Arial" w:hAnsi="Arial"/>
          <w:sz w:val="17"/>
          <w:szCs w:val="17"/>
          <w:b w:val="1"/>
          <w:bCs w:val="1"/>
          <w:color w:val="auto"/>
        </w:rPr>
        <w:t>16.</w:t>
        <w:tab/>
        <w:t>SUBSEQUENT EVENTS (CONTINUED)</w:t>
      </w:r>
    </w:p>
    <w:p>
      <w:pPr>
        <w:spacing w:after="0" w:line="252"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color w:val="auto"/>
        </w:rPr>
        <w:t>On August 1, 2009, the company entered into a one-year consulting agreement with Mr. Blake Whitney. Mr. Whitney, a co-founder of WebMD, will provide consulting services to the Company’s board of directors and executive management team on key business ussues and market opportunities. The terms of the agreement call for the Company to compensate Mr. Whitney with 100,000 stock options or grants. The contract contains an option to extend for one additional year upon mutual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26"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2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conduct all of our operations through our wholly-owned subsidiary, OptimizeRx Michigan. We are a development-stage company that has developed a website, www.optimizerx.com (our “Site”), to help medical patients better afford and manage their rising healthcare costs. In addition, we provide unique advertising programs to the pharmaceutical and healthcare industries.</w:t>
      </w:r>
    </w:p>
    <w:p>
      <w:pPr>
        <w:spacing w:after="0" w:line="198"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We recognize that patients have increasing influence in their healthcare decisions, particularly in their medications: what to buy, where to buy, and how to buy. However, there is very little information available to consumers regarding how to access available savings and support programs. We developed our Site to enable consumers to meet their prescribed pharmacological therapies in the most cost-effective manner possible. Our Site is a portal that identifies programs and savings that are available to consumers, based upon their needs. By creating a portal by which consumers access savings on their pharmaceutical needs, we have also created a Site where pharmaceutical companies can reach consumers with their advertising and other programs.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Since our formation, we have concentrated on developing our business strategy and obtaining financing. We plan to expand awareness, traffic and database to our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Site, as well as the launch of our offer development systems OFFERx™ and ADHERxE. We expect that the primary components of our business will be:</w:t>
      </w:r>
    </w:p>
    <w:p>
      <w:pPr>
        <w:spacing w:after="0" w:line="245" w:lineRule="exact"/>
        <w:rPr>
          <w:sz w:val="20"/>
          <w:szCs w:val="20"/>
          <w:color w:val="auto"/>
        </w:rPr>
      </w:pPr>
    </w:p>
    <w:p>
      <w:pPr>
        <w:ind w:left="620" w:hanging="16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Site and our network affiliates</w:t>
      </w:r>
    </w:p>
    <w:p>
      <w:pPr>
        <w:spacing w:after="0" w:line="24" w:lineRule="exact"/>
        <w:rPr>
          <w:rFonts w:ascii="Arial" w:cs="Arial" w:eastAsia="Arial" w:hAnsi="Arial"/>
          <w:sz w:val="17"/>
          <w:szCs w:val="17"/>
          <w:color w:val="auto"/>
        </w:rPr>
      </w:pPr>
    </w:p>
    <w:p>
      <w:pPr>
        <w:ind w:left="620" w:hanging="16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OFFERx to develop, promote and fulfill new offers from pharmaceutical and healthcare manufactures</w:t>
      </w:r>
    </w:p>
    <w:p>
      <w:pPr>
        <w:spacing w:after="0" w:line="12" w:lineRule="exact"/>
        <w:rPr>
          <w:rFonts w:ascii="Arial" w:cs="Arial" w:eastAsia="Arial" w:hAnsi="Arial"/>
          <w:sz w:val="17"/>
          <w:szCs w:val="17"/>
          <w:color w:val="auto"/>
        </w:rPr>
      </w:pPr>
    </w:p>
    <w:p>
      <w:pPr>
        <w:ind w:left="620" w:hanging="166"/>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ADHERxE to allow manufacturers to re-engage their customers through the activation of new savings each month</w:t>
      </w:r>
    </w:p>
    <w:p>
      <w:pPr>
        <w:spacing w:after="0" w:line="234"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We plan to generate revenues through: (i) advertising sales from our Site and affiliate network; (ii) its database; (iii) direct marketing and sponsorships and (iv) our platforms to create, promote and manage new savings offers for additional clients.</w:t>
      </w:r>
    </w:p>
    <w:p>
      <w:pPr>
        <w:spacing w:after="0" w:line="18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have acquired over a million members to date. Upon this, management has been preparing and addressing all key issues to successfully serve and monetize the membership database, including: content, procurement of advertising sponsorships, technology and distribution. We originally planned to extend our reach and visibility through increased online, print and broadcast marketing to increase traffic and our database of qualified health care consumers. However, with our current membership base, along with the short period of time since acquiring the majority of our members and the sales cycle of attaining sponsorship and industry advertising programs to this new asset, we have not engaged in marketing to our database.</w:t>
      </w:r>
    </w:p>
    <w:p>
      <w:pPr>
        <w:spacing w:after="0" w:line="206"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Management continues to believe the OPTIMIZERx database will be a very significant, on-going revenue stream over time. Currently we have over 10 advertising proposals pending to major pharmaceutical companies and agencies, including Lilly, AstraZeneca, Publicis and Novartis.</w:t>
      </w:r>
    </w:p>
    <w:p>
      <w:pPr>
        <w:spacing w:after="0" w:line="185" w:lineRule="exact"/>
        <w:rPr>
          <w:sz w:val="20"/>
          <w:szCs w:val="20"/>
          <w:color w:val="auto"/>
        </w:rPr>
      </w:pPr>
    </w:p>
    <w:p>
      <w:pPr>
        <w:spacing w:after="0" w:line="355" w:lineRule="auto"/>
        <w:rPr>
          <w:sz w:val="20"/>
          <w:szCs w:val="20"/>
          <w:color w:val="auto"/>
        </w:rPr>
      </w:pPr>
      <w:r>
        <w:rPr>
          <w:rFonts w:ascii="Arial" w:cs="Arial" w:eastAsia="Arial" w:hAnsi="Arial"/>
          <w:sz w:val="15"/>
          <w:szCs w:val="15"/>
          <w:color w:val="auto"/>
        </w:rPr>
        <w:t>The company has aggressive plans to initiate advertising programs to its members in the second half of the year. This includes leveraging our formalized partnership with Cegedim Dendrite (www.cegedimdendrite.com), ValueClick Media (www.valueclick.com) and Sudler &amp; Hennessey (http://sudler.com/), a division of WPP.</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Three and Six Months Ended June 30,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4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total revenue reported for three months ended June 30, 2009 was $3,449, a decrease from $16,679 for the three months ended June 30, 2008. Our total revenue reported for six months ended June 30, 2009 was $4,720, a decrease from $67,206 for the six months ended June 30, 2008. The decrease in revenue is attributable to the organization performing a onetime special fulfilment order for a client. During the period, the company has continued to focus on 1) building the functionality of its website for both the user interface and architecture for the backend transaction fulfilment and security, and 2) continued to focus at building brand recognition, market place presence, and direct client relationships to identify revenue generation opportunities and programs.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4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Operating expenses increased to $355,462 for the three months ended June 30, 2009 from $218,927 for the same period ended 2008. Our operating expenses for the three months ended June 30, 2009 consisted mainly of consulting fees of $14,198, advertising expenses of $9,282, payroll of $128,427, auto expenses of $18,984 and employee benefits of $12,929. Our operating expenses for the three months ended June 30, 2008 consisted of general and administrative expenses of $109,418, consulting expenses of $98,920 and depreciation and amortization of $10,589.</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Operating expenses increased to $1,731,766 for the six months ended June 30, 2009 from $485,036 for the same period ended 2008. Our operating expenses for the six months ended June 30, 2009 consisted mainly of consulting fees of $890,993, advertising expenses of $316,853, payroll of $230,077, website maintenance of $15,726, auto expenses of $33,272 and employee benefits of $23,036. Our operating expenses for the six months ended June 30, 2008 consisted of general and administrative expenses of $273,017, consulting expenses of $193,490 and depreciation and amortization of $18,529.</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Expenses</w:t>
      </w:r>
    </w:p>
    <w:p>
      <w:pPr>
        <w:spacing w:after="0" w:line="24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Other income was $9,868 for three months ended June 30, 2009 an increase from other expenses of $332,990 for same period ended 2008. Other income was $24,178 for three months ended June 30, 2009 an increase from other expenses of $332,990 for same period ended 2008. The other income for the three and six months ended June 30, 2009 is largely attributable to interest income. The other expenses for the three months ended June 30, 2008 is largely attributable to warrant 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Loss</w:t>
      </w:r>
    </w:p>
    <w:p>
      <w:pPr>
        <w:spacing w:after="0" w:line="24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Net loss for the three months ended June 30, 2009 was $342,145, compared to net loss of $535,238 for the same period 2008. Net loss for the six months ended June 30, 2009 was $1,702,868, compared to net loss of $750,820 for the same period 2008.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2" w:lineRule="exact"/>
        <w:rPr>
          <w:sz w:val="20"/>
          <w:szCs w:val="20"/>
          <w:color w:val="auto"/>
        </w:rPr>
      </w:pPr>
    </w:p>
    <w:p>
      <w:pPr>
        <w:ind w:right="320"/>
        <w:spacing w:after="0" w:line="285" w:lineRule="auto"/>
        <w:rPr>
          <w:sz w:val="20"/>
          <w:szCs w:val="20"/>
          <w:color w:val="auto"/>
        </w:rPr>
      </w:pPr>
      <w:r>
        <w:rPr>
          <w:rFonts w:ascii="Arial" w:cs="Arial" w:eastAsia="Arial" w:hAnsi="Arial"/>
          <w:sz w:val="17"/>
          <w:szCs w:val="17"/>
          <w:color w:val="auto"/>
        </w:rPr>
        <w:t>As of June 30, 2009, we had total current assets of $1,347,230 and total assets in the amount of $1,466,979. Our total current liabilities as of June 30, 2009 were $48,343. We had working capital of $1,298,887 as of June 30, 2009.</w:t>
      </w:r>
    </w:p>
    <w:p>
      <w:pPr>
        <w:spacing w:after="0" w:line="18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Operating activities used $1,160,550 in cash for the six months ended June 30, 2009. Our net loss of $1,702,868 was the primary component of our negative operating cash flow, offset mainly by $696,000 in stock issued for services. We had no cash flows used by investing activities during the six months ended June 30, 2009. We used $4,000 in cash flows in financing activities during the six months ended June 30, 2009, for payments on loans payable.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Management feels that our current cash balance will allow us to meet the expenses required to support our growth plans over the next twelve months.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2009, there were no off balance sheet arrangements.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5"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 smaller reporting company is not required to provide the information required by this Item.</w:t>
      </w:r>
    </w:p>
    <w:p>
      <w:pPr>
        <w:spacing w:after="0" w:line="240"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25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June 30, 2009. This evaluation was carried out under the supervision and with the participation of our Chief Executive Officer and Chief Financial Officer, Mr. David Lester. Based upon that evaluation, our Chief Executive Officer and Chief Financial Officer concluded that, as of June 30, 2009, our disclosure controls and procedures are effective. There have been no significant changes in our internal controls over financial reporting during the quarter ended June 30, 2009 that have materially affected or are reasonably likely to materially affect such controls.</w:t>
      </w:r>
    </w:p>
    <w:p>
      <w:pPr>
        <w:spacing w:after="0" w:line="18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Limitations on the Effectiveness of Internal Controls</w:t>
      </w:r>
    </w:p>
    <w:p>
      <w:pPr>
        <w:spacing w:after="0" w:line="24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614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4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2" w:lineRule="exact"/>
        <w:rPr>
          <w:sz w:val="20"/>
          <w:szCs w:val="20"/>
          <w:color w:val="auto"/>
        </w:rPr>
      </w:pPr>
    </w:p>
    <w:p>
      <w:pPr>
        <w:ind w:right="420"/>
        <w:spacing w:after="0" w:line="285" w:lineRule="auto"/>
        <w:rPr>
          <w:sz w:val="20"/>
          <w:szCs w:val="20"/>
          <w:color w:val="auto"/>
        </w:rPr>
      </w:pPr>
      <w:r>
        <w:rPr>
          <w:rFonts w:ascii="Arial" w:cs="Arial" w:eastAsia="Arial" w:hAnsi="Arial"/>
          <w:sz w:val="17"/>
          <w:szCs w:val="17"/>
          <w:color w:val="auto"/>
        </w:rPr>
        <w:t>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 smaller reporting company is not required to provide the information required by this Item.</w:t>
      </w:r>
    </w:p>
    <w:p>
      <w:pPr>
        <w:spacing w:after="0" w:line="24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2" w:lineRule="exact"/>
        <w:rPr>
          <w:sz w:val="20"/>
          <w:szCs w:val="20"/>
          <w:color w:val="auto"/>
        </w:rPr>
      </w:pPr>
    </w:p>
    <w:p>
      <w:pPr>
        <w:ind w:right="320"/>
        <w:spacing w:after="0" w:line="285" w:lineRule="auto"/>
        <w:rPr>
          <w:sz w:val="20"/>
          <w:szCs w:val="20"/>
          <w:color w:val="auto"/>
        </w:rPr>
      </w:pPr>
      <w:r>
        <w:rPr>
          <w:rFonts w:ascii="Arial" w:cs="Arial" w:eastAsia="Arial" w:hAnsi="Arial"/>
          <w:sz w:val="17"/>
          <w:szCs w:val="17"/>
          <w:color w:val="auto"/>
        </w:rPr>
        <w:t>In the current quarter, we issued 213,908 shares of our common stock upon the exercise of warrants at a strike price of $2.00 per share, and 52,000 shares of our commons stock upon the exercise of warrants at a strike price of $1.00 per share.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We also issued 160,000 shares of our common stock for services rendered.</w:t>
      </w:r>
    </w:p>
    <w:p>
      <w:pPr>
        <w:spacing w:after="0" w:line="24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196"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No matters have been submitted to our security holders for a vote, through the solicitation of proxies or otherwise, during the quarterly period ended June 30, 2009.</w:t>
      </w:r>
    </w:p>
    <w:p>
      <w:pPr>
        <w:spacing w:after="0" w:line="26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5"/>
              </w:rPr>
              <w:t>Exhibit</w:t>
            </w:r>
          </w:p>
        </w:tc>
        <w:tc>
          <w:tcPr>
            <w:tcW w:w="480" w:type="dxa"/>
            <w:vAlign w:val="bottom"/>
            <w:gridSpan w:val="2"/>
          </w:tcPr>
          <w:p>
            <w:pPr>
              <w:spacing w:after="0"/>
              <w:rPr>
                <w:sz w:val="16"/>
                <w:szCs w:val="16"/>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2"/>
              </w:rPr>
              <w:t>Description of Exhibit</w:t>
            </w:r>
          </w:p>
        </w:tc>
        <w:tc>
          <w:tcPr>
            <w:tcW w:w="8740" w:type="dxa"/>
            <w:vAlign w:val="bottom"/>
            <w:gridSpan w:val="4"/>
          </w:tcPr>
          <w:p>
            <w:pPr>
              <w:spacing w:after="0"/>
              <w:rPr>
                <w:sz w:val="16"/>
                <w:szCs w:val="16"/>
                <w:color w:val="auto"/>
              </w:rPr>
            </w:pPr>
          </w:p>
        </w:tc>
      </w:tr>
      <w:tr>
        <w:trPr>
          <w:trHeight w:val="188"/>
        </w:trPr>
        <w:tc>
          <w:tcPr>
            <w:tcW w:w="1040" w:type="dxa"/>
            <w:vAlign w:val="bottom"/>
            <w:gridSpan w:val="4"/>
          </w:tcPr>
          <w:p>
            <w:pPr>
              <w:spacing w:after="0" w:line="188" w:lineRule="exact"/>
              <w:rPr>
                <w:sz w:val="20"/>
                <w:szCs w:val="20"/>
                <w:color w:val="auto"/>
              </w:rPr>
            </w:pPr>
            <w:r>
              <w:rPr>
                <w:rFonts w:ascii="Arial" w:cs="Arial" w:eastAsia="Arial" w:hAnsi="Arial"/>
                <w:sz w:val="17"/>
                <w:szCs w:val="17"/>
                <w:b w:val="1"/>
                <w:bCs w:val="1"/>
                <w:color w:val="auto"/>
              </w:rPr>
              <w:t>Number</w:t>
            </w: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300" w:type="dxa"/>
            <w:vAlign w:val="bottom"/>
            <w:tcBorders>
              <w:top w:val="single" w:sz="8" w:color="auto"/>
              <w:bottom w:val="single" w:sz="8" w:color="0000EE"/>
            </w:tcBorders>
          </w:tcPr>
          <w:p>
            <w:pPr>
              <w:spacing w:after="0" w:line="188" w:lineRule="exact"/>
              <w:rPr>
                <w:sz w:val="20"/>
                <w:szCs w:val="20"/>
                <w:color w:val="auto"/>
              </w:rPr>
            </w:pPr>
            <w:r>
              <w:rPr>
                <w:rFonts w:ascii="Arial" w:cs="Arial" w:eastAsia="Arial" w:hAnsi="Arial"/>
                <w:sz w:val="17"/>
                <w:szCs w:val="17"/>
                <w:color w:val="0000EE"/>
                <w:w w:val="84"/>
              </w:rPr>
              <w:t>31.</w:t>
            </w:r>
            <w:r>
              <w:rPr>
                <w:rFonts w:ascii="Arial" w:cs="Arial" w:eastAsia="Arial" w:hAnsi="Arial"/>
                <w:sz w:val="17"/>
                <w:szCs w:val="17"/>
                <w:u w:val="single" w:color="auto"/>
                <w:color w:val="0000EE"/>
                <w:w w:val="84"/>
              </w:rPr>
              <w:t>1</w:t>
            </w: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240" w:type="dxa"/>
            <w:vAlign w:val="bottom"/>
            <w:tcBorders>
              <w:bottom w:val="single" w:sz="8" w:color="0000EE"/>
            </w:tcBorders>
            <w:gridSpan w:val="4"/>
          </w:tcPr>
          <w:p>
            <w:pPr>
              <w:spacing w:after="0" w:line="188" w:lineRule="exact"/>
              <w:rPr>
                <w:sz w:val="20"/>
                <w:szCs w:val="20"/>
                <w:color w:val="auto"/>
              </w:rPr>
            </w:pPr>
            <w:r>
              <w:rPr>
                <w:rFonts w:ascii="Arial" w:cs="Arial" w:eastAsia="Arial" w:hAnsi="Arial"/>
                <w:sz w:val="17"/>
                <w:szCs w:val="17"/>
                <w:color w:val="0000EE"/>
                <w:w w:val="92"/>
              </w:rPr>
              <w:t>Certification of Chief Executive Officer pursuant to 18 U.S.C. Section 1350, as adopted pursuant to Section 302 of the Sarbanes-Oxley Act of 2002</w:t>
            </w:r>
          </w:p>
        </w:tc>
        <w:tc>
          <w:tcPr>
            <w:tcW w:w="140" w:type="dxa"/>
            <w:vAlign w:val="bottom"/>
          </w:tcPr>
          <w:p>
            <w:pPr>
              <w:spacing w:after="0"/>
              <w:rPr>
                <w:sz w:val="16"/>
                <w:szCs w:val="16"/>
                <w:color w:val="auto"/>
              </w:rPr>
            </w:pPr>
          </w:p>
        </w:tc>
      </w:tr>
      <w:tr>
        <w:trPr>
          <w:trHeight w:val="188"/>
        </w:trPr>
        <w:tc>
          <w:tcPr>
            <w:tcW w:w="300" w:type="dxa"/>
            <w:vAlign w:val="bottom"/>
          </w:tcPr>
          <w:p>
            <w:pPr>
              <w:spacing w:after="0" w:line="188" w:lineRule="exact"/>
              <w:rPr>
                <w:sz w:val="20"/>
                <w:szCs w:val="20"/>
                <w:color w:val="auto"/>
              </w:rPr>
            </w:pPr>
            <w:r>
              <w:rPr>
                <w:rFonts w:ascii="Arial" w:cs="Arial" w:eastAsia="Arial" w:hAnsi="Arial"/>
                <w:sz w:val="17"/>
                <w:szCs w:val="17"/>
                <w:color w:val="0000EE"/>
                <w:w w:val="84"/>
              </w:rPr>
              <w:t>31.</w:t>
            </w:r>
            <w:r>
              <w:rPr>
                <w:rFonts w:ascii="Arial" w:cs="Arial" w:eastAsia="Arial" w:hAnsi="Arial"/>
                <w:sz w:val="17"/>
                <w:szCs w:val="17"/>
                <w:u w:val="single" w:color="auto"/>
                <w:color w:val="0000EE"/>
                <w:w w:val="84"/>
              </w:rPr>
              <w:t>2</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380" w:type="dxa"/>
            <w:vAlign w:val="bottom"/>
            <w:gridSpan w:val="5"/>
          </w:tcPr>
          <w:p>
            <w:pPr>
              <w:spacing w:after="0" w:line="188" w:lineRule="exact"/>
              <w:rPr>
                <w:sz w:val="20"/>
                <w:szCs w:val="20"/>
                <w:color w:val="auto"/>
              </w:rPr>
            </w:pPr>
            <w:r>
              <w:rPr>
                <w:rFonts w:ascii="Arial" w:cs="Arial" w:eastAsia="Arial" w:hAnsi="Arial"/>
                <w:sz w:val="17"/>
                <w:szCs w:val="17"/>
                <w:color w:val="0000EE"/>
                <w:w w:val="94"/>
              </w:rPr>
              <w:t>Certification of Chief Financial Officer pursuant to 18 U.S.C. Section 1350, as adopted pursuant to Section 302 of the Sarbanes-Oxley Act of 2002</w:t>
            </w:r>
          </w:p>
        </w:tc>
      </w:tr>
      <w:tr>
        <w:trPr>
          <w:trHeight w:val="20"/>
        </w:trPr>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82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8"/>
        </w:trPr>
        <w:tc>
          <w:tcPr>
            <w:tcW w:w="300" w:type="dxa"/>
            <w:vAlign w:val="bottom"/>
            <w:tcBorders>
              <w:bottom w:val="single" w:sz="8" w:color="0000EE"/>
            </w:tcBorders>
          </w:tcPr>
          <w:p>
            <w:pPr>
              <w:spacing w:after="0" w:line="188" w:lineRule="exact"/>
              <w:rPr>
                <w:sz w:val="20"/>
                <w:szCs w:val="20"/>
                <w:color w:val="auto"/>
              </w:rPr>
            </w:pPr>
            <w:r>
              <w:rPr>
                <w:rFonts w:ascii="Arial" w:cs="Arial" w:eastAsia="Arial" w:hAnsi="Arial"/>
                <w:sz w:val="17"/>
                <w:szCs w:val="17"/>
                <w:color w:val="0000EE"/>
                <w:w w:val="84"/>
              </w:rPr>
              <w:t>32.</w:t>
            </w:r>
            <w:r>
              <w:rPr>
                <w:rFonts w:ascii="Arial" w:cs="Arial" w:eastAsia="Arial" w:hAnsi="Arial"/>
                <w:sz w:val="17"/>
                <w:szCs w:val="17"/>
                <w:u w:val="single" w:color="auto"/>
                <w:color w:val="0000EE"/>
                <w:w w:val="84"/>
              </w:rPr>
              <w:t>1</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380" w:type="dxa"/>
            <w:vAlign w:val="bottom"/>
            <w:tcBorders>
              <w:bottom w:val="single" w:sz="8" w:color="0000EE"/>
            </w:tcBorders>
            <w:gridSpan w:val="5"/>
          </w:tcPr>
          <w:p>
            <w:pPr>
              <w:spacing w:after="0" w:line="188" w:lineRule="exact"/>
              <w:rPr>
                <w:sz w:val="20"/>
                <w:szCs w:val="20"/>
                <w:color w:val="auto"/>
              </w:rPr>
            </w:pPr>
            <w:r>
              <w:rPr>
                <w:rFonts w:ascii="Arial" w:cs="Arial" w:eastAsia="Arial" w:hAnsi="Arial"/>
                <w:sz w:val="17"/>
                <w:szCs w:val="17"/>
                <w:color w:val="0000EE"/>
                <w:w w:val="95"/>
              </w:rPr>
              <w:t>Certification of Chief Executive Officer and Chief Financial Officer pursuant to 18 U.S.C. Section 1350, as adopted pursuant to Section 906 of the</w:t>
            </w:r>
          </w:p>
        </w:tc>
      </w:tr>
      <w:tr>
        <w:trPr>
          <w:trHeight w:val="188"/>
        </w:trPr>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Borders>
              <w:bottom w:val="single" w:sz="8" w:color="0000EE"/>
            </w:tcBorders>
            <w:gridSpan w:val="2"/>
          </w:tcPr>
          <w:p>
            <w:pPr>
              <w:spacing w:after="0" w:line="188" w:lineRule="exact"/>
              <w:rPr>
                <w:sz w:val="20"/>
                <w:szCs w:val="20"/>
                <w:color w:val="auto"/>
              </w:rPr>
            </w:pPr>
            <w:r>
              <w:rPr>
                <w:rFonts w:ascii="Arial" w:cs="Arial" w:eastAsia="Arial" w:hAnsi="Arial"/>
                <w:sz w:val="17"/>
                <w:szCs w:val="17"/>
                <w:color w:val="0000EE"/>
                <w:w w:val="92"/>
              </w:rPr>
              <w:t>Sarbanes-Oxley Act of 2002</w:t>
            </w:r>
          </w:p>
        </w:tc>
        <w:tc>
          <w:tcPr>
            <w:tcW w:w="8400" w:type="dxa"/>
            <w:vAlign w:val="bottom"/>
            <w:gridSpan w:val="3"/>
          </w:tcPr>
          <w:p>
            <w:pPr>
              <w:spacing w:after="0"/>
              <w:rPr>
                <w:sz w:val="16"/>
                <w:szCs w:val="16"/>
                <w:color w:val="auto"/>
              </w:rPr>
            </w:pPr>
          </w:p>
        </w:tc>
      </w:tr>
      <w:tr>
        <w:trPr>
          <w:trHeight w:val="695"/>
        </w:trPr>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80" w:type="dxa"/>
            <w:vAlign w:val="bottom"/>
            <w:gridSpan w:val="3"/>
          </w:tcPr>
          <w:p>
            <w:pPr>
              <w:ind w:left="4640"/>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3"/>
        </w:trPr>
        <w:tc>
          <w:tcPr>
            <w:tcW w:w="3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252" w:lineRule="exact"/>
        <w:rPr>
          <w:sz w:val="20"/>
          <w:szCs w:val="20"/>
          <w:color w:val="auto"/>
        </w:rPr>
      </w:pPr>
    </w:p>
    <w:p>
      <w:pPr>
        <w:ind w:left="480"/>
        <w:spacing w:after="0" w:line="285" w:lineRule="auto"/>
        <w:rPr>
          <w:sz w:val="20"/>
          <w:szCs w:val="20"/>
          <w:color w:val="auto"/>
        </w:rPr>
      </w:pPr>
      <w:r>
        <w:rPr>
          <w:rFonts w:ascii="Arial" w:cs="Arial" w:eastAsia="Arial" w:hAnsi="Arial"/>
          <w:sz w:val="17"/>
          <w:szCs w:val="17"/>
          <w:color w:val="auto"/>
        </w:rPr>
        <w:t>In accordance with the requirements of the Securities and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40" w:type="dxa"/>
            <w:vAlign w:val="bottom"/>
          </w:tcPr>
          <w:p>
            <w:pPr>
              <w:spacing w:after="0"/>
              <w:rPr>
                <w:sz w:val="19"/>
                <w:szCs w:val="19"/>
                <w:color w:val="auto"/>
              </w:rPr>
            </w:pPr>
          </w:p>
        </w:tc>
        <w:tc>
          <w:tcPr>
            <w:tcW w:w="5240" w:type="dxa"/>
            <w:vAlign w:val="bottom"/>
            <w:gridSpan w:val="4"/>
          </w:tcPr>
          <w:p>
            <w:pPr>
              <w:ind w:left="160"/>
              <w:spacing w:after="0"/>
              <w:rPr>
                <w:sz w:val="20"/>
                <w:szCs w:val="20"/>
                <w:color w:val="auto"/>
              </w:rPr>
            </w:pPr>
            <w:r>
              <w:rPr>
                <w:rFonts w:ascii="Arial" w:cs="Arial" w:eastAsia="Arial" w:hAnsi="Arial"/>
                <w:sz w:val="17"/>
                <w:szCs w:val="17"/>
                <w:b w:val="1"/>
                <w:bCs w:val="1"/>
                <w:color w:val="auto"/>
              </w:rPr>
              <w:t>OptimizeRx Corporation</w:t>
            </w:r>
          </w:p>
        </w:tc>
      </w:tr>
      <w:tr>
        <w:trPr>
          <w:trHeight w:val="416"/>
        </w:trPr>
        <w:tc>
          <w:tcPr>
            <w:tcW w:w="540" w:type="dxa"/>
            <w:vAlign w:val="bottom"/>
          </w:tcPr>
          <w:p>
            <w:pPr>
              <w:spacing w:after="0"/>
              <w:rPr>
                <w:sz w:val="20"/>
                <w:szCs w:val="20"/>
                <w:color w:val="auto"/>
              </w:rPr>
            </w:pPr>
            <w:r>
              <w:rPr>
                <w:rFonts w:ascii="Arial" w:cs="Arial" w:eastAsia="Arial" w:hAnsi="Arial"/>
                <w:sz w:val="17"/>
                <w:szCs w:val="17"/>
                <w:color w:val="auto"/>
              </w:rPr>
              <w:t>Date:</w:t>
            </w:r>
          </w:p>
        </w:tc>
        <w:tc>
          <w:tcPr>
            <w:tcW w:w="5240" w:type="dxa"/>
            <w:vAlign w:val="bottom"/>
            <w:gridSpan w:val="4"/>
          </w:tcPr>
          <w:p>
            <w:pPr>
              <w:ind w:left="160"/>
              <w:spacing w:after="0"/>
              <w:rPr>
                <w:sz w:val="20"/>
                <w:szCs w:val="20"/>
                <w:color w:val="auto"/>
              </w:rPr>
            </w:pPr>
            <w:r>
              <w:rPr>
                <w:rFonts w:ascii="Arial" w:cs="Arial" w:eastAsia="Arial" w:hAnsi="Arial"/>
                <w:sz w:val="17"/>
                <w:szCs w:val="17"/>
                <w:color w:val="auto"/>
              </w:rPr>
              <w:t>August 12, 2009</w:t>
            </w:r>
          </w:p>
        </w:tc>
      </w:tr>
      <w:tr>
        <w:trPr>
          <w:trHeight w:val="377"/>
        </w:trPr>
        <w:tc>
          <w:tcPr>
            <w:tcW w:w="54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Arial" w:cs="Arial" w:eastAsia="Arial" w:hAnsi="Arial"/>
                <w:sz w:val="17"/>
                <w:szCs w:val="17"/>
                <w:color w:val="auto"/>
              </w:rPr>
              <w:t>By:</w:t>
            </w: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3"/>
              </w:rPr>
              <w:t>/s/ David Lester</w:t>
            </w:r>
          </w:p>
        </w:tc>
        <w:tc>
          <w:tcPr>
            <w:tcW w:w="3420" w:type="dxa"/>
            <w:vAlign w:val="bottom"/>
          </w:tcPr>
          <w:p>
            <w:pPr>
              <w:spacing w:after="0"/>
              <w:rPr>
                <w:sz w:val="24"/>
                <w:szCs w:val="24"/>
                <w:color w:val="auto"/>
              </w:rPr>
            </w:pPr>
          </w:p>
        </w:tc>
      </w:tr>
      <w:tr>
        <w:trPr>
          <w:trHeight w:val="208"/>
        </w:trPr>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2"/>
          </w:tcPr>
          <w:p>
            <w:pPr>
              <w:ind w:left="20"/>
              <w:spacing w:after="0"/>
              <w:rPr>
                <w:sz w:val="20"/>
                <w:szCs w:val="20"/>
                <w:color w:val="auto"/>
              </w:rPr>
            </w:pPr>
            <w:r>
              <w:rPr>
                <w:rFonts w:ascii="Arial" w:cs="Arial" w:eastAsia="Arial" w:hAnsi="Arial"/>
                <w:sz w:val="17"/>
                <w:szCs w:val="17"/>
                <w:color w:val="auto"/>
              </w:rPr>
              <w:t>David Lester</w:t>
            </w:r>
          </w:p>
        </w:tc>
      </w:tr>
      <w:tr>
        <w:trPr>
          <w:trHeight w:val="226"/>
        </w:trPr>
        <w:tc>
          <w:tcPr>
            <w:tcW w:w="540" w:type="dxa"/>
            <w:vAlign w:val="bottom"/>
          </w:tcPr>
          <w:p>
            <w:pPr>
              <w:spacing w:after="0"/>
              <w:rPr>
                <w:sz w:val="19"/>
                <w:szCs w:val="19"/>
                <w:color w:val="auto"/>
              </w:rPr>
            </w:pPr>
          </w:p>
        </w:tc>
        <w:tc>
          <w:tcPr>
            <w:tcW w:w="600" w:type="dxa"/>
            <w:vAlign w:val="bottom"/>
          </w:tcPr>
          <w:p>
            <w:pPr>
              <w:ind w:left="160"/>
              <w:spacing w:after="0"/>
              <w:rPr>
                <w:sz w:val="20"/>
                <w:szCs w:val="20"/>
                <w:color w:val="auto"/>
              </w:rPr>
            </w:pPr>
            <w:r>
              <w:rPr>
                <w:rFonts w:ascii="Arial" w:cs="Arial" w:eastAsia="Arial" w:hAnsi="Arial"/>
                <w:sz w:val="17"/>
                <w:szCs w:val="17"/>
                <w:color w:val="auto"/>
              </w:rPr>
              <w:t>Title:</w:t>
            </w:r>
          </w:p>
        </w:tc>
        <w:tc>
          <w:tcPr>
            <w:tcW w:w="4640" w:type="dxa"/>
            <w:vAlign w:val="bottom"/>
            <w:gridSpan w:val="3"/>
          </w:tcPr>
          <w:p>
            <w:pPr>
              <w:ind w:left="100"/>
              <w:spacing w:after="0"/>
              <w:rPr>
                <w:sz w:val="20"/>
                <w:szCs w:val="20"/>
                <w:color w:val="auto"/>
              </w:rPr>
            </w:pPr>
            <w:r>
              <w:rPr>
                <w:rFonts w:ascii="Arial" w:cs="Arial" w:eastAsia="Arial" w:hAnsi="Arial"/>
                <w:sz w:val="17"/>
                <w:szCs w:val="17"/>
                <w:b w:val="1"/>
                <w:bCs w:val="1"/>
                <w:color w:val="auto"/>
                <w:w w:val="93"/>
              </w:rPr>
              <w:t>Chief Executive Officer, Chief Financial Officer, and Director</w:t>
            </w:r>
          </w:p>
        </w:tc>
      </w:tr>
    </w:tbl>
    <w:p>
      <w:pPr>
        <w:sectPr>
          <w:pgSz w:w="11900" w:h="16838" w:orient="portrait"/>
          <w:cols w:equalWidth="0" w:num="1">
            <w:col w:w="11240"/>
          </w:cols>
          <w:pgMar w:left="240" w:top="121" w:right="41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 David Lester, certify that;</w:t>
      </w:r>
    </w:p>
    <w:p>
      <w:pPr>
        <w:spacing w:after="0" w:line="246" w:lineRule="exact"/>
        <w:rPr>
          <w:sz w:val="20"/>
          <w:szCs w:val="20"/>
          <w:color w:val="auto"/>
        </w:rPr>
      </w:pPr>
    </w:p>
    <w:p>
      <w:pPr>
        <w:ind w:left="480" w:hanging="225"/>
        <w:spacing w:after="0"/>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2009 of OptimizeRx Corporation (the “registrant”);</w:t>
      </w:r>
    </w:p>
    <w:p>
      <w:pPr>
        <w:spacing w:after="0" w:line="246" w:lineRule="exact"/>
        <w:rPr>
          <w:rFonts w:ascii="Arial" w:cs="Arial" w:eastAsia="Arial" w:hAnsi="Arial"/>
          <w:sz w:val="17"/>
          <w:szCs w:val="17"/>
          <w:color w:val="auto"/>
        </w:rPr>
      </w:pPr>
    </w:p>
    <w:p>
      <w:pPr>
        <w:ind w:left="480" w:hanging="225"/>
        <w:spacing w:after="0" w:line="318" w:lineRule="auto"/>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480" w:hanging="225"/>
        <w:spacing w:after="0" w:line="285"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jc w:val="both"/>
        <w:ind w:left="480" w:hanging="225"/>
        <w:spacing w:after="0" w:line="270"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97" w:lineRule="exact"/>
        <w:rPr>
          <w:rFonts w:ascii="Arial" w:cs="Arial" w:eastAsia="Arial" w:hAnsi="Arial"/>
          <w:sz w:val="17"/>
          <w:szCs w:val="17"/>
          <w:color w:val="auto"/>
        </w:rPr>
      </w:pPr>
    </w:p>
    <w:p>
      <w:pPr>
        <w:jc w:val="both"/>
        <w:ind w:left="1260" w:hanging="215"/>
        <w:spacing w:after="0" w:line="270" w:lineRule="auto"/>
        <w:tabs>
          <w:tab w:leader="none" w:pos="12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jc w:val="both"/>
        <w:ind w:left="1260" w:hanging="225"/>
        <w:spacing w:after="0" w:line="270" w:lineRule="auto"/>
        <w:tabs>
          <w:tab w:leader="none" w:pos="12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ind w:left="1260" w:hanging="215"/>
        <w:spacing w:after="0" w:line="318" w:lineRule="auto"/>
        <w:tabs>
          <w:tab w:leader="none" w:pos="1260" w:val="left"/>
        </w:tabs>
        <w:numPr>
          <w:ilvl w:val="2"/>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1260" w:hanging="225"/>
        <w:spacing w:after="0" w:line="318" w:lineRule="auto"/>
        <w:tabs>
          <w:tab w:leader="none" w:pos="1260" w:val="left"/>
        </w:tabs>
        <w:numPr>
          <w:ilvl w:val="2"/>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2" w:lineRule="exact"/>
        <w:rPr>
          <w:rFonts w:ascii="Arial" w:cs="Arial" w:eastAsia="Arial" w:hAnsi="Arial"/>
          <w:sz w:val="16"/>
          <w:szCs w:val="16"/>
          <w:color w:val="auto"/>
        </w:rPr>
      </w:pPr>
    </w:p>
    <w:p>
      <w:pPr>
        <w:ind w:left="620" w:hanging="209"/>
        <w:spacing w:after="0" w:line="285" w:lineRule="auto"/>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7"/>
          <w:szCs w:val="17"/>
          <w:color w:val="auto"/>
        </w:rPr>
      </w:pPr>
    </w:p>
    <w:p>
      <w:pPr>
        <w:ind w:left="1260" w:hanging="215"/>
        <w:spacing w:after="0" w:line="262" w:lineRule="auto"/>
        <w:tabs>
          <w:tab w:leader="none" w:pos="12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60" w:hanging="225"/>
        <w:spacing w:after="0" w:line="270" w:lineRule="auto"/>
        <w:tabs>
          <w:tab w:leader="none" w:pos="12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Date: August 12, 2009</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7"/>
          <w:szCs w:val="17"/>
          <w:u w:val="single" w:color="auto"/>
          <w:color w:val="auto"/>
        </w:rPr>
        <w:t>David Lester</w:t>
      </w:r>
    </w:p>
    <w:p>
      <w:pPr>
        <w:spacing w:after="0" w:line="2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David Lester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Title:  Chief Executive Officer</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 </w:t>
      </w:r>
      <w:r>
        <w:rPr>
          <w:rFonts w:ascii="Arial" w:cs="Arial" w:eastAsia="Arial" w:hAnsi="Arial"/>
          <w:sz w:val="16"/>
          <w:szCs w:val="16"/>
          <w:color w:val="auto"/>
        </w:rPr>
        <w:t>David Lester</w:t>
      </w:r>
      <w:r>
        <w:rPr>
          <w:rFonts w:ascii="Arial" w:cs="Arial" w:eastAsia="Arial" w:hAnsi="Arial"/>
          <w:sz w:val="21"/>
          <w:szCs w:val="21"/>
          <w:color w:val="auto"/>
        </w:rPr>
        <w:t>, certify that;</w:t>
      </w:r>
    </w:p>
    <w:p>
      <w:pPr>
        <w:spacing w:after="0" w:line="235" w:lineRule="exact"/>
        <w:rPr>
          <w:sz w:val="20"/>
          <w:szCs w:val="20"/>
          <w:color w:val="auto"/>
        </w:rPr>
      </w:pPr>
    </w:p>
    <w:p>
      <w:pPr>
        <w:ind w:left="480" w:hanging="225"/>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2009 of OptimizeRx Corporation (the “registrant”);</w:t>
      </w:r>
    </w:p>
    <w:p>
      <w:pPr>
        <w:spacing w:after="0" w:line="246" w:lineRule="exact"/>
        <w:rPr>
          <w:rFonts w:ascii="Arial" w:cs="Arial" w:eastAsia="Arial" w:hAnsi="Arial"/>
          <w:sz w:val="17"/>
          <w:szCs w:val="17"/>
          <w:color w:val="auto"/>
        </w:rPr>
      </w:pPr>
    </w:p>
    <w:p>
      <w:pPr>
        <w:ind w:left="480" w:hanging="225"/>
        <w:spacing w:after="0" w:line="318"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left="480" w:hanging="225"/>
        <w:spacing w:after="0" w:line="285"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jc w:val="both"/>
        <w:ind w:left="480" w:hanging="225"/>
        <w:spacing w:after="0" w:line="270"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97" w:lineRule="exact"/>
        <w:rPr>
          <w:rFonts w:ascii="Arial" w:cs="Arial" w:eastAsia="Arial" w:hAnsi="Arial"/>
          <w:sz w:val="17"/>
          <w:szCs w:val="17"/>
          <w:color w:val="auto"/>
        </w:rPr>
      </w:pPr>
    </w:p>
    <w:p>
      <w:pPr>
        <w:jc w:val="both"/>
        <w:ind w:left="1260" w:hanging="215"/>
        <w:spacing w:after="0" w:line="270" w:lineRule="auto"/>
        <w:tabs>
          <w:tab w:leader="none" w:pos="12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jc w:val="both"/>
        <w:ind w:left="1260" w:hanging="225"/>
        <w:spacing w:after="0" w:line="270" w:lineRule="auto"/>
        <w:tabs>
          <w:tab w:leader="none" w:pos="12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ind w:left="1260" w:hanging="215"/>
        <w:spacing w:after="0" w:line="318" w:lineRule="auto"/>
        <w:tabs>
          <w:tab w:leader="none" w:pos="1260" w:val="left"/>
        </w:tabs>
        <w:numPr>
          <w:ilvl w:val="2"/>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Arial" w:cs="Arial" w:eastAsia="Arial" w:hAnsi="Arial"/>
          <w:sz w:val="16"/>
          <w:szCs w:val="16"/>
          <w:color w:val="auto"/>
        </w:rPr>
      </w:pPr>
    </w:p>
    <w:p>
      <w:pPr>
        <w:ind w:left="1260" w:hanging="225"/>
        <w:spacing w:after="0" w:line="318" w:lineRule="auto"/>
        <w:tabs>
          <w:tab w:leader="none" w:pos="1260" w:val="left"/>
        </w:tabs>
        <w:numPr>
          <w:ilvl w:val="2"/>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2" w:lineRule="exact"/>
        <w:rPr>
          <w:rFonts w:ascii="Arial" w:cs="Arial" w:eastAsia="Arial" w:hAnsi="Arial"/>
          <w:sz w:val="16"/>
          <w:szCs w:val="16"/>
          <w:color w:val="auto"/>
        </w:rPr>
      </w:pPr>
    </w:p>
    <w:p>
      <w:pPr>
        <w:ind w:left="620" w:hanging="209"/>
        <w:spacing w:after="0" w:line="285" w:lineRule="auto"/>
        <w:tabs>
          <w:tab w:leader="none" w:pos="6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7"/>
          <w:szCs w:val="17"/>
          <w:color w:val="auto"/>
        </w:rPr>
      </w:pPr>
    </w:p>
    <w:p>
      <w:pPr>
        <w:ind w:left="1260" w:hanging="215"/>
        <w:spacing w:after="0" w:line="262" w:lineRule="auto"/>
        <w:tabs>
          <w:tab w:leader="none" w:pos="12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60" w:hanging="225"/>
        <w:spacing w:after="0" w:line="270" w:lineRule="auto"/>
        <w:tabs>
          <w:tab w:leader="none" w:pos="12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Date: August 12, 2009</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/s/David Lester</w:t>
      </w:r>
    </w:p>
    <w:p>
      <w:pPr>
        <w:spacing w:after="0" w:line="25"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David Lester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Title:  Chief Financial Officer</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color w:val="auto"/>
        </w:rPr>
        <w:t>CERTIFICATION OF CHIEF EXECUTIVE OFFICER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CHIEF FINANCIAL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0" w:lineRule="exact"/>
        <w:rPr>
          <w:sz w:val="20"/>
          <w:szCs w:val="20"/>
          <w:color w:val="auto"/>
        </w:rPr>
      </w:pPr>
    </w:p>
    <w:p>
      <w:pPr>
        <w:spacing w:after="0" w:line="2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Quarterly Report of OptimizeRx Corporation (the “Company”) on Form 10-Q for the quarter ended June 30, 2009 filed with the Securities and Exchange Commission (the “Report”), I, David Lester, Chief Executive Officer of the Company, certify, pursuant to 18 U.S.C. Section 1350, as adopted pursuant to Section 906 of the Sarbanes-Oxley Act of 2002, that:</w:t>
      </w:r>
    </w:p>
    <w:p>
      <w:pPr>
        <w:spacing w:after="0" w:line="198" w:lineRule="exact"/>
        <w:rPr>
          <w:sz w:val="20"/>
          <w:szCs w:val="20"/>
          <w:color w:val="auto"/>
        </w:rPr>
      </w:pPr>
    </w:p>
    <w:p>
      <w:pPr>
        <w:ind w:left="480" w:hanging="225"/>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246" w:lineRule="exact"/>
        <w:rPr>
          <w:rFonts w:ascii="Arial" w:cs="Arial" w:eastAsia="Arial" w:hAnsi="Arial"/>
          <w:sz w:val="17"/>
          <w:szCs w:val="17"/>
          <w:color w:val="auto"/>
        </w:rPr>
      </w:pPr>
    </w:p>
    <w:p>
      <w:pPr>
        <w:ind w:left="480" w:hanging="225"/>
        <w:spacing w:after="0" w:line="285"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1"/>
              </w:rPr>
              <w:t>/s/David Lester</w:t>
            </w:r>
          </w:p>
        </w:tc>
        <w:tc>
          <w:tcPr>
            <w:tcW w:w="2760" w:type="dxa"/>
            <w:vAlign w:val="bottom"/>
          </w:tcPr>
          <w:p>
            <w:pPr>
              <w:spacing w:after="0"/>
              <w:rPr>
                <w:sz w:val="16"/>
                <w:szCs w:val="16"/>
                <w:color w:val="auto"/>
              </w:rPr>
            </w:pPr>
          </w:p>
        </w:tc>
      </w:tr>
      <w:tr>
        <w:trPr>
          <w:trHeight w:val="435"/>
        </w:trPr>
        <w:tc>
          <w:tcPr>
            <w:tcW w:w="1040" w:type="dxa"/>
            <w:vAlign w:val="bottom"/>
          </w:tcPr>
          <w:p>
            <w:pPr>
              <w:spacing w:after="0"/>
              <w:rPr>
                <w:sz w:val="20"/>
                <w:szCs w:val="20"/>
                <w:color w:val="auto"/>
              </w:rPr>
            </w:pPr>
            <w:r>
              <w:rPr>
                <w:rFonts w:ascii="Arial" w:cs="Arial" w:eastAsia="Arial" w:hAnsi="Arial"/>
                <w:sz w:val="17"/>
                <w:szCs w:val="17"/>
                <w:color w:val="auto"/>
              </w:rPr>
              <w:t>Name:</w:t>
            </w:r>
          </w:p>
        </w:tc>
        <w:tc>
          <w:tcPr>
            <w:tcW w:w="3820" w:type="dxa"/>
            <w:vAlign w:val="bottom"/>
            <w:gridSpan w:val="2"/>
          </w:tcPr>
          <w:p>
            <w:pPr>
              <w:spacing w:after="0"/>
              <w:rPr>
                <w:sz w:val="20"/>
                <w:szCs w:val="20"/>
                <w:color w:val="auto"/>
              </w:rPr>
            </w:pPr>
            <w:r>
              <w:rPr>
                <w:rFonts w:ascii="Arial" w:cs="Arial" w:eastAsia="Arial" w:hAnsi="Arial"/>
                <w:sz w:val="17"/>
                <w:szCs w:val="17"/>
                <w:color w:val="auto"/>
              </w:rPr>
              <w:t>David Lester</w:t>
            </w:r>
          </w:p>
        </w:tc>
      </w:tr>
      <w:tr>
        <w:trPr>
          <w:trHeight w:val="403"/>
        </w:trPr>
        <w:tc>
          <w:tcPr>
            <w:tcW w:w="1040" w:type="dxa"/>
            <w:vAlign w:val="bottom"/>
          </w:tcPr>
          <w:p>
            <w:pPr>
              <w:spacing w:after="0"/>
              <w:rPr>
                <w:sz w:val="20"/>
                <w:szCs w:val="20"/>
                <w:color w:val="auto"/>
              </w:rPr>
            </w:pPr>
            <w:r>
              <w:rPr>
                <w:rFonts w:ascii="Arial" w:cs="Arial" w:eastAsia="Arial" w:hAnsi="Arial"/>
                <w:sz w:val="17"/>
                <w:szCs w:val="17"/>
                <w:color w:val="auto"/>
              </w:rPr>
              <w:t>Title:</w:t>
            </w:r>
          </w:p>
        </w:tc>
        <w:tc>
          <w:tcPr>
            <w:tcW w:w="3820" w:type="dxa"/>
            <w:vAlign w:val="bottom"/>
            <w:gridSpan w:val="2"/>
          </w:tcPr>
          <w:p>
            <w:pPr>
              <w:spacing w:after="0"/>
              <w:rPr>
                <w:sz w:val="20"/>
                <w:szCs w:val="20"/>
                <w:color w:val="auto"/>
              </w:rPr>
            </w:pPr>
            <w:r>
              <w:rPr>
                <w:rFonts w:ascii="Arial" w:cs="Arial" w:eastAsia="Arial" w:hAnsi="Arial"/>
                <w:sz w:val="17"/>
                <w:szCs w:val="17"/>
                <w:color w:val="auto"/>
                <w:w w:val="94"/>
              </w:rPr>
              <w:t>Principal Executive Officer, Principal Financial Officer</w:t>
            </w:r>
          </w:p>
        </w:tc>
      </w:tr>
      <w:tr>
        <w:trPr>
          <w:trHeight w:val="220"/>
        </w:trPr>
        <w:tc>
          <w:tcPr>
            <w:tcW w:w="104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7"/>
                <w:szCs w:val="17"/>
                <w:color w:val="auto"/>
              </w:rPr>
              <w:t>and Director</w:t>
            </w:r>
          </w:p>
        </w:tc>
      </w:tr>
      <w:tr>
        <w:trPr>
          <w:trHeight w:val="416"/>
        </w:trPr>
        <w:tc>
          <w:tcPr>
            <w:tcW w:w="1040" w:type="dxa"/>
            <w:vAlign w:val="bottom"/>
          </w:tcPr>
          <w:p>
            <w:pPr>
              <w:spacing w:after="0"/>
              <w:rPr>
                <w:sz w:val="20"/>
                <w:szCs w:val="20"/>
                <w:color w:val="auto"/>
              </w:rPr>
            </w:pPr>
            <w:r>
              <w:rPr>
                <w:rFonts w:ascii="Arial" w:cs="Arial" w:eastAsia="Arial" w:hAnsi="Arial"/>
                <w:sz w:val="17"/>
                <w:szCs w:val="17"/>
                <w:color w:val="auto"/>
              </w:rPr>
              <w:t>Date:</w:t>
            </w:r>
          </w:p>
        </w:tc>
        <w:tc>
          <w:tcPr>
            <w:tcW w:w="3820" w:type="dxa"/>
            <w:vAlign w:val="bottom"/>
            <w:gridSpan w:val="2"/>
          </w:tcPr>
          <w:p>
            <w:pPr>
              <w:spacing w:after="0"/>
              <w:rPr>
                <w:sz w:val="20"/>
                <w:szCs w:val="20"/>
                <w:color w:val="auto"/>
              </w:rPr>
            </w:pPr>
            <w:r>
              <w:rPr>
                <w:rFonts w:ascii="Arial" w:cs="Arial" w:eastAsia="Arial" w:hAnsi="Arial"/>
                <w:sz w:val="17"/>
                <w:szCs w:val="17"/>
                <w:color w:val="auto"/>
              </w:rPr>
              <w:t>August 12, 2009</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This certification has been furnished solely pursuant to Section 906 of the Sarbanes-Oxley Act of 2002.</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7"/>
    </w:lvl>
  </w:abstractNum>
  <w:abstractNum w:abstractNumId="5">
    <w:nsid w:val="216231B"/>
    <w:multiLevelType w:val="hybridMultilevel"/>
    <w:lvl w:ilvl="0">
      <w:lvlJc w:val="left"/>
      <w:lvlText w:val="%1."/>
      <w:numFmt w:val="decimal"/>
      <w:start w:val="8"/>
    </w:lvl>
  </w:abstractNum>
  <w:abstractNum w:abstractNumId="6">
    <w:nsid w:val="1F16E9E8"/>
    <w:multiLevelType w:val="hybridMultilevel"/>
    <w:lvl w:ilvl="0">
      <w:lvlJc w:val="left"/>
      <w:lvlText w:val="%1"/>
      <w:numFmt w:val="decimal"/>
      <w:start w:val="1"/>
    </w:lvl>
    <w:lvl w:ilvl="1">
      <w:lvlJc w:val="left"/>
      <w:lvlText w:val="%2."/>
      <w:numFmt w:val="decimal"/>
      <w:start w:val="10"/>
    </w:lvl>
  </w:abstractNum>
  <w:abstractNum w:abstractNumId="7">
    <w:nsid w:val="1190CDE7"/>
    <w:multiLevelType w:val="hybridMultilevel"/>
    <w:lvl w:ilvl="0">
      <w:lvlJc w:val="left"/>
      <w:lvlText w:val="%1."/>
      <w:numFmt w:val="decimal"/>
      <w:start w:val="11"/>
    </w:lvl>
    <w:lvl w:ilvl="1">
      <w:lvlJc w:val="left"/>
      <w:lvlText w:val="%2"/>
      <w:numFmt w:val="decimal"/>
      <w:start w:val="1"/>
    </w:lvl>
  </w:abstractNum>
  <w:abstractNum w:abstractNumId="8">
    <w:nsid w:val="66EF438D"/>
    <w:multiLevelType w:val="hybridMultilevel"/>
    <w:lvl w:ilvl="0">
      <w:lvlJc w:val="left"/>
      <w:lvlText w:val="%1."/>
      <w:numFmt w:val="decimal"/>
      <w:start w:val="13"/>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1."/>
      <w:numFmt w:val="decimal"/>
      <w:start w:val="15"/>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3">
    <w:nsid w:val="7FDCC23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2019-12-11T04:28:41Z</dcterms:created>
  <dcterms:modified xsi:type="dcterms:W3CDTF">2019-12-11T04:28:41Z</dcterms:modified>
</cp:coreProperties>
</file>