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jc w:val="center"/>
        <w:ind w:left="4080" w:right="1720" w:hanging="2352"/>
        <w:spacing w:after="0" w:line="482" w:lineRule="auto"/>
        <w:tabs>
          <w:tab w:leader="none" w:pos="194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2018</w:t>
      </w:r>
    </w:p>
    <w:p>
      <w:pPr>
        <w:spacing w:after="0" w:line="32" w:lineRule="exact"/>
        <w:rPr>
          <w:rFonts w:ascii="MS PGothic" w:cs="MS PGothic" w:eastAsia="MS PGothic" w:hAnsi="MS PGothic"/>
          <w:sz w:val="18"/>
          <w:szCs w:val="18"/>
          <w:color w:val="auto"/>
        </w:rPr>
      </w:pPr>
    </w:p>
    <w:p>
      <w:pPr>
        <w:jc w:val="center"/>
        <w:ind w:left="3740" w:right="1560" w:hanging="2172"/>
        <w:spacing w:after="0" w:line="498" w:lineRule="auto"/>
        <w:tabs>
          <w:tab w:leader="none" w:pos="17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_________ to ________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76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562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20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7660" w:type="dxa"/>
            <w:vAlign w:val="bottom"/>
            <w:gridSpan w:val="3"/>
          </w:tcPr>
          <w:p>
            <w:pPr>
              <w:jc w:val="center"/>
              <w:ind w:right="2040"/>
              <w:spacing w:after="0"/>
              <w:rPr>
                <w:sz w:val="20"/>
                <w:szCs w:val="20"/>
                <w:color w:val="auto"/>
              </w:rPr>
            </w:pPr>
            <w:r>
              <w:rPr>
                <w:rFonts w:ascii="Arial" w:cs="Arial" w:eastAsia="Arial" w:hAnsi="Arial"/>
                <w:sz w:val="18"/>
                <w:szCs w:val="18"/>
                <w:color w:val="auto"/>
                <w:w w:val="93"/>
              </w:rPr>
              <w:t>incorporation or organization)</w:t>
            </w:r>
          </w:p>
        </w:tc>
        <w:tc>
          <w:tcPr>
            <w:tcW w:w="3760" w:type="dxa"/>
            <w:vAlign w:val="bottom"/>
          </w:tcPr>
          <w:p>
            <w:pPr>
              <w:jc w:val="center"/>
              <w:ind w:right="17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0"/>
              </w:rPr>
              <w:t>400 Water Street, Ste. 200</w:t>
            </w:r>
          </w:p>
        </w:tc>
        <w:tc>
          <w:tcPr>
            <w:tcW w:w="3760" w:type="dxa"/>
            <w:vAlign w:val="bottom"/>
          </w:tcPr>
          <w:p>
            <w:pPr>
              <w:spacing w:after="0"/>
              <w:rPr>
                <w:sz w:val="24"/>
                <w:szCs w:val="24"/>
                <w:color w:val="auto"/>
              </w:rPr>
            </w:pPr>
          </w:p>
        </w:tc>
      </w:tr>
      <w:tr>
        <w:trPr>
          <w:trHeight w:val="241"/>
        </w:trPr>
        <w:tc>
          <w:tcPr>
            <w:tcW w:w="76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3"/>
              </w:rPr>
              <w:t>Rochester, MI</w:t>
            </w:r>
          </w:p>
        </w:tc>
        <w:tc>
          <w:tcPr>
            <w:tcW w:w="3760" w:type="dxa"/>
            <w:vAlign w:val="bottom"/>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18"/>
        </w:trPr>
        <w:tc>
          <w:tcPr>
            <w:tcW w:w="7660" w:type="dxa"/>
            <w:vAlign w:val="bottom"/>
            <w:gridSpan w:val="3"/>
          </w:tcPr>
          <w:p>
            <w:pPr>
              <w:ind w:left="4060"/>
              <w:spacing w:after="0"/>
              <w:rPr>
                <w:sz w:val="20"/>
                <w:szCs w:val="20"/>
                <w:color w:val="auto"/>
              </w:rPr>
            </w:pPr>
            <w:r>
              <w:rPr>
                <w:rFonts w:ascii="Arial" w:cs="Arial" w:eastAsia="Arial" w:hAnsi="Arial"/>
                <w:sz w:val="18"/>
                <w:szCs w:val="18"/>
                <w:color w:val="auto"/>
                <w:w w:val="97"/>
              </w:rPr>
              <w:t xml:space="preserve">Registrant’s telephone number: </w:t>
            </w:r>
            <w:r>
              <w:rPr>
                <w:rFonts w:ascii="Arial" w:cs="Arial" w:eastAsia="Arial" w:hAnsi="Arial"/>
                <w:sz w:val="18"/>
                <w:szCs w:val="18"/>
                <w:b w:val="1"/>
                <w:bCs w:val="1"/>
                <w:color w:val="auto"/>
                <w:w w:val="97"/>
              </w:rPr>
              <w:t>248-651-6568</w:t>
            </w:r>
          </w:p>
        </w:tc>
        <w:tc>
          <w:tcPr>
            <w:tcW w:w="3760" w:type="dxa"/>
            <w:vAlign w:val="bottom"/>
          </w:tcPr>
          <w:p>
            <w:pPr>
              <w:spacing w:after="0"/>
              <w:rPr>
                <w:sz w:val="24"/>
                <w:szCs w:val="24"/>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12(b) of the Exchange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1540" w:type="dxa"/>
            <w:vAlign w:val="bottom"/>
          </w:tcPr>
          <w:p>
            <w:pPr>
              <w:spacing w:after="0"/>
              <w:rPr>
                <w:sz w:val="21"/>
                <w:szCs w:val="21"/>
                <w:color w:val="auto"/>
              </w:rPr>
            </w:pPr>
          </w:p>
        </w:tc>
        <w:tc>
          <w:tcPr>
            <w:tcW w:w="4280" w:type="dxa"/>
            <w:vAlign w:val="bottom"/>
            <w:gridSpan w:val="3"/>
          </w:tcPr>
          <w:p>
            <w:pPr>
              <w:jc w:val="center"/>
              <w:ind w:right="1740"/>
              <w:spacing w:after="0"/>
              <w:rPr>
                <w:sz w:val="20"/>
                <w:szCs w:val="20"/>
                <w:color w:val="auto"/>
              </w:rPr>
            </w:pPr>
            <w:r>
              <w:rPr>
                <w:rFonts w:ascii="Arial" w:cs="Arial" w:eastAsia="Arial" w:hAnsi="Arial"/>
                <w:sz w:val="18"/>
                <w:szCs w:val="18"/>
                <w:color w:val="auto"/>
                <w:w w:val="90"/>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1540" w:type="dxa"/>
            <w:vAlign w:val="bottom"/>
            <w:tcBorders>
              <w:top w:val="single" w:sz="8" w:color="auto"/>
            </w:tcBorders>
          </w:tcPr>
          <w:p>
            <w:pPr>
              <w:spacing w:after="0"/>
              <w:rPr>
                <w:sz w:val="15"/>
                <w:szCs w:val="15"/>
                <w:color w:val="auto"/>
              </w:rPr>
            </w:pPr>
          </w:p>
        </w:tc>
        <w:tc>
          <w:tcPr>
            <w:tcW w:w="4080" w:type="dxa"/>
            <w:vAlign w:val="bottom"/>
            <w:tcBorders>
              <w:top w:val="single" w:sz="8" w:color="auto"/>
            </w:tcBorders>
            <w:gridSpan w:val="2"/>
          </w:tcPr>
          <w:p>
            <w:pPr>
              <w:jc w:val="center"/>
              <w:ind w:right="1540"/>
              <w:spacing w:after="0" w:line="176" w:lineRule="exact"/>
              <w:rPr>
                <w:sz w:val="20"/>
                <w:szCs w:val="20"/>
                <w:color w:val="auto"/>
              </w:rPr>
            </w:pPr>
            <w:r>
              <w:rPr>
                <w:rFonts w:ascii="Arial" w:cs="Arial" w:eastAsia="Arial" w:hAnsi="Arial"/>
                <w:sz w:val="18"/>
                <w:szCs w:val="18"/>
                <w:b w:val="1"/>
                <w:bCs w:val="1"/>
                <w:color w:val="auto"/>
                <w:w w:val="90"/>
              </w:rPr>
              <w:t xml:space="preserve">Common Stock, par value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0.001</w:t>
            </w:r>
          </w:p>
        </w:tc>
        <w:tc>
          <w:tcPr>
            <w:tcW w:w="200" w:type="dxa"/>
            <w:vAlign w:val="bottom"/>
          </w:tcPr>
          <w:p>
            <w:pPr>
              <w:spacing w:after="0"/>
              <w:rPr>
                <w:sz w:val="15"/>
                <w:szCs w:val="15"/>
                <w:color w:val="auto"/>
              </w:rPr>
            </w:pPr>
          </w:p>
        </w:tc>
        <w:tc>
          <w:tcPr>
            <w:tcW w:w="5600" w:type="dxa"/>
            <w:vAlign w:val="bottom"/>
            <w:tcBorders>
              <w:top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4"/>
              </w:rPr>
              <w:t>Nasdaq Capital Market</w:t>
            </w:r>
          </w:p>
        </w:tc>
      </w:tr>
      <w:tr>
        <w:trPr>
          <w:trHeight w:val="20"/>
        </w:trPr>
        <w:tc>
          <w:tcPr>
            <w:tcW w:w="15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w:t>
      </w:r>
    </w:p>
    <w:p>
      <w:pPr>
        <w:sectPr>
          <w:pgSz w:w="11900" w:h="16838" w:orient="portrait"/>
          <w:cols w:equalWidth="0" w:num="1">
            <w:col w:w="11420"/>
          </w:cols>
          <w:pgMar w:left="240" w:top="517" w:right="239" w:bottom="0" w:gutter="0" w:footer="0" w:header="0"/>
        </w:sectPr>
      </w:pPr>
    </w:p>
    <w:p>
      <w:pPr>
        <w:spacing w:after="0" w:line="13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Emerging growth company</w:t>
      </w:r>
    </w:p>
    <w:p>
      <w:pPr>
        <w:spacing w:after="0" w:line="200" w:lineRule="exact"/>
        <w:rPr>
          <w:sz w:val="24"/>
          <w:szCs w:val="24"/>
          <w:color w:val="auto"/>
        </w:rPr>
      </w:pPr>
    </w:p>
    <w:p>
      <w:pPr>
        <w:sectPr>
          <w:pgSz w:w="11900" w:h="16838" w:orient="portrait"/>
          <w:cols w:equalWidth="0" w:num="2">
            <w:col w:w="5000" w:space="720"/>
            <w:col w:w="5700"/>
          </w:cols>
          <w:pgMar w:left="240" w:top="517" w:right="239" w:bottom="0" w:gutter="0" w:footer="0" w:header="0"/>
          <w:type w:val="continuous"/>
        </w:sectPr>
      </w:pPr>
    </w:p>
    <w:p>
      <w:pPr>
        <w:spacing w:after="0" w:line="3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$81,729,898</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12,095,111 common shares as of March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40" w:type="dxa"/>
            <w:vAlign w:val="bottom"/>
            <w:gridSpan w:val="15"/>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17"/>
                <w:szCs w:val="17"/>
                <w:color w:val="auto"/>
              </w:rPr>
            </w:pPr>
          </w:p>
        </w:tc>
      </w:tr>
      <w:tr>
        <w:trPr>
          <w:trHeight w:val="473"/>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r>
      <w:tr>
        <w:trPr>
          <w:trHeight w:val="378"/>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10"/>
          </w:tcPr>
          <w:p>
            <w:pPr>
              <w:jc w:val="center"/>
              <w:ind w:right="4540"/>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90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640" w:type="dxa"/>
            <w:vAlign w:val="bottom"/>
            <w:gridSpan w:val="17"/>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54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360" w:type="dxa"/>
            <w:vAlign w:val="bottom"/>
            <w:gridSpan w:val="2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36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7320" w:type="dxa"/>
            <w:vAlign w:val="bottom"/>
            <w:gridSpan w:val="1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8020" w:type="dxa"/>
            <w:vAlign w:val="bottom"/>
            <w:gridSpan w:val="2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36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PART II</w:t>
              </w:r>
            </w:hyperlink>
          </w:p>
        </w:tc>
        <w:tc>
          <w:tcPr>
            <w:tcW w:w="450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360" w:type="dxa"/>
            <w:vAlign w:val="bottom"/>
            <w:gridSpan w:val="2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and Related Stockholder Matters and Issuer Purchases of Equity Securities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10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360" w:type="dxa"/>
            <w:vAlign w:val="bottom"/>
            <w:gridSpan w:val="2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Financial Statements and Supplementary Data</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Changes In and Disagreements With Accountants on Accounting and Financial Disclosure</w:t>
              </w:r>
            </w:hyperlink>
          </w:p>
        </w:tc>
        <w:tc>
          <w:tcPr>
            <w:tcW w:w="284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360" w:type="dxa"/>
            <w:vAlign w:val="bottom"/>
            <w:gridSpan w:val="2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600" w:type="dxa"/>
            <w:vAlign w:val="bottom"/>
            <w:gridSpan w:val="21"/>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gridSpan w:val="12"/>
          </w:tcPr>
          <w:p>
            <w:pPr>
              <w:jc w:val="center"/>
              <w:ind w:right="4480"/>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PART III</w:t>
              </w:r>
            </w:hyperlink>
          </w:p>
        </w:tc>
        <w:tc>
          <w:tcPr>
            <w:tcW w:w="90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Directors, Executive Officers and Corporate Governance</w:t>
              </w:r>
            </w:hyperlink>
          </w:p>
        </w:tc>
        <w:tc>
          <w:tcPr>
            <w:tcW w:w="120" w:type="dxa"/>
            <w:vAlign w:val="bottom"/>
          </w:tcPr>
          <w:p>
            <w:pPr>
              <w:spacing w:after="0"/>
              <w:rPr>
                <w:sz w:val="24"/>
                <w:szCs w:val="24"/>
                <w:color w:val="auto"/>
              </w:rPr>
            </w:pPr>
          </w:p>
        </w:tc>
        <w:tc>
          <w:tcPr>
            <w:tcW w:w="660" w:type="dxa"/>
            <w:vAlign w:val="bottom"/>
            <w:tcBorders>
              <w:top w:val="single" w:sz="8" w:color="0000EE"/>
            </w:tcBorders>
            <w:gridSpan w:val="5"/>
          </w:tcPr>
          <w:p>
            <w:pPr>
              <w:spacing w:after="0"/>
              <w:rPr>
                <w:sz w:val="24"/>
                <w:szCs w:val="24"/>
                <w:color w:val="auto"/>
              </w:rPr>
            </w:pPr>
          </w:p>
        </w:tc>
        <w:tc>
          <w:tcPr>
            <w:tcW w:w="448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360" w:type="dxa"/>
            <w:vAlign w:val="bottom"/>
            <w:gridSpan w:val="2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r>
      <w:tr>
        <w:trPr>
          <w:trHeight w:val="20"/>
        </w:trPr>
        <w:tc>
          <w:tcPr>
            <w:tcW w:w="116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360" w:type="dxa"/>
            <w:vAlign w:val="bottom"/>
            <w:gridSpan w:val="2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Certain Relationships and Related Transactions, and Director Independence</w:t>
              </w:r>
            </w:hyperlink>
          </w:p>
        </w:tc>
        <w:tc>
          <w:tcPr>
            <w:tcW w:w="208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3920" w:type="dxa"/>
            <w:vAlign w:val="bottom"/>
            <w:gridSpan w:val="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r>
      <w:tr>
        <w:trPr>
          <w:trHeight w:val="628"/>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gridSpan w:val="12"/>
          </w:tcPr>
          <w:p>
            <w:pPr>
              <w:jc w:val="center"/>
              <w:ind w:right="4480"/>
              <w:spacing w:after="0"/>
              <w:rPr>
                <w:rFonts w:ascii="Arial" w:cs="Arial" w:eastAsia="Arial" w:hAnsi="Arial"/>
                <w:sz w:val="18"/>
                <w:szCs w:val="18"/>
                <w:color w:val="0000EE"/>
                <w:w w:val="94"/>
              </w:rPr>
            </w:pPr>
            <w:hyperlink w:anchor="page66">
              <w:r>
                <w:rPr>
                  <w:rFonts w:ascii="Arial" w:cs="Arial" w:eastAsia="Arial" w:hAnsi="Arial"/>
                  <w:sz w:val="18"/>
                  <w:szCs w:val="18"/>
                  <w:color w:val="0000EE"/>
                  <w:w w:val="94"/>
                </w:rPr>
                <w:t>PART IV</w:t>
              </w:r>
            </w:hyperlink>
          </w:p>
        </w:tc>
        <w:tc>
          <w:tcPr>
            <w:tcW w:w="90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422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5"/>
          </w:tcPr>
          <w:p>
            <w:pPr>
              <w:spacing w:after="0"/>
              <w:rPr>
                <w:sz w:val="24"/>
                <w:szCs w:val="24"/>
                <w:color w:val="auto"/>
              </w:rPr>
            </w:pPr>
          </w:p>
        </w:tc>
        <w:tc>
          <w:tcPr>
            <w:tcW w:w="448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703"/>
        </w:trPr>
        <w:tc>
          <w:tcPr>
            <w:tcW w:w="11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and patients. Our cloud-based solution supports patient adherence to medications by providing real-time access to financial assistance and critical clinical information. Our network is comprised of leading EHR platforms and provides more than half a million healthcare providers with access to these benefits within their workflow at the point of care.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Company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revenue increased to a record $21.2 million in 2018, a 75% increase over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revenue was a record $6.6 million in Q4 2018, up 65% over Q4 2017.</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up-listed to the Nasdaq Capital Market in 2018. In connection with our up-listing, we completed a 1 for 3 reverse-split of our common stock and issued additional gross equity of $9.0 million and received net proceeds of $8.2 million.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acquired CareSpeak Communications, a leader in interactive health messaging for improved medication adherence and care coordination in October.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expanded our sales team and established a strong base, which helped drive record revenues for Q3 and Q4 2018 with expected continued revenue growth in 2019 and beyond.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acquired new pharmaceutical manufacturers and brands for our core offerings of Financial and Brand messaging for distribution through our expanding number of channel partners.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launched our own clinical messaging platform on a pilot basis in Q4 2018 with one channel partner.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independent analytics firm determined that investment returns from our pharmaceutical promotions with multiple pharmaceutical brands differentiate our programs as one of the most effective digital tactics available to pharmaceutical firms.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sales team continues to expand our business with existing clients and with new clients. We are focused on adding additional brands for existing clients, providing new solutions,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have expanded our service offerings as follows: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Brand Messaging – In 2018, we successfully built on the banner messaging platform that we launched in 2017 and have expanded the partners using the platform. We also developed our own clinical messaging system and launched it with our first partner in late 2018. We expect both of these to expand in 2019.</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Brand Support – We have designed a service to better insure that manufacturer brands are available in every ePrescribing platform available, and we have incorporated this to an overall program related to launch brands that include brand awareness messaging and financial messaging.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also have continued to ramp up our marketing efforts as follows:</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31"/>
          <w:szCs w:val="31"/>
          <w:color w:val="auto"/>
          <w:vertAlign w:val="superscript"/>
        </w:rPr>
      </w:pPr>
      <w:r>
        <w:rPr>
          <w:rFonts w:ascii="Arial" w:cs="Arial" w:eastAsia="Arial" w:hAnsi="Arial"/>
          <w:sz w:val="16"/>
          <w:szCs w:val="16"/>
          <w:color w:val="auto"/>
        </w:rPr>
        <w:t>Co-hosted a plenary session, “Addressing Medication Adherence to Improve Quality of Care,” at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Digital Pharma East conference.</w:t>
      </w:r>
    </w:p>
    <w:p>
      <w:pPr>
        <w:spacing w:after="0" w:line="112" w:lineRule="exact"/>
        <w:rPr>
          <w:rFonts w:ascii="Arial" w:cs="Arial" w:eastAsia="Arial" w:hAnsi="Arial"/>
          <w:sz w:val="31"/>
          <w:szCs w:val="31"/>
          <w:color w:val="auto"/>
          <w:vertAlign w:val="superscript"/>
        </w:rPr>
      </w:pPr>
    </w:p>
    <w:p>
      <w:pPr>
        <w:jc w:val="both"/>
        <w:ind w:left="660" w:hanging="328"/>
        <w:spacing w:after="0" w:line="22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at multiple investor conferences in 2018, including: Noble Capital Markets’ 13th Annual Investor Conference, 30th Annual Roth Conference,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LD Micro Invitational and Annual LD Micro Main Event, Roth London conference, Lake Street Investor conference, and B Riley FBR investor conference.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the number of our pharmaceutical clients and brands and our distribution network, we expect our distribution of messages will continue to increase substantially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we plan to expand our existing network and increase physician utilization of our partner networks. We continue to work individually with our partners to improve point-of-care workflow, increase overall revenue derived from each channel and increase coupon utilization by providers who have access. We are also focused on increasing the number of physicians who have access to our service offerings. In addition to revenue growth provided by new pharma brands and network partners, we believe there is significant revenue growth potential within existing brands by better utilizing our existing partner networks and expanding our product offerings.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the integration activities related to our acquisition of CareSpeak Communications, Inc and expect revenues from these patient engagement activities to ramp up substantially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support our growth, we have migrated our platform to Oracle database software and to further improve the efficiency of our system, we have moved our software to Amazon Web Services.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our own proprietary clinical messaging system designed to expand our ability to deliver key clinical messages in addition to financial support, and we plan to integrate this within EHRs that currently do not offer this valued product to their providers. We launched this system in 2018 with one channel partner and expect to launch it with additional partners in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acquisition of CareSpeak Communications, Inc., we now have a 7-person tech team based in Croatia to help develop further applications throughout the organization.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Financial Messaging – Our integrated financial messaging platform is a revolutionary virtual “Patient Support Center” that allows doctors and staff to access a universe of sample vouchers, co-pay coupons and other patient support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addresses the fact that many healthcare systems and doctors are looking for an easier, more effective way to increase affordable access and adherence to their prescribed branded medications.</w:t>
      </w:r>
    </w:p>
    <w:p>
      <w:pPr>
        <w:spacing w:after="0" w:line="177" w:lineRule="exact"/>
        <w:rPr>
          <w:rFonts w:ascii="Arial" w:cs="Arial" w:eastAsia="Arial" w:hAnsi="Arial"/>
          <w:sz w:val="17"/>
          <w:szCs w:val="17"/>
          <w:color w:val="auto"/>
        </w:rPr>
      </w:pPr>
    </w:p>
    <w:p>
      <w:pPr>
        <w:jc w:val="both"/>
        <w:ind w:left="660" w:hanging="328"/>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Brand and Clinical Messaging – Our brand messaging services include a variety of brand awareness and clinical messaging services that can be tailored to meet the needs of a brand. These messages can include brand awareness messages, reminder ads, clinical messages and unbranded messages that can be targeted by specialty, diagnostic code and other criteria. Brand messaging is highly complementary to our core financial messaging product. Historically, we have sold brand messaging based on specific products offered by our EHR partners, but we have developed our own proprietary banner messaging system, rolled this product out in 2017, and expanded it in 2018. We also developed our own clinical messaging system and launched it with our first partner in late 2018. We believe brand messaging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Brand Support – Our brand support is focused on educating and working with pharmaceutical manufacturers on identifying, formulating, and implementing new eRx media strategies for promoting their products.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Patient engagement – Our patient engagement activities arose out of our acquisition of CareSpeak Communications in October 2018. Our technology solution provides digital messaging services through our cloud based Mobile Health Messenger (“MHM”) Platform. We provide interactive health messaging for improved medication adherence and care coordination. Our HIPAA-compliant, automated, mobile messaging platform allows pharmaceutical manufactures and related entities to directly engage with patients to improve regimen compliance.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continue to extend our marketing efforts to build both brand and capabilities awareness in the market. As previously discussed, we continue to actively participate in industry and partner events.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also continue to focus on the expansion of our strategic partnership with WPP, plc. We plan to continue to increase our marketing efforts with all of our strategic partners as we continue to promote our platform primarily through:</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digital marketing industry that is dominated by large well-known companies with established names, solid market niches, wide arrays of product offerings and marketing networks. Our financial messaging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specific portion of the financial messaging market. We have a growing list of potential partners whom either have content that they want to deliver through our distribution engine and network, or have complementary technology and want to integrate our solution as a channel partner and thereby increase our reach to clinicians. The primary direct competitors in our space of the market are ConnectiveRx and Aptus Health. However, we believe our breadth of brands offered, extensive list of pharmaceutical clients, and the vast reach of our network give us a substantial advantage and allow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As part of our acquisition of CareSpeak Communications, we also acquired (US Patent No. 7,956,727) related to methods and systems for medication management.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nationally ranked intellectual property law firm to further expand and protect our intellectual property.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OPTIMIZERx, CareSpeak and SampleMD are our licensed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37 full-time employees, as well as contracted programmers, as needed, throughout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 our operations through our wholly-owned subsidiary, OptimizeRx Corporation, a Michigan corporation, CareSpeak Communications, Inc., a New Jersey Corporation, and CareSpeak Communications, D.O.O, a controlled foreign corporation incorporated in Croatia.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2019, the Company’s Board of Directors amended the 2013 Equity Compensation Plan to increase the number of shares authorized under the plan to 2,500,000. At the same time, the Company granted 50,000 shares of restricted common stock to officers and options to purchase 67,050 shares of common stock with an exercise price of $13.06 to non-officers, both of which vest only if the Company achieves certain stretch revenue goals in 2019. In addition, the Company granted 35,500 time-based options, with the same exercise price, to new employees, and accelerated vesting to 2019 on 100,000 existing options that previously were scheduled to vest in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were profitable in 2018, since the inception of our business we have historically incurred losses. While we have increased revenues significantly, we have not yet been able to achieve consistent profitability due to significant investments in our growth,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Eli Lilly, Merck, AstraZeneca, Alcon, Novartis, Novo Nordisk, Valeant, Shire, and others.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Loss of one or more of our larger customers could have a negative impact on our operating results. In each of 2017 and 2018, our largest customer in the year accounted for approximately 12% of revenues, although it was a different customer in each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Amazing Charts, and others. Such arrangements subject us to a number of risks, including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 partners may experience financial, regulatory or operational difficulties, which may impair their ability to focus on and fulfill their contract obligations to 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disputes or disagreements, including the ownership of intellectual property, may occur with one or more of our partners and may lead to lengthy and expensive litigation or arbitration;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a partner’s business strategy may adversely affect a partner’s willingness or ability to satisfy obligations under any such arrangement;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partner could terminate the partnership arrangement, which could negatively impact our ability to sell our products and achieve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will need to maintain these relationships as well as diversify them. The inability to do so could adversely impact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the development and migration of our on-demand, rule based content delivery platform.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&amp; administrative costs and a diversion of management time and attention from revenue generating and other business activities to compliance activities.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quoted under the symbol “OPRX” on the Nasdaq Capital Markets. We do not currently have a consistent active trading market. There can be no assurance that a consistent active and liquid trading market will develop or, if developed, that it will be sustained.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innovations or new products and services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 of our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establishment of partnerships with other healthcare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below or exceeding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achieve profits or not;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or addition of any strategic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Currently, we do not own any real estate. Our principal executive offices are located at 400 Water Street, Suite 200, Rochester, Michigan 48307.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initially signed the lease for our current office space on December 1, 2011. That lease expired on November 30, 2016 and we signed a new lease covering the same space. The new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we fail to exercise our option for option years 4 and 5, a lease termination payment of $7,300 will be due at the end of the initial 3-year term.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short-term lease on shared office space in Somerset, New Jersey expiring March 31, 2019. The lease is a twelve-month lease calling for twelve monthly payments of approximately $700.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a short-term lease on an office space in Zagreb, Croatia expiring July 4, 2019. The lease is a twelve-month lease calling for twelve monthly payments of 550 €, or approximately $630 USD.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have a month to month lease on shared office space in Nashville Tennessee, with monthly lease payments of approximately $2,050.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properties are adequate for our current needs, but growth potential may require larger facilities due to anticipated addition of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policies regarding investments in real estate, securities or other forms of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current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under the symbol “OPRX” on the Nasdaq Capital Market.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set forth the range of high and low bid information for our common stock for the each of the periods indicated. These quotations reflect inter-dealer prices, without retail mark-up, mark-down or commission and may not necessarily represent actual transactions.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60" w:type="dxa"/>
            <w:vAlign w:val="bottom"/>
            <w:gridSpan w:val="3"/>
          </w:tcPr>
          <w:p>
            <w:pPr>
              <w:ind w:left="1020"/>
              <w:spacing w:after="0"/>
              <w:rPr>
                <w:sz w:val="20"/>
                <w:szCs w:val="20"/>
                <w:color w:val="auto"/>
              </w:rPr>
            </w:pPr>
            <w:r>
              <w:rPr>
                <w:rFonts w:ascii="Arial" w:cs="Arial" w:eastAsia="Arial" w:hAnsi="Arial"/>
                <w:sz w:val="18"/>
                <w:szCs w:val="18"/>
                <w:color w:val="auto"/>
              </w:rPr>
              <w:t>Fiscal Year Ending December 31, 2017</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3280" w:type="dxa"/>
            <w:vAlign w:val="bottom"/>
            <w:gridSpan w:val="2"/>
          </w:tcPr>
          <w:p>
            <w:pPr>
              <w:spacing w:after="0"/>
              <w:rPr>
                <w:sz w:val="20"/>
                <w:szCs w:val="20"/>
                <w:color w:val="auto"/>
              </w:rPr>
            </w:pPr>
            <w:r>
              <w:rPr>
                <w:rFonts w:ascii="Arial" w:cs="Arial" w:eastAsia="Arial" w:hAnsi="Arial"/>
                <w:sz w:val="18"/>
                <w:szCs w:val="18"/>
                <w:color w:val="auto"/>
              </w:rPr>
              <w:t>Quarter Ended</w:t>
            </w: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High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3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March 31, 2017</w:t>
            </w:r>
          </w:p>
        </w:tc>
        <w:tc>
          <w:tcPr>
            <w:tcW w:w="5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2.67</w:t>
            </w:r>
          </w:p>
        </w:tc>
        <w:tc>
          <w:tcPr>
            <w:tcW w:w="20" w:type="dxa"/>
            <w:vAlign w:val="bottom"/>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660" w:type="dxa"/>
            <w:vAlign w:val="bottom"/>
            <w:gridSpan w:val="3"/>
          </w:tcPr>
          <w:p>
            <w:pPr>
              <w:ind w:left="1020"/>
              <w:spacing w:after="0"/>
              <w:rPr>
                <w:sz w:val="20"/>
                <w:szCs w:val="20"/>
                <w:color w:val="auto"/>
              </w:rPr>
            </w:pPr>
            <w:r>
              <w:rPr>
                <w:rFonts w:ascii="Arial" w:cs="Arial" w:eastAsia="Arial" w:hAnsi="Arial"/>
                <w:sz w:val="18"/>
                <w:szCs w:val="18"/>
                <w:color w:val="auto"/>
              </w:rPr>
              <w:t>Fiscal Year Ending December 31, 2018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3280" w:type="dxa"/>
            <w:vAlign w:val="bottom"/>
            <w:gridSpan w:val="2"/>
          </w:tcPr>
          <w:p>
            <w:pPr>
              <w:spacing w:after="0"/>
              <w:rPr>
                <w:sz w:val="20"/>
                <w:szCs w:val="20"/>
                <w:color w:val="auto"/>
              </w:rPr>
            </w:pPr>
            <w:r>
              <w:rPr>
                <w:rFonts w:ascii="Arial" w:cs="Arial" w:eastAsia="Arial" w:hAnsi="Arial"/>
                <w:sz w:val="18"/>
                <w:szCs w:val="18"/>
                <w:color w:val="auto"/>
              </w:rPr>
              <w:t>Quarter Ended</w:t>
            </w: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High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Low $</w:t>
            </w:r>
          </w:p>
        </w:tc>
      </w:tr>
      <w:tr>
        <w:trPr>
          <w:trHeight w:val="202"/>
        </w:trPr>
        <w:tc>
          <w:tcPr>
            <w:tcW w:w="20" w:type="dxa"/>
            <w:vAlign w:val="bottom"/>
          </w:tcPr>
          <w:p>
            <w:pPr>
              <w:spacing w:after="0"/>
              <w:rPr>
                <w:sz w:val="17"/>
                <w:szCs w:val="17"/>
                <w:color w:val="auto"/>
              </w:rPr>
            </w:pPr>
          </w:p>
        </w:tc>
        <w:tc>
          <w:tcPr>
            <w:tcW w:w="3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March 31, 2018</w:t>
            </w:r>
          </w:p>
        </w:tc>
        <w:tc>
          <w:tcPr>
            <w:tcW w:w="5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Quarter Ended March 31, 2019</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(through March 7, 2019)</w:t>
            </w:r>
          </w:p>
        </w:tc>
        <w:tc>
          <w:tcPr>
            <w:tcW w:w="5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7, 2019, the last sales price per share of our common stock was $14.70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7, 2019, we had 12,095,111 shares of our common stock issued and outstanding, held by approximately 320 shareholders of record at our transfer agent, with approximately 1,200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1,500,000 incentive or non-qualified options to purchase our common stock, stock awards and other offerings under the Plan. In March 2016, the Board expanded the number of shares issuable under the Plan to 4,000,000 and in February 2018, the Board increased the number of shares issuable to 5,500,000 shares. In May, 2018, we completed a 1 for 3 reverse split of our stock in connection with our listing on the Nasdaq Capital Market, which reduced the shares authorized under the plan to 1,833,334. In February 2019, the Board expanded the number of shares issuable under the Plan to 2,500,000 shares.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2018</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Securities</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available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of Securities to</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for future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be issued upon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exercise price</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issuance under</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Equity Compensation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of</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equity</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Plans Not Approved by</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of outstanding</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compensation</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Shareholders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options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options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plans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2013 Equity</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9"/>
              </w:rPr>
              <w:t>(b)</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4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spacing w:after="0"/>
              <w:rPr>
                <w:sz w:val="20"/>
                <w:szCs w:val="20"/>
                <w:color w:val="auto"/>
              </w:rPr>
            </w:pPr>
            <w:r>
              <w:rPr>
                <w:rFonts w:ascii="Arial" w:cs="Arial" w:eastAsia="Arial" w:hAnsi="Arial"/>
                <w:sz w:val="18"/>
                <w:szCs w:val="18"/>
                <w:color w:val="auto"/>
              </w:rPr>
              <w:t>Compensation 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1,554,700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4.63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Other Equity Compensation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spacing w:after="0"/>
              <w:rPr>
                <w:sz w:val="20"/>
                <w:szCs w:val="20"/>
                <w:color w:val="auto"/>
              </w:rPr>
            </w:pPr>
            <w:r>
              <w:rPr>
                <w:rFonts w:ascii="Arial" w:cs="Arial" w:eastAsia="Arial" w:hAnsi="Arial"/>
                <w:sz w:val="18"/>
                <w:szCs w:val="18"/>
                <w:color w:val="auto"/>
              </w:rPr>
              <w:t>(restricted stock awards)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130,000</w:t>
            </w:r>
          </w:p>
        </w:tc>
        <w:tc>
          <w:tcPr>
            <w:tcW w:w="120" w:type="dxa"/>
            <w:vAlign w:val="bottom"/>
          </w:tcPr>
          <w:p>
            <w:pPr>
              <w:spacing w:after="0"/>
              <w:rPr>
                <w:sz w:val="21"/>
                <w:szCs w:val="21"/>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7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1,684,700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700"/>
              <w:spacing w:after="0"/>
              <w:rPr>
                <w:sz w:val="20"/>
                <w:szCs w:val="20"/>
                <w:color w:val="auto"/>
              </w:rPr>
            </w:pPr>
            <w:r>
              <w:rPr>
                <w:rFonts w:ascii="Arial" w:cs="Arial" w:eastAsia="Arial" w:hAnsi="Arial"/>
                <w:sz w:val="18"/>
                <w:szCs w:val="18"/>
                <w:color w:val="auto"/>
              </w:rPr>
              <w:t>4.63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had no remaining shares available to grant under the Plan at December 31, 2018. In February 2019, we increased our available shares under the Plan to 2,500,000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2018, we issued 10,420 shares of restricted common stock to our outside Directors as part of our director compensation package for services rendered in Q4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2018, we issued 5,000 shares to our investor relations firm for services. We also issued 30,638 shares of common stock in October 2018 in connection with our acquisition of CareSpeak Communications, Inc. to former shareholders of CareSpeak.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From October through December 2018, we issued 21,764 shares and received proceeds of $65,327 in connection with the exercise of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2019, the company issued 56,493 shares and received proceeds of $228,386 in connection with the exercise of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2019, we granted restricted stock awards for 50,000 shares of common stock to executive officers and options to purchase 67,050 shares of common stock with an exercise price of $13.06 to non-officers, both of which vest only if we achieve certain stretch revenue goals in 2019. In addition, we granted 35,000 time-based options with the same exercise price in February 2019 as well.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under Regulation S-K for “smaller reporting companies.”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revenue for the year ended December 31, 2018 was approximately $21.2 million, an increase of 75% from the year ended December 31, 2017. This increase resulted from increased pharmaceutical brands, an increased distribution network, and strong growth in our brand messaging product. We expect continued strong revenue growth in 2019 as a result of the foundations laid in 2017 and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 pharmaceutical industry is dominated by large companies with multiple brands, our revenue is concentrated in a relatively small number of companies. We have approximately 25 pharmaceutical companies as customers. We have focused our efforts on expanding both our customer base and our product offerings and are becoming less dependent on any one customer. In each of 2018 and 2017, our largest customer only accounted for approximately 12% of sales, and that was a different customer each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total cost of sales, composed primarily of revenue share expense, increased in the year ended December 31, 2018, from the year ended December 31, 2017 due to the increase in revenues. Our revenue share expense as a percentage of revenue, however, decreased from approximately 51% in the year ended December 31, 2017 to approximately 42% in the year ended December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decrease in revenue share expense as a percentage of revenue resulted primarily from product mix, and specifically from the substantial increase in our brand messaging revenue that had a substantial fixed cost component to it in 2017 and 2018. We expect revenue share expense as a percentage of revenue in 2019 to increase from 2018 levels as a result of a shift back to more historical product mix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gross margin, which is simply the difference between our revenues and our cost of sales, discussed above, increased substantially from 2017 to 2018 as a result of the increased revenue. In addition, our gross margin percentage increased from approximately 49% in 2017 to 58% in 2018 for the reasons discussed above in the cost of sales section. We expect our margins to decline slightly in 2019, but are focused on maintaining our margins, at least at 55%, in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to approximately $12.0 million for the year ended December 31, 2018, from approximately $8.1 million for the year ended December 31, 2017, an increase of approximately 49%.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5,823,057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4,151,740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362,678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324,117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Acquisition related costs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607,670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144,125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113,059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126,548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167,694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356,220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299,955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207,062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316,502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324,551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675,660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642,304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Integration Incentives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366,717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472,250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297,700</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390,563</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294,426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4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9,505,713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7,180,385</w:t>
            </w:r>
          </w:p>
        </w:tc>
        <w:tc>
          <w:tcPr>
            <w:tcW w:w="0" w:type="dxa"/>
            <w:vAlign w:val="bottom"/>
          </w:tcPr>
          <w:p>
            <w:pPr>
              <w:spacing w:after="0"/>
              <w:rPr>
                <w:sz w:val="1"/>
                <w:szCs w:val="1"/>
                <w:color w:val="auto"/>
              </w:rPr>
            </w:pPr>
          </w:p>
        </w:tc>
      </w:tr>
      <w:tr>
        <w:trPr>
          <w:trHeight w:val="44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2,520,852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902,389</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12,026,565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8,082,774</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main reasons for the overall increase in operating expenses in 2018 was our focus on staffing and scaling our company to focus on, and be able to support, accelerated revenue growth.</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Within the operating expenses, there were a variety of increases, the largest of which was in salaries, wages and benefits, as a result of additional staff added in 2017 and 2018, including related benefits. During 2018, we added to our staff in several key areas, including a head of data analytics, an additional VP of Sales, and a Controller. We also added 10 employees late in the year as a result of our CareSpeak acquisition. During 2017, we hired a president and two new vice presidents of sales, as well as additional supporting positions, which also resulted in an increase in 2018 because of the full year impact of those positions that were only partially included in 2017. Incentive compensation also increased in 2018, primarily as a result of the increase in revenues. We expect our compensation expense to increase in 2019, but at a much lower rate than in 2018.</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increased primarily because of costs associated with our up-listing to Nasdaq and the completion of the Secondary offering related to the sale of WPP shares, as well as implementation of our Sarbanes Oxley testing.</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Acquisition costs are related to our acquisition of CareSpeak Communications in October 2018. These costs include investment banker fees, legal and accounting due diligence, audit costs associated with CareSpeak, valuation experts for the purchase price allocation, and other miscellaneous costs.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Board compensation increased from 2017 to 2018 due to both the increase in our Board from five directors to six directors, and the establishment of an audit committee.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of consultants decreased significantly from 2017 to 2018. The 2017 costs included approximately $105,000 in consulting costs paid to our prior CEO as part of his exit from the Company. In addition, there were approximately $120,000 in consulting costs paid to consultants that were ultimately hired as employees, or employees were hired to assume the work the contractors were used for.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related to development, management, and maintenance of our technology increased slightly in 2018 as a result of improvements to our system, as well as costs associated with migrating our technology to Amazon Web Services. These costs were partially offset by the savings resulting from the move. We expect these costs to decrease significantly in 2019 due to the investments made in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Integration incentives are fees we pay to accelerate access to new partners. These fees decreased significantly from 2017 to 2018. We integrated a significant new partner in 2017 that resulted in approximately $180,000 of integration costs, but had no such new partner in 2018. We expect 2019 integration costs to be closer to the 2018 amount.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decreased slightly in 2018 from the 2017 levels. The increased amortization resulting from the acquisition of CareSpeak and the resulting intangible assets was offset by other items which became fully depreciated or amortized in 2017 and 2018. We expect depreciation and amortization expense in 2019 to exceed $650,000.</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Office, facility, and other costs increased from 2017 to 2018. The main reason for the change related to hiring expenses, including approximately $120,000 in recruiting fees related to new hires. The balance of the increase related to increased levels of activity, including our acquisition of CareSpeak.</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based compensation increased by approximately $1.6 million from 2017 to 2018 for several reasons, including the significant increase in our stock price. Stock based compensation for the Board of Directors increased from approximately $90,000 to approximately $430,000. The Board grant is based on a specific number shares each quarter and while the number of independent Directors eligible to receive shares increased from three to four, the majority of the increase related to the increase in stock price. In addition, the Company accelerated vesting on a portion of the options held by its CEO, which resulted in additional expense of approximately $180,000. The Company also granted performance based options and restricted stock awards valued at approximately $750,000 that will vest only if certain stretch revenue goals are achieved. Those goals were achieved so the awards vested and the expense was recorded in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finished the year ended December 31, 2018 with a profit of approximately $226,000, as compared to a loss of approximately $2.1 million during the year ended December 31, 2017. The reasons for specific components are discussed above. Overall, we had an increase in revenue and gross margin partially offset by increased operating expenses to support future growth. In addition, the income or loss in both periods included significant noncash items. We had approximately $2.85 million in noncash expense in 2018 and approximately $1.25 million in noncash expense in 2017.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Quarterly Financial Information</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460" w:type="dxa"/>
            <w:vAlign w:val="bottom"/>
            <w:gridSpan w:val="7"/>
          </w:tcPr>
          <w:p>
            <w:pPr>
              <w:spacing w:after="0"/>
              <w:rPr>
                <w:sz w:val="20"/>
                <w:szCs w:val="20"/>
                <w:color w:val="auto"/>
              </w:rPr>
            </w:pPr>
            <w:r>
              <w:rPr>
                <w:rFonts w:ascii="Arial" w:cs="Arial" w:eastAsia="Arial" w:hAnsi="Arial"/>
                <w:sz w:val="18"/>
                <w:szCs w:val="18"/>
                <w:color w:val="auto"/>
                <w:w w:val="93"/>
              </w:rPr>
              <w:t>Following is a table of our quarterly operating results for 2018 for information purposes.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First Quarter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Second Quarter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Third Quarter</w:t>
            </w:r>
          </w:p>
        </w:tc>
        <w:tc>
          <w:tcPr>
            <w:tcW w:w="200" w:type="dxa"/>
            <w:vAlign w:val="bottom"/>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Fourth Quarter</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Total Year</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4,112,237</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5,099,474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5,415,384</w:t>
            </w:r>
          </w:p>
        </w:tc>
        <w:tc>
          <w:tcPr>
            <w:tcW w:w="2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6,579,268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21,206,363</w:t>
            </w: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Revenue Share Expense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2,008,092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2,236,751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2,268,968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2,485,855</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8,999,666</w:t>
            </w: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2,104,145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2,862,723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3,146,416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4,093,413</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12,206,697</w:t>
            </w: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2,295,341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2,589,126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2,923,238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4,218,860</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12,026,565</w:t>
            </w: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(191,196)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273,597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223,178</w:t>
            </w:r>
          </w:p>
        </w:tc>
        <w:tc>
          <w:tcPr>
            <w:tcW w:w="2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(125,447)</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180,132</w:t>
            </w: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Other income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21,750</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15,533</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46,212</w:t>
            </w: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Loss before Taxes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(189,179)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280,509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244,928</w:t>
            </w:r>
          </w:p>
        </w:tc>
        <w:tc>
          <w:tcPr>
            <w:tcW w:w="2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(109,914)</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226,344</w:t>
            </w: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Provision for Taxes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453"/>
        </w:trPr>
        <w:tc>
          <w:tcPr>
            <w:tcW w:w="362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(189,179)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280,509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244,928</w:t>
            </w:r>
          </w:p>
        </w:tc>
        <w:tc>
          <w:tcPr>
            <w:tcW w:w="2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(109,914)</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226,344</w:t>
            </w: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Loss per share</w:t>
            </w:r>
          </w:p>
        </w:tc>
        <w:tc>
          <w:tcPr>
            <w:tcW w:w="10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44"/>
        </w:trPr>
        <w:tc>
          <w:tcPr>
            <w:tcW w:w="3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we had total current assets of approximately $16.0 million, compared with current liabilities of approximately $4.2 million, resulting in working capital of approximately $11.8 million and a current ratio of approximately 3.8 to 1. This compares with the working capital balance of approximately $5.3 million and the current ratio of 2.5 to 1 at December 31, 2017. This increase in working capital, as discussed in more detail below, is primarily the result of the capital we raised in connection with our up-listing to Nasdaq.</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table with summary data from the consolidated statement of cash flows for the year ended December 31, 2018 and 2017, as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40" w:type="dxa"/>
            <w:vAlign w:val="bottom"/>
          </w:tcPr>
          <w:p>
            <w:pPr>
              <w:spacing w:after="0"/>
              <w:rPr>
                <w:sz w:val="20"/>
                <w:szCs w:val="20"/>
                <w:color w:val="auto"/>
              </w:rPr>
            </w:pP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operating activities</w:t>
            </w:r>
          </w:p>
        </w:tc>
        <w:tc>
          <w:tcPr>
            <w:tcW w:w="260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792,555</w:t>
            </w:r>
          </w:p>
        </w:tc>
        <w:tc>
          <w:tcPr>
            <w:tcW w:w="24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97"/>
              </w:rPr>
              <w:t>(1,479,831)</w:t>
            </w:r>
          </w:p>
        </w:tc>
        <w:tc>
          <w:tcPr>
            <w:tcW w:w="40" w:type="dxa"/>
            <w:vAlign w:val="bottom"/>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(5,686,833)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(42,243)</w:t>
            </w:r>
          </w:p>
        </w:tc>
      </w:tr>
      <w:tr>
        <w:trPr>
          <w:trHeight w:val="244"/>
        </w:trPr>
        <w:tc>
          <w:tcPr>
            <w:tcW w:w="62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8,685,739</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(390,000)</w:t>
            </w:r>
          </w:p>
        </w:tc>
      </w:tr>
      <w:tr>
        <w:trPr>
          <w:trHeight w:val="27"/>
        </w:trPr>
        <w:tc>
          <w:tcPr>
            <w:tcW w:w="6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46"/>
        </w:trPr>
        <w:tc>
          <w:tcPr>
            <w:tcW w:w="62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8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3,791,461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(1,912,074)</w:t>
            </w:r>
          </w:p>
        </w:tc>
      </w:tr>
      <w:tr>
        <w:trPr>
          <w:trHeight w:val="27"/>
        </w:trPr>
        <w:tc>
          <w:tcPr>
            <w:tcW w:w="62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activities provided approximately $800,000 in the year ended December 31, 2018, as compared with approximately $1.5 million used in operating activities in the year ended December 31, 2017. The cash provided in 2018 was the result of our net income and non-cash expenses, partially offset by the increased working capital required to support higher revenues. The cash used in operations in 2017 was the result of both increased levels of working capital required to support higher revenue levels as well as a change in the contractual relationship related to certain partners resulting in a reduction of revenue share payable at December 31,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$5.7 million in investing activities in the year ended December 31, 2018, as compared with approximately $50,000 used in investment activities in the year ended December 31, 2017. The majority of the investing activities in 2018 related to our acquisition of CareSpeak communications in October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provided $8.7 million in the year ended December 31. 2018, as compared with cash used of $390,000 in 2017. The cash provided in 2018 was primarily the result of the equity raised in connection with our up-listing to Nasdaq, as well as from the proceeds of option exercises. The cash used in 2017 was the result of the redemption of shares of common stock held by our previous CEO.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cash on hand, we have sufficient cash to operate our business for more than the next 12 months and we do not anticipate the need to raise additional equity for operating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2018;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and impairment of assets. Following is a summary of those policies.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Recognition of revenue requires evidence of a contact, probable collection of proceeds, and completion of substantially all performance obligations. We use a 5-step model to recognize revenue. These steps are: identify the performance obligations in the contract, determine the transaction price, allocate the transaction price to the performance obligations in the contract, and recognize revenue when or as the performance obligations are satisfied.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Unless otherwise specified, revenue is recognized based on the gross selling price to customers.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contracts are generally all less than one year and the primary performance obligation is delivery of the message, but the contract may contain additional performance obligations. Additional performance obligations may include program design and set up, and reporting.</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messaging is distributed through the platform and network of channel partners (a transaction), these transactions are recorded, and revenue is recognized, at the time of distribution. Revenue for transactions can be realized based on a price per message, a price per redemption, or as a flat fee occurring over a period of time,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 at the time of delivery.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some instances, the Company also resells products and or services that are available through channel partners on a commission basis, and that are complementary to the core business and client base. In these instances, net revenue is recognized based on the commission based revenue split that the Company receives. In instances where the Company resells services and have all financial risk and significant operation input and risk, the Company records the revenue gross.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Share Expense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the volume of transactions that are delivered through the channel partner network, the Company provides a revenue share to compensate the partner for their promotion of the campaign. Revenue shares are a negotiated percentage of the transaction fees and can also be specific to special considerations and campaigns. In addition, the Company pays revenue share to ConnectiveRx (formerly LDM/PDR) as a result of a 2014 legal settlement in an amount equal to the greater of 10% of financial messaging distribution revenues generated through its integrated network, or $0.37 per financial message distributed through its integrated network. The contractual amount due to the channel partners is recorded as an expense at the time the eCoupon is distributed.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are stated at cost. Finite-lived assets are being amortized over their estimated useful lives of fifteen to seventeen years for patents, eight years for customer relationships, four years for covenants not to compete, and three to four years for software and websites, all using the straight-line method. These assets, as well as our indefinite-lived asset, are evaluated annually in our fiscal fourth quarter for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evaluate goodwill for impairment during our fiscal fourth quarter, or more frequently if an event occurs or circumstances change.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Share-based Payments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January 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of $59,387 than would have been reported under the previous method.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2016, the FASB issued ASC 2016-16 amending the accounting for income taxes, primarily related to intercompany transfers of inventory. We adopted this in 2018 and it had no impact on our financial statements or disclosures.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the adoption of these or other recently issued accounting pronouncements to have a significant impact on our results of operation, financial position or cash flow.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25">
        <w:r>
          <w:rPr>
            <w:rFonts w:ascii="Arial" w:cs="Arial" w:eastAsia="Arial" w:hAnsi="Arial"/>
            <w:sz w:val="16"/>
            <w:szCs w:val="16"/>
            <w:u w:val="single" w:color="auto"/>
            <w:color w:val="0000EE"/>
          </w:rPr>
          <w:t>Report of Independent Registered Public Accounting Firm;</w:t>
        </w:r>
      </w:hyperlink>
    </w:p>
    <w:p>
      <w:pPr>
        <w:spacing w:after="0" w:line="23"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28">
        <w:r>
          <w:rPr>
            <w:rFonts w:ascii="Arial" w:cs="Arial" w:eastAsia="Arial" w:hAnsi="Arial"/>
            <w:sz w:val="16"/>
            <w:szCs w:val="16"/>
            <w:u w:val="single" w:color="auto"/>
            <w:color w:val="0000EE"/>
          </w:rPr>
          <w:t>Consolidated Balance Sheets as of December 31, 2018 and 2017;</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29">
        <w:r>
          <w:rPr>
            <w:rFonts w:ascii="Arial" w:cs="Arial" w:eastAsia="Arial" w:hAnsi="Arial"/>
            <w:sz w:val="16"/>
            <w:szCs w:val="16"/>
            <w:u w:val="single" w:color="auto"/>
            <w:color w:val="0000EE"/>
          </w:rPr>
          <w:t>Consolidated Statements of Operations for the years ended December 31, 2018 and 2017;</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30">
        <w:r>
          <w:rPr>
            <w:rFonts w:ascii="Arial" w:cs="Arial" w:eastAsia="Arial" w:hAnsi="Arial"/>
            <w:sz w:val="16"/>
            <w:szCs w:val="16"/>
            <w:u w:val="single" w:color="auto"/>
            <w:color w:val="0000EE"/>
          </w:rPr>
          <w:t>Consolidated Statement of Stockholders’ Equity for the year ended December 31, 2017;</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F-7</w:t>
      </w:r>
      <w:r>
        <w:rPr>
          <w:sz w:val="20"/>
          <w:szCs w:val="20"/>
          <w:color w:val="auto"/>
        </w:rPr>
        <w:tab/>
      </w:r>
      <w:hyperlink w:anchor="page31">
        <w:r>
          <w:rPr>
            <w:rFonts w:ascii="Arial" w:cs="Arial" w:eastAsia="Arial" w:hAnsi="Arial"/>
            <w:sz w:val="16"/>
            <w:szCs w:val="16"/>
            <w:u w:val="single" w:color="auto"/>
            <w:color w:val="0000EE"/>
          </w:rPr>
          <w:t>Consolidated Statement of Stockholders’ Equity for the year ended December 31, 2018;</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F-8</w:t>
      </w:r>
      <w:r>
        <w:rPr>
          <w:sz w:val="20"/>
          <w:szCs w:val="20"/>
          <w:color w:val="auto"/>
        </w:rPr>
        <w:tab/>
      </w:r>
      <w:hyperlink w:anchor="page32">
        <w:r>
          <w:rPr>
            <w:rFonts w:ascii="Arial" w:cs="Arial" w:eastAsia="Arial" w:hAnsi="Arial"/>
            <w:sz w:val="16"/>
            <w:szCs w:val="16"/>
            <w:u w:val="single" w:color="auto"/>
            <w:color w:val="0000EE"/>
          </w:rPr>
          <w:t>Consolidated Statements of Cash Flows for the years ended December 31, 2018 and 2017; and</w:t>
        </w:r>
      </w:hyperlink>
    </w:p>
    <w:p>
      <w:pPr>
        <w:spacing w:after="0" w:line="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F-9</w:t>
      </w:r>
      <w:r>
        <w:rPr>
          <w:sz w:val="20"/>
          <w:szCs w:val="20"/>
          <w:color w:val="auto"/>
        </w:rPr>
        <w:tab/>
      </w:r>
      <w:hyperlink w:anchor="page33">
        <w:r>
          <w:rPr>
            <w:rFonts w:ascii="Arial" w:cs="Arial" w:eastAsia="Arial" w:hAnsi="Arial"/>
            <w:sz w:val="16"/>
            <w:szCs w:val="16"/>
            <w:u w:val="single" w:color="auto"/>
            <w:color w:val="0000EE"/>
          </w:rPr>
          <w:t>Notes to Consolidated Financial Statements</w:t>
        </w:r>
      </w:hyperlink>
    </w:p>
    <w:p>
      <w:pPr>
        <w:spacing w:after="0" w:line="200" w:lineRule="exact"/>
        <w:rPr>
          <w:sz w:val="20"/>
          <w:szCs w:val="20"/>
          <w:color w:val="auto"/>
        </w:rPr>
      </w:pPr>
    </w:p>
    <w:p>
      <w:pPr>
        <w:spacing w:after="0" w:line="22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15490" cy="848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01549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OptimizeRx Corporation (“the Company”) as of December 31, 2018 and 2017, the related consolidated statements of operations, stockholders’ equity, and cash flows for each of the years in the two-year period ended December 31, 2018 and the related notes (collectively referred to as the “consolidated financial statements”). In our opinion, the consolidated financial statements referred to above present fairly, in all material respects, the financial position of the Company as of December 31, 2018 and 2017, and the results of its operations and its cash flows for each of the years in the two-year period ended December 31, 2018,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and our report dated December 31, 2018, expressed an adverse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142875</wp:posOffset>
            </wp:positionV>
            <wp:extent cx="5154295" cy="497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542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15490" cy="848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01549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OptimizeRx Corporation’s (the Company’s) internal control over financial reporting as of December 31, 2018, based on criteria established in Internal Control—Integrated Framework (2013) issued by the Committee of Sponsoring Organizations of the Treadway Commission (COSO). In our opinion, because of the effect of the material weakness described in the following paragraph on the achievement of the objectives of the control criteria, the Company has not maintained effective internal control over financial reporting as of December 31, 2018, based on criteria established in Internal Control— Integrated Framework (2013) issued by COSO.</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2018 and 2017, the related consolidated statements of operations, stockholders’ equity, and cash flows for each of the years in the two-year period ended December 31, 2018 and the related notes (collectively referred to as the “consolidated financial statements”), and our report dated March 12, 2019, expressed an unqualified opinion on those consolidated financial statements.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material weakness is a control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was ineffective segregation of duties assignments, and ineffective information technology general controls (ITGCs) in the areas of user access and change-management over a certain information technology (IT) system, used in the Company’s financial reporting processes. As a result, business process automated and manual controls that are dependent on appropriate segregation of duties and are dependent on the affected ITGCs were ineffective because they could have been adversely impacted.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were ineffective controls related to revenue including ineffective controls over the review and approval of a key revenue calculation spreadsheet and ineffective controls over the accuracy and completeness of activity data produced by the Issuer’s proprietary IT system related to user actions in an electronic environment. These deficiencies were a result of a design deficiency in the review and approval process and IT control processes lacking sufficient documentation.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material weaknesses were considered in determining the nature, timing, and extent of audit tests applied in our audit of the 2018 consolidated financial statements, and this report does not affect our report on those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material weaknesses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142875</wp:posOffset>
            </wp:positionV>
            <wp:extent cx="5154295" cy="497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542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December 31,</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tcPr>
          <w:p>
            <w:pPr>
              <w:ind w:left="41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8,914,034</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5,122,573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6,457,841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3,430,890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2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590,744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255,428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2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15,962,619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2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149,330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2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3,678,513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Patent rights,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2,766,944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2,492,123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20" w:type="dxa"/>
            <w:vAlign w:val="bottom"/>
          </w:tcPr>
          <w:p>
            <w:pPr>
              <w:ind w:left="160"/>
              <w:spacing w:after="0"/>
              <w:rPr>
                <w:sz w:val="20"/>
                <w:szCs w:val="20"/>
                <w:color w:val="auto"/>
              </w:rPr>
            </w:pPr>
            <w:r>
              <w:rPr>
                <w:rFonts w:ascii="Arial" w:cs="Arial" w:eastAsia="Arial" w:hAnsi="Arial"/>
                <w:sz w:val="18"/>
                <w:szCs w:val="18"/>
                <w:color w:val="auto"/>
              </w:rPr>
              <w:t>Security deposit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2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8,942,629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2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25,054,578</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9,763,741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7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411,010</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457,289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1,300,882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953,947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1,908,616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1,624,806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610,625</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507,160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20" w:type="dxa"/>
            <w:vAlign w:val="bottom"/>
          </w:tcPr>
          <w:p>
            <w:pPr>
              <w:ind w:left="16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4,231,133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2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720" w:type="dxa"/>
            <w:vAlign w:val="bottom"/>
          </w:tcPr>
          <w:p>
            <w:pPr>
              <w:ind w:left="160"/>
              <w:spacing w:after="0"/>
              <w:rPr>
                <w:sz w:val="20"/>
                <w:szCs w:val="20"/>
                <w:color w:val="auto"/>
              </w:rPr>
            </w:pPr>
            <w:r>
              <w:rPr>
                <w:rFonts w:ascii="Arial" w:cs="Arial" w:eastAsia="Arial" w:hAnsi="Arial"/>
                <w:sz w:val="18"/>
                <w:szCs w:val="18"/>
                <w:color w:val="auto"/>
              </w:rPr>
              <w:t>Contingent purchase price payable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2,365,000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2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6,596,133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72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w w:val="89"/>
              </w:rPr>
              <w:t>Preferred stock, $0.001 par value, 10,000,000 shares authorized, no issued and outstanding at December 31, 2018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w w:val="95"/>
              </w:rPr>
              <w:t>Common stock, $0.001 par value, 500,000,000 shares authorized, 12,038,618 and 9,772,694 shares issued 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40"/>
              <w:spacing w:after="0"/>
              <w:rPr>
                <w:sz w:val="20"/>
                <w:szCs w:val="20"/>
                <w:color w:val="auto"/>
              </w:rPr>
            </w:pPr>
            <w:r>
              <w:rPr>
                <w:rFonts w:ascii="Arial" w:cs="Arial" w:eastAsia="Arial" w:hAnsi="Arial"/>
                <w:sz w:val="18"/>
                <w:szCs w:val="18"/>
                <w:color w:val="auto"/>
              </w:rPr>
              <w:t>outstanding at December 31, 2018 and 2017, respectively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12,039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Stock warrants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48,725,211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35,287,464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7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(30,278,805)</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(30,363,122)</w:t>
            </w:r>
          </w:p>
        </w:tc>
        <w:tc>
          <w:tcPr>
            <w:tcW w:w="0" w:type="dxa"/>
            <w:vAlign w:val="bottom"/>
          </w:tcPr>
          <w:p>
            <w:pPr>
              <w:spacing w:after="0"/>
              <w:rPr>
                <w:sz w:val="1"/>
                <w:szCs w:val="1"/>
                <w:color w:val="auto"/>
              </w:rPr>
            </w:pPr>
          </w:p>
        </w:tc>
      </w:tr>
      <w:tr>
        <w:trPr>
          <w:trHeight w:val="223"/>
        </w:trPr>
        <w:tc>
          <w:tcPr>
            <w:tcW w:w="872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18,458,445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6,220,539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2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25,054,578</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9,763,741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Ended December 31,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December 31,</w:t>
            </w:r>
          </w:p>
        </w:tc>
        <w:tc>
          <w:tcPr>
            <w:tcW w:w="2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6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60" w:type="dxa"/>
            <w:vAlign w:val="bottom"/>
          </w:tcPr>
          <w:p>
            <w:pPr>
              <w:spacing w:after="0"/>
              <w:rPr>
                <w:sz w:val="20"/>
                <w:szCs w:val="20"/>
                <w:color w:val="auto"/>
              </w:rPr>
            </w:pPr>
            <w:r>
              <w:rPr>
                <w:rFonts w:ascii="Arial" w:cs="Arial" w:eastAsia="Arial" w:hAnsi="Arial"/>
                <w:sz w:val="18"/>
                <w:szCs w:val="18"/>
                <w:color w:val="auto"/>
              </w:rPr>
              <w:t>Revenue</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21,206,363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12,127,422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460" w:type="dxa"/>
            <w:vAlign w:val="bottom"/>
          </w:tcPr>
          <w:p>
            <w:pPr>
              <w:spacing w:after="0"/>
              <w:rPr>
                <w:sz w:val="20"/>
                <w:szCs w:val="20"/>
                <w:color w:val="auto"/>
              </w:rPr>
            </w:pPr>
            <w:r>
              <w:rPr>
                <w:rFonts w:ascii="Arial" w:cs="Arial" w:eastAsia="Arial" w:hAnsi="Arial"/>
                <w:sz w:val="18"/>
                <w:szCs w:val="18"/>
                <w:color w:val="auto"/>
              </w:rPr>
              <w:t>Revenue share expense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8,999,666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6,174,614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line="203" w:lineRule="exact"/>
              <w:rPr>
                <w:sz w:val="20"/>
                <w:szCs w:val="20"/>
                <w:color w:val="auto"/>
              </w:rPr>
            </w:pPr>
            <w:r>
              <w:rPr>
                <w:rFonts w:ascii="Arial" w:cs="Arial" w:eastAsia="Arial" w:hAnsi="Arial"/>
                <w:sz w:val="18"/>
                <w:szCs w:val="18"/>
                <w:color w:val="auto"/>
              </w:rPr>
              <w:t>Gross Margin</w:t>
            </w:r>
          </w:p>
        </w:tc>
        <w:tc>
          <w:tcPr>
            <w:tcW w:w="2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12,206,697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5,952,808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46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2,520,852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902,389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316,502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324,551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46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9,189,211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6,855,834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line="203" w:lineRule="exact"/>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12,026,565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8,082,774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line="203" w:lineRule="exact"/>
              <w:rPr>
                <w:sz w:val="20"/>
                <w:szCs w:val="20"/>
                <w:color w:val="auto"/>
              </w:rPr>
            </w:pPr>
            <w:r>
              <w:rPr>
                <w:rFonts w:ascii="Arial" w:cs="Arial" w:eastAsia="Arial" w:hAnsi="Arial"/>
                <w:sz w:val="18"/>
                <w:szCs w:val="18"/>
                <w:color w:val="auto"/>
              </w:rPr>
              <w:t>Income (loss) from operations</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180,132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(2,129,966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Other income</w:t>
            </w:r>
          </w:p>
        </w:tc>
        <w:tc>
          <w:tcPr>
            <w:tcW w:w="2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60" w:type="dxa"/>
            <w:vAlign w:val="bottom"/>
          </w:tcPr>
          <w:p>
            <w:pPr>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46,212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25,937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line="203" w:lineRule="exact"/>
              <w:rPr>
                <w:sz w:val="20"/>
                <w:szCs w:val="20"/>
                <w:color w:val="auto"/>
              </w:rPr>
            </w:pPr>
            <w:r>
              <w:rPr>
                <w:rFonts w:ascii="Arial" w:cs="Arial" w:eastAsia="Arial" w:hAnsi="Arial"/>
                <w:sz w:val="18"/>
                <w:szCs w:val="18"/>
                <w:color w:val="auto"/>
              </w:rPr>
              <w:t>Total other income</w:t>
            </w:r>
          </w:p>
        </w:tc>
        <w:tc>
          <w:tcPr>
            <w:tcW w:w="2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25,937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60" w:type="dxa"/>
            <w:vAlign w:val="bottom"/>
          </w:tcPr>
          <w:p>
            <w:pPr>
              <w:spacing w:after="0" w:line="201" w:lineRule="exact"/>
              <w:rPr>
                <w:sz w:val="20"/>
                <w:szCs w:val="20"/>
                <w:color w:val="auto"/>
              </w:rPr>
            </w:pPr>
            <w:r>
              <w:rPr>
                <w:rFonts w:ascii="Arial" w:cs="Arial" w:eastAsia="Arial" w:hAnsi="Arial"/>
                <w:sz w:val="18"/>
                <w:szCs w:val="18"/>
                <w:color w:val="auto"/>
              </w:rPr>
              <w:t>Income (loss) before provision for income taxes</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226,344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(2,104,029)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6460" w:type="dxa"/>
            <w:vAlign w:val="bottom"/>
            <w:vMerge w:val="continue"/>
          </w:tcPr>
          <w:p>
            <w:pPr>
              <w:spacing w:after="0"/>
              <w:rPr>
                <w:sz w:val="21"/>
                <w:szCs w:val="21"/>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226,344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(2,104,029</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10,832,209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9,819,753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11,862,991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9,819,753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2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46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(0.21)</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64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(0.21</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Balance,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2016</w:t>
      </w:r>
    </w:p>
    <w:p>
      <w:pPr>
        <w:spacing w:after="0" w:line="9" w:lineRule="exact"/>
        <w:rPr>
          <w:sz w:val="20"/>
          <w:szCs w:val="20"/>
          <w:color w:val="auto"/>
        </w:rPr>
      </w:pPr>
    </w:p>
    <w:p>
      <w:pPr>
        <w:ind w:left="180" w:hanging="179"/>
        <w:spacing w:after="0" w:line="250" w:lineRule="auto"/>
        <w:rPr>
          <w:sz w:val="20"/>
          <w:szCs w:val="20"/>
          <w:color w:val="auto"/>
        </w:rPr>
      </w:pPr>
      <w:r>
        <w:rPr>
          <w:rFonts w:ascii="Arial" w:cs="Arial" w:eastAsia="Arial" w:hAnsi="Arial"/>
          <w:sz w:val="18"/>
          <w:szCs w:val="18"/>
          <w:color w:val="auto"/>
        </w:rPr>
        <w:t>Issuance of stock options to employees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Issuance of common stock:</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services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cash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options</w:t>
      </w:r>
    </w:p>
    <w:p>
      <w:pPr>
        <w:spacing w:after="0" w:line="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Shares redeemed for cash Expiration of Warrants Net loss for the</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year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2017</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2340"/>
        <w:spacing w:after="0"/>
        <w:rPr>
          <w:sz w:val="20"/>
          <w:szCs w:val="20"/>
          <w:color w:val="auto"/>
        </w:rPr>
      </w:pPr>
      <w:r>
        <w:rPr>
          <w:rFonts w:ascii="Arial" w:cs="Arial" w:eastAsia="Arial" w:hAnsi="Arial"/>
          <w:sz w:val="18"/>
          <w:szCs w:val="18"/>
          <w:b w:val="1"/>
          <w:bCs w:val="1"/>
          <w:color w:val="auto"/>
        </w:rPr>
        <w:t>Ended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Preferred</w:t>
            </w:r>
          </w:p>
        </w:tc>
        <w:tc>
          <w:tcPr>
            <w:tcW w:w="800" w:type="dxa"/>
            <w:vAlign w:val="bottom"/>
          </w:tcPr>
          <w:p>
            <w:pPr>
              <w:jc w:val="right"/>
              <w:spacing w:after="0"/>
              <w:rPr>
                <w:sz w:val="20"/>
                <w:szCs w:val="20"/>
                <w:color w:val="auto"/>
              </w:rPr>
            </w:pPr>
            <w:r>
              <w:rPr>
                <w:rFonts w:ascii="Arial" w:cs="Arial" w:eastAsia="Arial" w:hAnsi="Arial"/>
                <w:sz w:val="18"/>
                <w:szCs w:val="18"/>
                <w:color w:val="auto"/>
              </w:rPr>
              <w:t>Preferred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Additional</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16"/>
        </w:trPr>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Paid-in</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060" w:type="dxa"/>
            <w:vAlign w:val="bottom"/>
            <w:gridSpan w:val="3"/>
          </w:tcPr>
          <w:p>
            <w:pPr>
              <w:spacing w:after="0"/>
              <w:rPr>
                <w:sz w:val="20"/>
                <w:szCs w:val="20"/>
                <w:color w:val="auto"/>
              </w:rPr>
            </w:pPr>
            <w:r>
              <w:rPr>
                <w:rFonts w:ascii="Arial" w:cs="Arial" w:eastAsia="Arial" w:hAnsi="Arial"/>
                <w:sz w:val="18"/>
                <w:szCs w:val="18"/>
                <w:color w:val="auto"/>
                <w:w w:val="96"/>
              </w:rPr>
              <w:t>Stockholders’</w:t>
            </w:r>
          </w:p>
        </w:tc>
      </w:tr>
      <w:tr>
        <w:trPr>
          <w:trHeight w:val="23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Warrants</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r>
      <w:tr>
        <w:trPr>
          <w:trHeight w:val="648"/>
        </w:trPr>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36"/>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9,906,289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2,294,416</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$ 33,766,950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 (28,259,093)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7,812,179</w:t>
            </w:r>
          </w:p>
        </w:tc>
        <w:tc>
          <w:tcPr>
            <w:tcW w:w="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815,014</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815,014</w:t>
            </w:r>
          </w:p>
        </w:tc>
        <w:tc>
          <w:tcPr>
            <w:tcW w:w="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87,350</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87,375</w:t>
            </w:r>
          </w:p>
        </w:tc>
        <w:tc>
          <w:tcPr>
            <w:tcW w:w="6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8,071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(166,666)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(389,834)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(390,000)</w:t>
            </w:r>
          </w:p>
        </w:tc>
      </w:tr>
      <w:tr>
        <w:trPr>
          <w:trHeight w:val="230"/>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(1,007,992)</w:t>
            </w:r>
          </w:p>
        </w:tc>
        <w:tc>
          <w:tcPr>
            <w:tcW w:w="920" w:type="dxa"/>
            <w:vAlign w:val="bottom"/>
          </w:tcPr>
          <w:p>
            <w:pPr>
              <w:jc w:val="right"/>
              <w:spacing w:after="0"/>
              <w:rPr>
                <w:sz w:val="20"/>
                <w:szCs w:val="20"/>
                <w:color w:val="auto"/>
              </w:rPr>
            </w:pPr>
            <w:r>
              <w:rPr>
                <w:rFonts w:ascii="Arial" w:cs="Arial" w:eastAsia="Arial" w:hAnsi="Arial"/>
                <w:sz w:val="18"/>
                <w:szCs w:val="18"/>
                <w:color w:val="auto"/>
              </w:rPr>
              <w:t>1,007,992</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46"/>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(2,104,029)</w:t>
            </w: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(2,104,029)</w:t>
            </w:r>
          </w:p>
        </w:tc>
      </w:tr>
      <w:tr>
        <w:trPr>
          <w:trHeight w:val="27"/>
        </w:trPr>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ind w:right="636"/>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9,772,694</w:t>
            </w:r>
          </w:p>
        </w:tc>
        <w:tc>
          <w:tcPr>
            <w:tcW w:w="1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1,286,424</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35,287,464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 (30,363,122</w:t>
            </w:r>
            <w:r>
              <w:rPr>
                <w:rFonts w:ascii="Arial" w:cs="Arial" w:eastAsia="Arial" w:hAnsi="Arial"/>
                <w:sz w:val="36"/>
                <w:szCs w:val="36"/>
                <w:color w:val="auto"/>
                <w:w w:val="85"/>
                <w:vertAlign w:val="superscript"/>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6,220,539</w:t>
            </w:r>
          </w:p>
        </w:tc>
        <w:tc>
          <w:tcPr>
            <w:tcW w:w="60" w:type="dxa"/>
            <w:vAlign w:val="bottom"/>
          </w:tcPr>
          <w:p>
            <w:pPr>
              <w:spacing w:after="0"/>
              <w:rPr>
                <w:sz w:val="24"/>
                <w:szCs w:val="24"/>
                <w:color w:val="auto"/>
              </w:rPr>
            </w:pPr>
          </w:p>
        </w:tc>
      </w:tr>
      <w:tr>
        <w:trPr>
          <w:trHeight w:val="21"/>
        </w:trPr>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000" w:space="380"/>
            <w:col w:w="9000"/>
          </w:cols>
          <w:pgMar w:left="240" w:top="904" w:right="27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Balance,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2017</w:t>
      </w:r>
    </w:p>
    <w:p>
      <w:pPr>
        <w:spacing w:after="0" w:line="9" w:lineRule="exact"/>
        <w:rPr>
          <w:sz w:val="20"/>
          <w:szCs w:val="20"/>
          <w:color w:val="auto"/>
        </w:rPr>
      </w:pPr>
    </w:p>
    <w:p>
      <w:pPr>
        <w:jc w:val="both"/>
        <w:ind w:left="180" w:hanging="179"/>
        <w:spacing w:after="0" w:line="281" w:lineRule="auto"/>
        <w:rPr>
          <w:sz w:val="20"/>
          <w:szCs w:val="20"/>
          <w:color w:val="auto"/>
        </w:rPr>
      </w:pPr>
      <w:r>
        <w:rPr>
          <w:rFonts w:ascii="Arial" w:cs="Arial" w:eastAsia="Arial" w:hAnsi="Arial"/>
          <w:sz w:val="16"/>
          <w:szCs w:val="16"/>
          <w:color w:val="auto"/>
        </w:rPr>
        <w:t>Cumulative effect of change in accounting principle related to revenue recognition</w:t>
      </w:r>
    </w:p>
    <w:p>
      <w:pPr>
        <w:spacing w:after="0" w:line="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Stock Compensation Expense Issuance of common stock:</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services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cash</w:t>
      </w:r>
    </w:p>
    <w:p>
      <w:pPr>
        <w:spacing w:after="0" w:line="9" w:lineRule="exact"/>
        <w:rPr>
          <w:sz w:val="20"/>
          <w:szCs w:val="20"/>
          <w:color w:val="auto"/>
        </w:rPr>
      </w:pPr>
    </w:p>
    <w:p>
      <w:pPr>
        <w:jc w:val="center"/>
        <w:ind w:right="160"/>
        <w:spacing w:after="0" w:line="281" w:lineRule="auto"/>
        <w:rPr>
          <w:sz w:val="20"/>
          <w:szCs w:val="20"/>
          <w:color w:val="auto"/>
        </w:rPr>
      </w:pPr>
      <w:r>
        <w:rPr>
          <w:rFonts w:ascii="Arial" w:cs="Arial" w:eastAsia="Arial" w:hAnsi="Arial"/>
          <w:sz w:val="16"/>
          <w:szCs w:val="16"/>
          <w:color w:val="auto"/>
        </w:rPr>
        <w:t>for options exercised for warrants exercised Shares issued for acquisition Shares issued in payment of</w:t>
      </w:r>
    </w:p>
    <w:p>
      <w:pPr>
        <w:spacing w:after="0" w:line="3" w:lineRule="exact"/>
        <w:rPr>
          <w:sz w:val="20"/>
          <w:szCs w:val="20"/>
          <w:color w:val="auto"/>
        </w:rPr>
      </w:pPr>
    </w:p>
    <w:p>
      <w:pPr>
        <w:ind w:right="280" w:firstLine="180"/>
        <w:spacing w:after="0" w:line="281" w:lineRule="auto"/>
        <w:rPr>
          <w:sz w:val="20"/>
          <w:szCs w:val="20"/>
          <w:color w:val="auto"/>
        </w:rPr>
      </w:pPr>
      <w:r>
        <w:rPr>
          <w:rFonts w:ascii="Arial" w:cs="Arial" w:eastAsia="Arial" w:hAnsi="Arial"/>
          <w:sz w:val="16"/>
          <w:szCs w:val="16"/>
          <w:color w:val="auto"/>
        </w:rPr>
        <w:t>revenue share Additional shares issued in</w:t>
      </w:r>
    </w:p>
    <w:p>
      <w:pPr>
        <w:spacing w:after="0" w:line="1" w:lineRule="exact"/>
        <w:rPr>
          <w:sz w:val="20"/>
          <w:szCs w:val="20"/>
          <w:color w:val="auto"/>
        </w:rPr>
      </w:pPr>
    </w:p>
    <w:p>
      <w:pPr>
        <w:ind w:left="180" w:right="340"/>
        <w:spacing w:after="0" w:line="281" w:lineRule="auto"/>
        <w:rPr>
          <w:sz w:val="20"/>
          <w:szCs w:val="20"/>
          <w:color w:val="auto"/>
        </w:rPr>
      </w:pPr>
      <w:r>
        <w:rPr>
          <w:rFonts w:ascii="Arial" w:cs="Arial" w:eastAsia="Arial" w:hAnsi="Arial"/>
          <w:sz w:val="16"/>
          <w:szCs w:val="16"/>
          <w:color w:val="auto"/>
        </w:rPr>
        <w:t>connection with reverse split due to rounding</w:t>
      </w:r>
    </w:p>
    <w:p>
      <w:pPr>
        <w:spacing w:after="0" w:line="1" w:lineRule="exact"/>
        <w:rPr>
          <w:sz w:val="20"/>
          <w:szCs w:val="20"/>
          <w:color w:val="auto"/>
        </w:rPr>
      </w:pPr>
    </w:p>
    <w:p>
      <w:pPr>
        <w:ind w:left="180" w:right="880" w:hanging="179"/>
        <w:spacing w:after="0" w:line="257" w:lineRule="auto"/>
        <w:rPr>
          <w:sz w:val="20"/>
          <w:szCs w:val="20"/>
          <w:color w:val="auto"/>
        </w:rPr>
      </w:pPr>
      <w:r>
        <w:rPr>
          <w:rFonts w:ascii="Arial" w:cs="Arial" w:eastAsia="Arial" w:hAnsi="Arial"/>
          <w:sz w:val="18"/>
          <w:szCs w:val="18"/>
          <w:color w:val="auto"/>
        </w:rPr>
        <w:t>Net income for the year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br w:type="column"/>
      </w:r>
    </w:p>
    <w:p>
      <w:pPr>
        <w:jc w:val="center"/>
        <w:ind w:left="1020" w:right="2320"/>
        <w:spacing w:after="0" w:line="266" w:lineRule="auto"/>
        <w:rPr>
          <w:sz w:val="20"/>
          <w:szCs w:val="20"/>
          <w:color w:val="auto"/>
        </w:rPr>
      </w:pPr>
      <w:r>
        <w:rPr>
          <w:rFonts w:ascii="Arial" w:cs="Arial" w:eastAsia="Arial" w:hAnsi="Arial"/>
          <w:sz w:val="18"/>
          <w:szCs w:val="18"/>
          <w:b w:val="1"/>
          <w:bCs w:val="1"/>
          <w:color w:val="auto"/>
        </w:rPr>
        <w:t>OPTIMIZERx CORPORATION Consolidated Statement of Stockholders’ Equity for the Year Ended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7"/>
              </w:rPr>
              <w:t>Preferred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Preferred</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Additional</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Stock</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Paid-in</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Accumulated</w:t>
            </w:r>
          </w:p>
        </w:tc>
        <w:tc>
          <w:tcPr>
            <w:tcW w:w="1060" w:type="dxa"/>
            <w:vAlign w:val="bottom"/>
            <w:gridSpan w:val="3"/>
          </w:tcPr>
          <w:p>
            <w:pPr>
              <w:spacing w:after="0"/>
              <w:rPr>
                <w:sz w:val="20"/>
                <w:szCs w:val="20"/>
                <w:color w:val="auto"/>
              </w:rPr>
            </w:pPr>
            <w:r>
              <w:rPr>
                <w:rFonts w:ascii="Arial" w:cs="Arial" w:eastAsia="Arial" w:hAnsi="Arial"/>
                <w:sz w:val="18"/>
                <w:szCs w:val="18"/>
                <w:color w:val="auto"/>
                <w:w w:val="96"/>
              </w:rPr>
              <w:t>Stockholders’</w:t>
            </w:r>
          </w:p>
        </w:tc>
      </w:tr>
      <w:tr>
        <w:trPr>
          <w:trHeight w:val="237"/>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Warrants</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Deficit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r>
      <w:tr>
        <w:trPr>
          <w:trHeight w:val="648"/>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9,772,694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1,286,424</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$ 35,287,464</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 (30,363,122)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6,220,539</w:t>
            </w:r>
          </w:p>
        </w:tc>
        <w:tc>
          <w:tcPr>
            <w:tcW w:w="60" w:type="dxa"/>
            <w:vAlign w:val="bottom"/>
          </w:tcPr>
          <w:p>
            <w:pPr>
              <w:spacing w:after="0"/>
              <w:rPr>
                <w:sz w:val="24"/>
                <w:szCs w:val="24"/>
                <w:color w:val="auto"/>
              </w:rPr>
            </w:pPr>
          </w:p>
        </w:tc>
      </w:tr>
      <w:tr>
        <w:trPr>
          <w:trHeight w:val="634"/>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(142,027)</w:t>
            </w: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(142,027)</w:t>
            </w:r>
          </w:p>
        </w:tc>
      </w:tr>
      <w:tr>
        <w:trPr>
          <w:trHeight w:val="230"/>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1,863,911</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1,863,911</w:t>
            </w:r>
          </w:p>
        </w:tc>
        <w:tc>
          <w:tcPr>
            <w:tcW w:w="6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51,494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656,883</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656,934</w:t>
            </w:r>
          </w:p>
        </w:tc>
        <w:tc>
          <w:tcPr>
            <w:tcW w:w="6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1,666,669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8,162,807</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8,164,474</w:t>
            </w: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521,105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521,270</w:t>
            </w:r>
          </w:p>
        </w:tc>
        <w:tc>
          <w:tcPr>
            <w:tcW w:w="6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251,046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(1,286,424)</w:t>
            </w:r>
          </w:p>
        </w:tc>
        <w:tc>
          <w:tcPr>
            <w:tcW w:w="920" w:type="dxa"/>
            <w:vAlign w:val="bottom"/>
          </w:tcPr>
          <w:p>
            <w:pPr>
              <w:jc w:val="right"/>
              <w:spacing w:after="0"/>
              <w:rPr>
                <w:sz w:val="20"/>
                <w:szCs w:val="20"/>
                <w:color w:val="auto"/>
              </w:rPr>
            </w:pPr>
            <w:r>
              <w:rPr>
                <w:rFonts w:ascii="Arial" w:cs="Arial" w:eastAsia="Arial" w:hAnsi="Arial"/>
                <w:sz w:val="18"/>
                <w:szCs w:val="18"/>
                <w:color w:val="auto"/>
              </w:rPr>
              <w:t>1,286,173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30,638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499,969</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446,900</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447,000</w:t>
            </w:r>
          </w:p>
        </w:tc>
        <w:tc>
          <w:tcPr>
            <w:tcW w:w="60" w:type="dxa"/>
            <w:vAlign w:val="bottom"/>
          </w:tcPr>
          <w:p>
            <w:pPr>
              <w:spacing w:after="0"/>
              <w:rPr>
                <w:sz w:val="24"/>
                <w:szCs w:val="24"/>
                <w:color w:val="auto"/>
              </w:rPr>
            </w:pPr>
          </w:p>
        </w:tc>
      </w:tr>
      <w:tr>
        <w:trPr>
          <w:trHeight w:val="648"/>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53"/>
        </w:trPr>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226,344</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226,344</w:t>
            </w:r>
          </w:p>
        </w:tc>
        <w:tc>
          <w:tcPr>
            <w:tcW w:w="60" w:type="dxa"/>
            <w:vAlign w:val="bottom"/>
          </w:tcPr>
          <w:p>
            <w:pPr>
              <w:spacing w:after="0"/>
              <w:rPr>
                <w:sz w:val="24"/>
                <w:szCs w:val="24"/>
                <w:color w:val="auto"/>
              </w:rPr>
            </w:pPr>
          </w:p>
        </w:tc>
      </w:tr>
      <w:tr>
        <w:trPr>
          <w:trHeight w:val="466"/>
        </w:trPr>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12,038,618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12,039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$ 48,725,211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 (30,278,805</w:t>
            </w:r>
            <w:r>
              <w:rPr>
                <w:rFonts w:ascii="Arial" w:cs="Arial" w:eastAsia="Arial" w:hAnsi="Arial"/>
                <w:sz w:val="36"/>
                <w:szCs w:val="36"/>
                <w:color w:val="auto"/>
                <w:w w:val="85"/>
                <w:vertAlign w:val="superscript"/>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18,458,445</w:t>
            </w:r>
          </w:p>
        </w:tc>
        <w:tc>
          <w:tcPr>
            <w:tcW w:w="60" w:type="dxa"/>
            <w:vAlign w:val="bottom"/>
          </w:tcPr>
          <w:p>
            <w:pPr>
              <w:spacing w:after="0"/>
              <w:rPr>
                <w:sz w:val="24"/>
                <w:szCs w:val="24"/>
                <w:color w:val="auto"/>
              </w:rPr>
            </w:pPr>
          </w:p>
        </w:tc>
      </w:tr>
      <w:tr>
        <w:trPr>
          <w:trHeight w:val="21"/>
        </w:trPr>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240" w:space="120"/>
            <w:col w:w="9020"/>
          </w:cols>
          <w:pgMar w:left="240" w:top="904" w:right="279" w:bottom="1440" w:gutter="0" w:footer="0" w:header="0"/>
        </w:sectPr>
      </w:pPr>
    </w:p>
    <w:bookmarkStart w:id="31" w:name="page32"/>
    <w:bookmarkEnd w:id="31"/>
    <w:p>
      <w:pPr>
        <w:jc w:val="center"/>
        <w:ind w:left="30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 for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disposal of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issued for services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18" w:lineRule="exact"/>
        <w:rPr>
          <w:sz w:val="20"/>
          <w:szCs w:val="20"/>
          <w:color w:val="auto"/>
        </w:rPr>
      </w:pPr>
    </w:p>
    <w:p>
      <w:pPr>
        <w:ind w:right="3040"/>
        <w:spacing w:after="0" w:line="284" w:lineRule="auto"/>
        <w:rPr>
          <w:sz w:val="20"/>
          <w:szCs w:val="20"/>
          <w:color w:val="auto"/>
        </w:rPr>
      </w:pPr>
      <w:r>
        <w:rPr>
          <w:rFonts w:ascii="Arial" w:cs="Arial" w:eastAsia="Arial" w:hAnsi="Arial"/>
          <w:sz w:val="18"/>
          <w:szCs w:val="18"/>
          <w:b w:val="1"/>
          <w:bCs w:val="1"/>
          <w:color w:val="auto"/>
        </w:rPr>
        <w:t>NET CASH PROVIDED BY (USED IN) OPERATING ACTIVITIES CASH FLOWS FROM INVESTING ACTIVITIES: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 of intangible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in acquisition, net of cash acquired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common stock</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Redemption of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CASH AND CASH EQUIVALENTS</w:t>
      </w:r>
    </w:p>
    <w:p>
      <w:pPr>
        <w:spacing w:after="0" w:line="27" w:lineRule="exact"/>
        <w:rPr>
          <w:sz w:val="20"/>
          <w:szCs w:val="20"/>
          <w:color w:val="auto"/>
        </w:rPr>
      </w:pPr>
    </w:p>
    <w:p>
      <w:pPr>
        <w:ind w:right="3280"/>
        <w:spacing w:after="0" w:line="323" w:lineRule="auto"/>
        <w:rPr>
          <w:sz w:val="20"/>
          <w:szCs w:val="20"/>
          <w:color w:val="auto"/>
        </w:rPr>
      </w:pPr>
      <w:r>
        <w:rPr>
          <w:rFonts w:ascii="Arial" w:cs="Arial" w:eastAsia="Arial" w:hAnsi="Arial"/>
          <w:sz w:val="17"/>
          <w:szCs w:val="17"/>
          <w:b w:val="1"/>
          <w:bCs w:val="1"/>
          <w:color w:val="auto"/>
        </w:rPr>
        <w:t>CASH AND CASH EQUIVALENTS – BEGINNING OF PERIOD CASH AND CASH EQUIVALENTS – END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 of stock warrants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 issued for debt</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 issued in acquisition of CareSpeak</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 of ASC 606 revenue recognition</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216"/>
        </w:trPr>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For the</w:t>
            </w:r>
          </w:p>
        </w:tc>
      </w:tr>
      <w:tr>
        <w:trPr>
          <w:trHeight w:val="216"/>
        </w:trPr>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year ended</w:t>
            </w:r>
          </w:p>
        </w:tc>
      </w:t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December 31,</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December 31,</w:t>
            </w:r>
          </w:p>
        </w:tc>
      </w:t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r>
    </w:tbl>
    <w:p>
      <w:pPr>
        <w:spacing w:after="0" w:line="202" w:lineRule="exact"/>
        <w:rPr>
          <w:sz w:val="20"/>
          <w:szCs w:val="20"/>
          <w:color w:val="auto"/>
        </w:rPr>
      </w:pPr>
    </w:p>
    <w:p>
      <w:pPr>
        <w:ind w:left="567" w:hanging="567"/>
        <w:spacing w:after="0"/>
        <w:tabs>
          <w:tab w:leader="none" w:pos="5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226,344   $   (2,104,029)</w:t>
      </w:r>
    </w:p>
    <w:p>
      <w:pPr>
        <w:spacing w:after="0" w:line="225" w:lineRule="exact"/>
        <w:rPr>
          <w:rFonts w:ascii="Arial" w:cs="Arial" w:eastAsia="Arial" w:hAnsi="Arial"/>
          <w:sz w:val="18"/>
          <w:szCs w:val="18"/>
          <w:color w:val="auto"/>
        </w:rPr>
      </w:pPr>
    </w:p>
    <w:p>
      <w:pPr>
        <w:ind w:left="567"/>
        <w:spacing w:after="0"/>
        <w:rPr>
          <w:rFonts w:ascii="Arial" w:cs="Arial" w:eastAsia="Arial" w:hAnsi="Arial"/>
          <w:sz w:val="18"/>
          <w:szCs w:val="18"/>
          <w:color w:val="auto"/>
        </w:rPr>
      </w:pPr>
      <w:r>
        <w:rPr>
          <w:rFonts w:ascii="Arial" w:cs="Arial" w:eastAsia="Arial" w:hAnsi="Arial"/>
          <w:sz w:val="18"/>
          <w:szCs w:val="18"/>
          <w:color w:val="auto"/>
        </w:rPr>
        <w:t>316,502</w:t>
      </w:r>
      <w:r>
        <w:rPr>
          <w:rFonts w:ascii="Arial" w:cs="Arial" w:eastAsia="Arial" w:hAnsi="Arial"/>
          <w:sz w:val="16"/>
          <w:szCs w:val="16"/>
          <w:color w:val="auto"/>
        </w:rPr>
        <w:t>324,551</w:t>
      </w:r>
    </w:p>
    <w:p>
      <w:pPr>
        <w:spacing w:after="0" w:line="23" w:lineRule="exact"/>
        <w:rPr>
          <w:sz w:val="20"/>
          <w:szCs w:val="20"/>
          <w:color w:val="auto"/>
        </w:rPr>
      </w:pPr>
    </w:p>
    <w:p>
      <w:pPr>
        <w:ind w:left="747"/>
        <w:spacing w:after="0"/>
        <w:tabs>
          <w:tab w:leader="none" w:pos="1986" w:val="left"/>
        </w:tabs>
        <w:rPr>
          <w:sz w:val="20"/>
          <w:szCs w:val="20"/>
          <w:color w:val="auto"/>
        </w:rPr>
      </w:pPr>
      <w:r>
        <w:rPr>
          <w:rFonts w:ascii="Arial" w:cs="Arial" w:eastAsia="Arial" w:hAnsi="Arial"/>
          <w:sz w:val="18"/>
          <w:szCs w:val="18"/>
          <w:color w:val="auto"/>
        </w:rPr>
        <w:t>2,401</w:t>
      </w:r>
      <w:r>
        <w:rPr>
          <w:sz w:val="20"/>
          <w:szCs w:val="20"/>
          <w:color w:val="auto"/>
        </w:rPr>
        <w:tab/>
      </w:r>
      <w:r>
        <w:rPr>
          <w:rFonts w:ascii="Arial" w:cs="Arial" w:eastAsia="Arial" w:hAnsi="Arial"/>
          <w:sz w:val="18"/>
          <w:szCs w:val="18"/>
          <w:color w:val="auto"/>
        </w:rPr>
        <w:t>65,738</w:t>
      </w:r>
    </w:p>
    <w:p>
      <w:pPr>
        <w:spacing w:after="0" w:line="9"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color w:val="auto"/>
        </w:rPr>
        <w:t>656,934</w:t>
      </w:r>
      <w:r>
        <w:rPr>
          <w:sz w:val="20"/>
          <w:szCs w:val="20"/>
          <w:color w:val="auto"/>
        </w:rPr>
        <w:tab/>
      </w:r>
      <w:r>
        <w:rPr>
          <w:rFonts w:ascii="Arial" w:cs="Arial" w:eastAsia="Arial" w:hAnsi="Arial"/>
          <w:sz w:val="18"/>
          <w:szCs w:val="18"/>
          <w:color w:val="auto"/>
        </w:rPr>
        <w:t>815,014</w:t>
      </w:r>
    </w:p>
    <w:p>
      <w:pPr>
        <w:spacing w:after="0" w:line="9" w:lineRule="exact"/>
        <w:rPr>
          <w:sz w:val="20"/>
          <w:szCs w:val="20"/>
          <w:color w:val="auto"/>
        </w:rPr>
      </w:pPr>
    </w:p>
    <w:p>
      <w:pPr>
        <w:ind w:left="427"/>
        <w:spacing w:after="0"/>
        <w:tabs>
          <w:tab w:leader="none" w:pos="1986" w:val="left"/>
        </w:tabs>
        <w:rPr>
          <w:sz w:val="20"/>
          <w:szCs w:val="20"/>
          <w:color w:val="auto"/>
        </w:rPr>
      </w:pPr>
      <w:r>
        <w:rPr>
          <w:rFonts w:ascii="Arial" w:cs="Arial" w:eastAsia="Arial" w:hAnsi="Arial"/>
          <w:sz w:val="18"/>
          <w:szCs w:val="18"/>
          <w:color w:val="auto"/>
        </w:rPr>
        <w:t>1,863,911</w:t>
      </w:r>
      <w:r>
        <w:rPr>
          <w:sz w:val="20"/>
          <w:szCs w:val="20"/>
          <w:color w:val="auto"/>
        </w:rPr>
        <w:tab/>
      </w:r>
      <w:r>
        <w:rPr>
          <w:rFonts w:ascii="Arial" w:cs="Arial" w:eastAsia="Arial" w:hAnsi="Arial"/>
          <w:sz w:val="18"/>
          <w:szCs w:val="18"/>
          <w:color w:val="auto"/>
        </w:rPr>
        <w:t>87,375</w:t>
      </w:r>
    </w:p>
    <w:p>
      <w:pPr>
        <w:spacing w:after="0" w:line="211" w:lineRule="exact"/>
        <w:rPr>
          <w:sz w:val="20"/>
          <w:szCs w:val="20"/>
          <w:color w:val="auto"/>
        </w:rPr>
      </w:pPr>
    </w:p>
    <w:tbl>
      <w:tblPr>
        <w:tblLayout w:type="fixed"/>
        <w:tblInd w:w="7" w:type="dxa"/>
        <w:tblCellMar>
          <w:top w:w="0" w:type="dxa"/>
          <w:left w:w="0" w:type="dxa"/>
          <w:bottom w:w="0" w:type="dxa"/>
          <w:right w:w="0" w:type="dxa"/>
        </w:tblCellMar>
      </w:tblPr>
      <w:tr>
        <w:trPr>
          <w:trHeight w:val="216"/>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(2,789,252)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(370,494)</w:t>
            </w: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(319,754)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(174,608)</w:t>
            </w: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(83,319)</w:t>
            </w:r>
          </w:p>
        </w:tc>
        <w:tc>
          <w:tcPr>
            <w:tcW w:w="1140" w:type="dxa"/>
            <w:vAlign w:val="bottom"/>
          </w:tcPr>
          <w:p>
            <w:pPr>
              <w:jc w:val="right"/>
              <w:spacing w:after="0"/>
              <w:rPr>
                <w:sz w:val="20"/>
                <w:szCs w:val="20"/>
                <w:color w:val="auto"/>
              </w:rPr>
            </w:pPr>
            <w:r>
              <w:rPr>
                <w:rFonts w:ascii="Arial" w:cs="Arial" w:eastAsia="Arial" w:hAnsi="Arial"/>
                <w:sz w:val="18"/>
                <w:szCs w:val="18"/>
                <w:color w:val="auto"/>
              </w:rPr>
              <w:t>88,075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730,810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(997,711)</w:t>
            </w: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226,535</w:t>
            </w:r>
          </w:p>
        </w:tc>
        <w:tc>
          <w:tcPr>
            <w:tcW w:w="1140" w:type="dxa"/>
            <w:vAlign w:val="bottom"/>
          </w:tcPr>
          <w:p>
            <w:pPr>
              <w:jc w:val="right"/>
              <w:spacing w:after="0"/>
              <w:rPr>
                <w:sz w:val="20"/>
                <w:szCs w:val="20"/>
                <w:color w:val="auto"/>
              </w:rPr>
            </w:pPr>
            <w:r>
              <w:rPr>
                <w:rFonts w:ascii="Arial" w:cs="Arial" w:eastAsia="Arial" w:hAnsi="Arial"/>
                <w:sz w:val="18"/>
                <w:szCs w:val="18"/>
                <w:color w:val="auto"/>
              </w:rPr>
              <w:t>665,679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(38,557)</w:t>
            </w:r>
          </w:p>
        </w:tc>
        <w:tc>
          <w:tcPr>
            <w:tcW w:w="1140" w:type="dxa"/>
            <w:vAlign w:val="bottom"/>
          </w:tcPr>
          <w:p>
            <w:pPr>
              <w:jc w:val="right"/>
              <w:spacing w:after="0"/>
              <w:rPr>
                <w:sz w:val="20"/>
                <w:szCs w:val="20"/>
                <w:color w:val="auto"/>
              </w:rPr>
            </w:pPr>
            <w:r>
              <w:rPr>
                <w:rFonts w:ascii="Arial" w:cs="Arial" w:eastAsia="Arial" w:hAnsi="Arial"/>
                <w:sz w:val="18"/>
                <w:szCs w:val="18"/>
                <w:color w:val="auto"/>
              </w:rPr>
              <w:t>120,579</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792,555</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(1,479,831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(34,362)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(42,243)</w:t>
            </w:r>
          </w:p>
        </w:tc>
        <w:tc>
          <w:tcPr>
            <w:tcW w:w="0" w:type="dxa"/>
            <w:vAlign w:val="bottom"/>
          </w:tcPr>
          <w:p>
            <w:pPr>
              <w:spacing w:after="0"/>
              <w:rPr>
                <w:sz w:val="1"/>
                <w:szCs w:val="1"/>
                <w:color w:val="auto"/>
              </w:rPr>
            </w:pPr>
          </w:p>
        </w:tc>
      </w:tr>
      <w:tr>
        <w:trPr>
          <w:trHeight w:val="216"/>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(56,651)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(5,595,820)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(5,686,833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(42,243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8"/>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8,164,475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521,264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47" w:hanging="759"/>
        <w:spacing w:after="0"/>
        <w:tabs>
          <w:tab w:leader="none" w:pos="18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(390,000)</w:t>
      </w:r>
    </w:p>
    <w:p>
      <w:pPr>
        <w:spacing w:after="0" w:line="45" w:lineRule="exact"/>
        <w:rPr>
          <w:rFonts w:ascii="Arial" w:cs="Arial" w:eastAsia="Arial" w:hAnsi="Arial"/>
          <w:sz w:val="16"/>
          <w:szCs w:val="16"/>
          <w:color w:val="auto"/>
        </w:rPr>
      </w:pPr>
    </w:p>
    <w:p>
      <w:pPr>
        <w:ind w:left="427"/>
        <w:spacing w:after="0"/>
        <w:rPr>
          <w:rFonts w:ascii="Arial" w:cs="Arial" w:eastAsia="Arial" w:hAnsi="Arial"/>
          <w:sz w:val="16"/>
          <w:szCs w:val="16"/>
          <w:color w:val="auto"/>
        </w:rPr>
      </w:pPr>
      <w:r>
        <w:rPr>
          <w:rFonts w:ascii="Arial" w:cs="Arial" w:eastAsia="Arial" w:hAnsi="Arial"/>
          <w:sz w:val="18"/>
          <w:szCs w:val="18"/>
          <w:color w:val="auto"/>
        </w:rPr>
        <w:t>8,685,739</w:t>
      </w:r>
      <w:r>
        <w:rPr>
          <w:rFonts w:ascii="Arial" w:cs="Arial" w:eastAsia="Arial" w:hAnsi="Arial"/>
          <w:sz w:val="16"/>
          <w:szCs w:val="16"/>
          <w:color w:val="auto"/>
        </w:rPr>
        <w:t>(390,000)</w:t>
      </w:r>
    </w:p>
    <w:p>
      <w:pPr>
        <w:spacing w:after="0" w:line="48" w:lineRule="exact"/>
        <w:rPr>
          <w:rFonts w:ascii="Arial" w:cs="Arial" w:eastAsia="Arial" w:hAnsi="Arial"/>
          <w:sz w:val="16"/>
          <w:szCs w:val="16"/>
          <w:color w:val="auto"/>
        </w:rPr>
      </w:pPr>
    </w:p>
    <w:p>
      <w:pPr>
        <w:ind w:left="427"/>
        <w:spacing w:after="0"/>
        <w:rPr>
          <w:rFonts w:ascii="Arial" w:cs="Arial" w:eastAsia="Arial" w:hAnsi="Arial"/>
          <w:sz w:val="16"/>
          <w:szCs w:val="16"/>
          <w:color w:val="auto"/>
        </w:rPr>
      </w:pPr>
      <w:r>
        <w:rPr>
          <w:rFonts w:ascii="Arial" w:cs="Arial" w:eastAsia="Arial" w:hAnsi="Arial"/>
          <w:sz w:val="18"/>
          <w:szCs w:val="18"/>
          <w:color w:val="auto"/>
        </w:rPr>
        <w:t>3,791,461</w:t>
      </w:r>
      <w:r>
        <w:rPr>
          <w:rFonts w:ascii="Arial" w:cs="Arial" w:eastAsia="Arial" w:hAnsi="Arial"/>
          <w:sz w:val="16"/>
          <w:szCs w:val="16"/>
          <w:color w:val="auto"/>
        </w:rPr>
        <w:t>(1,912,074)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15862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wp:posOffset>
            </wp:positionV>
            <wp:extent cx="15862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 w:lineRule="exact"/>
        <w:rPr>
          <w:sz w:val="20"/>
          <w:szCs w:val="20"/>
          <w:color w:val="auto"/>
        </w:rPr>
      </w:pPr>
    </w:p>
    <w:p>
      <w:pPr>
        <w:ind w:left="427"/>
        <w:spacing w:after="0"/>
        <w:tabs>
          <w:tab w:leader="none" w:pos="1766" w:val="left"/>
        </w:tabs>
        <w:rPr>
          <w:sz w:val="20"/>
          <w:szCs w:val="20"/>
          <w:color w:val="auto"/>
        </w:rPr>
      </w:pPr>
      <w:r>
        <w:rPr>
          <w:rFonts w:ascii="Arial" w:cs="Arial" w:eastAsia="Arial" w:hAnsi="Arial"/>
          <w:sz w:val="17"/>
          <w:szCs w:val="17"/>
          <w:color w:val="auto"/>
        </w:rPr>
        <w:t>5,122,573</w:t>
      </w:r>
      <w:r>
        <w:rPr>
          <w:sz w:val="20"/>
          <w:szCs w:val="20"/>
          <w:color w:val="auto"/>
        </w:rPr>
        <w:tab/>
      </w:r>
      <w:r>
        <w:rPr>
          <w:rFonts w:ascii="Arial" w:cs="Arial" w:eastAsia="Arial" w:hAnsi="Arial"/>
          <w:sz w:val="17"/>
          <w:szCs w:val="17"/>
          <w:color w:val="auto"/>
        </w:rPr>
        <w:t>7,034,647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5862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54"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8,914,034</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5,122,573</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80"/>
        </w:trPr>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2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1,286,424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2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2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2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142,027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8380" w:space="433"/>
            <w:col w:w="2567"/>
          </w:cols>
          <w:pgMar w:left="240" w:top="904"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NATURE OF BUSINESS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OptimizeRx Corporation is a leading provider of digital health messaging via electronic health records (EHRs), providing a direct channel for pharmaceutical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and provides more than half of the ambulatory patient market with access to these benefits within their workflow at the point-of-care.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 The Company has adopted a December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fiscal year-end.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subsidiaries, OptimizeRx Corporation, a Michigan Corporation, CareSpeak Communications, Inc., a New Jersey Corporation, and CareSpeak Communications D.O.O. a Controlled Foreign Corporation incorporated in Croatia. Together, these companies are referred to as “OptimizeRx” and “the Company”. All material intercompany transactions have been eliminated.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previous year financial statements have been reclassified to match the current year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ind w:firstLine="62"/>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values and carrying values of the Company’s financial assets and liabilities measured on a recurring basis as of December 31, 2018 and 2017 and the valuation techniques used by the Company to determine those fair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Fair Value</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2"/>
              </w:rPr>
              <w:t>Carrying Value</w:t>
            </w:r>
          </w:p>
        </w:tc>
        <w:tc>
          <w:tcPr>
            <w:tcW w:w="20" w:type="dxa"/>
            <w:vAlign w:val="bottom"/>
          </w:tcPr>
          <w:p>
            <w:pPr>
              <w:spacing w:after="0"/>
              <w:rPr>
                <w:sz w:val="20"/>
                <w:szCs w:val="20"/>
                <w:color w:val="auto"/>
              </w:rPr>
            </w:pP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3740" w:type="dxa"/>
            <w:vAlign w:val="bottom"/>
          </w:tcPr>
          <w:p>
            <w:pPr>
              <w:spacing w:after="0"/>
              <w:rPr>
                <w:sz w:val="20"/>
                <w:szCs w:val="20"/>
                <w:color w:val="auto"/>
              </w:rPr>
            </w:pPr>
            <w:r>
              <w:rPr>
                <w:rFonts w:ascii="Arial" w:cs="Arial" w:eastAsia="Arial" w:hAnsi="Arial"/>
                <w:sz w:val="18"/>
                <w:szCs w:val="18"/>
                <w:color w:val="auto"/>
              </w:rPr>
              <w:t>Contingent Purchase Price Payable (1)</w:t>
            </w:r>
          </w:p>
        </w:tc>
        <w:tc>
          <w:tcPr>
            <w:tcW w:w="19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79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2,365,000</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2,365,000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2,365,000</w:t>
            </w:r>
          </w:p>
        </w:tc>
      </w:tr>
      <w:tr>
        <w:trPr>
          <w:trHeight w:val="21"/>
        </w:trPr>
        <w:tc>
          <w:tcPr>
            <w:tcW w:w="3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contingent consideration is based off achieving certain revenue milestones in each of the next two years. The Geometric-Brownian motion analysis was used to generate spot prices for use in an option pricing model. The hypothetical spot prices were simulated using a monte carlo simulation utilizing 2018 revenue as a base and revenue volatility of 37%. The risk-free rate of return and terms utilized were 2.89% and 1.46-2.46, respectively and expected volatility was 35%.</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summary of changes in fair value of the Company’s Level 3 financial instruments for the years ended December 31, 2018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Amount</w:t>
            </w:r>
          </w:p>
        </w:tc>
      </w:tr>
      <w:tr>
        <w:trPr>
          <w:trHeight w:val="202"/>
        </w:trPr>
        <w:tc>
          <w:tcPr>
            <w:tcW w:w="10180" w:type="dxa"/>
            <w:vAlign w:val="bottom"/>
          </w:tcPr>
          <w:p>
            <w:pPr>
              <w:spacing w:after="0" w:line="201" w:lineRule="exact"/>
              <w:rPr>
                <w:sz w:val="20"/>
                <w:szCs w:val="20"/>
                <w:color w:val="auto"/>
              </w:rPr>
            </w:pPr>
            <w:r>
              <w:rPr>
                <w:rFonts w:ascii="Arial" w:cs="Arial" w:eastAsia="Arial" w:hAnsi="Arial"/>
                <w:sz w:val="18"/>
                <w:szCs w:val="18"/>
                <w:color w:val="auto"/>
              </w:rPr>
              <w:t>Balance December 31, 2017</w:t>
            </w: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51"/>
        </w:trPr>
        <w:tc>
          <w:tcPr>
            <w:tcW w:w="10180" w:type="dxa"/>
            <w:vAlign w:val="bottom"/>
          </w:tcPr>
          <w:p>
            <w:pPr>
              <w:ind w:left="160"/>
              <w:spacing w:after="0"/>
              <w:rPr>
                <w:sz w:val="20"/>
                <w:szCs w:val="20"/>
                <w:color w:val="auto"/>
              </w:rPr>
            </w:pPr>
            <w:r>
              <w:rPr>
                <w:rFonts w:ascii="Arial" w:cs="Arial" w:eastAsia="Arial" w:hAnsi="Arial"/>
                <w:sz w:val="18"/>
                <w:szCs w:val="18"/>
                <w:color w:val="auto"/>
              </w:rPr>
              <w:t>Contingent consideration liability recorded as the result of the CareSpeak Communications acquisition (see note 3)</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2,365,000</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Balance December 31, 2018</w:t>
            </w:r>
          </w:p>
        </w:tc>
        <w:tc>
          <w:tcPr>
            <w:tcW w:w="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2,365,000</w:t>
            </w: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2018 and 2017. The allowance for doubtful accounts was $0 as of both December 31, 2018 and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Intangible assets are stated at cost. Finite-lived assets are being amortized over their estimated useful lives of fifteen to seventeen years for patents, eight years for customer relationships, four years for covenants not to compete, and three to four years for software and websites, all using the straight-line method. These assets, as well as our indefinite-lived asset, are evaluated annually in our fiscal fourth quarter for impairment.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evaluate goodwill for impairment during our fiscal fourth quarter, or more frequently if an event occurs or circumstances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Recognition of revenue requires evidence of a contact, probable collection of proceeds, and completion of substantially all performance obligations. We use a 5-step model to recognize revenue. These steps are: identify the performance obligations in the contract, determine the transaction price, allocate the transaction price to the performance obligations in the contract, and recognize revenue when or as the performance obligations are satisfied.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Unless otherwise specified, revenue is recognized based on the gross selling price to customers.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contracts are generally all less than one year and the primary performance obligation is delivery of the message, but the contract may contain additional performance obligations. Additional performance obligations may include program design and set up, and reporting.</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messaging is distributed through the platform and network of channel partners (a transaction), these transactions are recorded, and revenue is recognized, at the time of distribution. Revenue for transactions can be realized based on a price per message, a price per redemption, or as a flat fee occurring over a period of time,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 at the time of delivery.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some instances, the Company also resells products and or services that are available through channel partners on a commission basis, and that are complementary to the core business and client base. In these instances, net revenue is recognized based on the commission based revenue split that the Company receives. In instances where the Company resells services and have all financial risk and significant operation input and risk, the Company records the revenue gross.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Share Expenses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the volume of transactions that are delivered through the channel partner network, the Company provides a revenue share to compensate the partner for their promotion of the campaign. Revenue shares are a negotiated percentage of the transaction fees and can also be specific to special considerations and campaigns. In addition, the Company pays revenue share to ConnectiveRx (formerly LDM/PDR) as a result of a 2014 legal settlement in an amount equal to the greater of 10% of financial messaging distribution revenues generated through its integrated network, or $0.37 per financial message distributed through its integrated network. The contractual amount due to the channel partners is recorded as an expense at the time the eCoupon is distributed.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2018, the Company had $8,414,034 in cash balances in excess of federally insured limits, primarily at Bank of America/Merrill Lynch.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0"/>
                <w:szCs w:val="20"/>
                <w:color w:val="auto"/>
              </w:rPr>
            </w:pPr>
          </w:p>
        </w:tc>
      </w:tr>
      <w:tr>
        <w:trPr>
          <w:trHeight w:val="418"/>
        </w:trPr>
        <w:tc>
          <w:tcPr>
            <w:tcW w:w="8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1.96% - 2.84%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1.47% - 1.81%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Expected option term</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3.5 - 5 years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3.5 - 5 years</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64% - 66%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 - 78%</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options and warrants that were excluded from the diluted loss per common share calculation in 2017 was approximately 489,201, because they are anti-dilutive, as a result of a net loss for the year ended December 31, 2017.</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weighted average shares outstanding and the basic and diluted earnings per common share for the year ended December 31, 2018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w w:val="91"/>
              </w:rPr>
              <w:t>Per Share</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Year ended December 31, 2018:</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44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226,344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10,832,209</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7440" w:type="dxa"/>
            <w:vAlign w:val="bottom"/>
            <w:vMerge w:val="restart"/>
          </w:tcPr>
          <w:p>
            <w:pPr>
              <w:ind w:left="180"/>
              <w:spacing w:after="0"/>
              <w:rPr>
                <w:sz w:val="20"/>
                <w:szCs w:val="20"/>
                <w:color w:val="auto"/>
              </w:rPr>
            </w:pPr>
            <w:r>
              <w:rPr>
                <w:rFonts w:ascii="Arial" w:cs="Arial" w:eastAsia="Arial" w:hAnsi="Arial"/>
                <w:sz w:val="18"/>
                <w:szCs w:val="18"/>
                <w:color w:val="auto"/>
              </w:rPr>
              <w:t>Effect of dilutive stock options and warrants</w:t>
            </w: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1,030,782</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74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7440" w:type="dxa"/>
            <w:vAlign w:val="bottom"/>
          </w:tcPr>
          <w:p>
            <w:pPr>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226,344</w:t>
            </w:r>
          </w:p>
        </w:tc>
        <w:tc>
          <w:tcPr>
            <w:tcW w:w="1140" w:type="dxa"/>
            <w:vAlign w:val="bottom"/>
          </w:tcPr>
          <w:p>
            <w:pPr>
              <w:jc w:val="right"/>
              <w:spacing w:after="0"/>
              <w:rPr>
                <w:sz w:val="20"/>
                <w:szCs w:val="20"/>
                <w:color w:val="auto"/>
              </w:rPr>
            </w:pPr>
            <w:r>
              <w:rPr>
                <w:rFonts w:ascii="Arial" w:cs="Arial" w:eastAsia="Arial" w:hAnsi="Arial"/>
                <w:sz w:val="18"/>
                <w:szCs w:val="18"/>
                <w:color w:val="auto"/>
              </w:rPr>
              <w:t>11,862,911</w:t>
            </w:r>
          </w:p>
        </w:tc>
        <w:tc>
          <w:tcPr>
            <w:tcW w:w="22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January 1, 2018, we adopted the new accounting standard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all of the related amendments (“new revenue standard”). We recorded the change, which was immaterial, related to adopting the new revenue standard using the modified retrospective method. Under this method, we recognized the cumulative effect of initially applying the new revenue standard as an adjustment to the opening balance of retained earnings. This results in no restatement of prior periods, which continue to be reported under the accounting standards in effect for those periods. We expect the impact of the adoption of the new revenue standard to continue to be immaterial on an ongoing basis.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applied the new revenue standard to all contracts as of the date of initial application. The overwhelming majority of our revenue continues to be recognized when transactions occur, such as the delivery of a message. We previously recognized revenue related to set-ups when a program launched, and all related activities had been accomplished. Under the new revenue standard, we are recognizing revenue related to these set ups over the term of the initial contract. Since set up fees are generally small relative to the size of the overall contract and because most contracts are for a year or less, the impact of this change is immaterial.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recording this change as of January 1, 2018 resulted in an increase in deferred revenue of $142,027 at that date and a corresponding decrease in retained earnings as well. The impact of adopting the new revenue standard in 2018 resulted in lower revenues of $59,387 than would have been reported under the previous method.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2016, the FASB issued ASC 2016-16 amending the accounting for income taxes, primarily related to intercompany transfers of inventory. We adopted this in 2018 and it had no impact on our financial statements or disclosures.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3 – ACQUISITION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2018, we acquired CareSpeak Communications, Inc., a New Jersey corporation and technology solutions company, which provides digital messaging services to the healthcare industry to expand our service offerings. Through its cloud based Mobile Health Messenger (“MHM”) Platform, CareSpeak provides interactive health messaging for improved medication adherence, care coordination, and patient engagement. The total purchase price was $8,493,451. Acquisition costs of approximately $607,670 were expensed as incurred.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purchase price contains a contingent element that will be paid only if the Company achieves certain patient engagement revenues in 2019 and 2020. The total contingent payment may be up to $3.0 million. The calculated fair value of the contingent payment is $2,365,000 at December 31, 2018.</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began consolidating the results of CareSpeak operations and cashflows into our consolidated financial statements after October 17, 2018, the date of acquisition. The unaudited Pro forma results of operations as if the acquisition occurred January 1, 2017 are presented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As Reported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1"/>
              </w:rPr>
              <w:t>Pro Forma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As Reported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w w:val="91"/>
              </w:rPr>
              <w:t>Pro Forma</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Net Sales</w:t>
            </w:r>
          </w:p>
        </w:tc>
        <w:tc>
          <w:tcPr>
            <w:tcW w:w="20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21,206,363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22,152,995</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12,127,422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12,927,881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(loss)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226,344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690,492</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(2,104,029)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(2,513,029)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080" w:type="dxa"/>
            <w:vAlign w:val="bottom"/>
          </w:tcPr>
          <w:p>
            <w:pPr>
              <w:ind w:left="180"/>
              <w:spacing w:after="0"/>
              <w:rPr>
                <w:sz w:val="20"/>
                <w:szCs w:val="20"/>
                <w:color w:val="auto"/>
              </w:rPr>
            </w:pPr>
            <w:r>
              <w:rPr>
                <w:rFonts w:ascii="Arial" w:cs="Arial" w:eastAsia="Arial" w:hAnsi="Arial"/>
                <w:sz w:val="18"/>
                <w:szCs w:val="18"/>
                <w:color w:val="auto"/>
              </w:rPr>
              <w:t>Basic</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(0.21</w:t>
            </w:r>
            <w:r>
              <w:rPr>
                <w:rFonts w:ascii="Arial" w:cs="Arial" w:eastAsia="Arial" w:hAnsi="Arial"/>
                <w:sz w:val="31"/>
                <w:szCs w:val="31"/>
                <w:color w:val="auto"/>
                <w:vertAlign w:val="superscript"/>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(0.26</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40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gridSpan w:val="2"/>
          </w:tcPr>
          <w:p>
            <w:pPr>
              <w:spacing w:after="0" w:line="20" w:lineRule="exact"/>
              <w:rPr>
                <w:sz w:val="1"/>
                <w:szCs w:val="1"/>
                <w:color w:val="auto"/>
              </w:rPr>
            </w:pPr>
          </w:p>
        </w:tc>
        <w:tc>
          <w:tcPr>
            <w:tcW w:w="1020" w:type="dxa"/>
            <w:vAlign w:val="bottom"/>
            <w:tcBorders>
              <w:top w:val="single" w:sz="8" w:color="auto"/>
            </w:tcBorders>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10180" w:type="dxa"/>
            <w:vAlign w:val="bottom"/>
          </w:tcPr>
          <w:p>
            <w:pPr>
              <w:jc w:val="center"/>
              <w:ind w:left="1150"/>
              <w:spacing w:after="0"/>
              <w:rPr>
                <w:sz w:val="20"/>
                <w:szCs w:val="20"/>
                <w:color w:val="auto"/>
              </w:rPr>
            </w:pPr>
            <w:r>
              <w:rPr>
                <w:rFonts w:ascii="Arial" w:cs="Arial" w:eastAsia="Arial" w:hAnsi="Arial"/>
                <w:sz w:val="18"/>
                <w:szCs w:val="18"/>
                <w:b w:val="1"/>
                <w:bCs w:val="1"/>
                <w:color w:val="auto"/>
              </w:rPr>
              <w:t>OPTIMIZERx CORPORATION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jc w:val="center"/>
              <w:ind w:left="115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180" w:type="dxa"/>
            <w:vAlign w:val="bottom"/>
          </w:tcPr>
          <w:p>
            <w:pPr>
              <w:jc w:val="center"/>
              <w:ind w:left="1170"/>
              <w:spacing w:after="0"/>
              <w:rPr>
                <w:sz w:val="20"/>
                <w:szCs w:val="20"/>
                <w:color w:val="auto"/>
              </w:rPr>
            </w:pPr>
            <w:r>
              <w:rPr>
                <w:rFonts w:ascii="Arial" w:cs="Arial" w:eastAsia="Arial" w:hAnsi="Arial"/>
                <w:sz w:val="18"/>
                <w:szCs w:val="18"/>
                <w:b w:val="1"/>
                <w:bCs w:val="1"/>
                <w:color w:val="auto"/>
                <w:w w:val="96"/>
              </w:rPr>
              <w:t>DECEMBER 31,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NOTE 3 – ACQUISITION (CONTINUED)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80" w:type="dxa"/>
            <w:vAlign w:val="bottom"/>
          </w:tcPr>
          <w:p>
            <w:pPr>
              <w:spacing w:after="0"/>
              <w:rPr>
                <w:sz w:val="20"/>
                <w:szCs w:val="20"/>
                <w:color w:val="auto"/>
              </w:rPr>
            </w:pPr>
            <w:r>
              <w:rPr>
                <w:rFonts w:ascii="Arial" w:cs="Arial" w:eastAsia="Arial" w:hAnsi="Arial"/>
                <w:sz w:val="18"/>
                <w:szCs w:val="18"/>
                <w:color w:val="auto"/>
              </w:rPr>
              <w:t>The purchase price of the acquisition was allocated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18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5,628,451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Common stock issued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180" w:type="dxa"/>
            <w:vAlign w:val="bottom"/>
          </w:tcPr>
          <w:p>
            <w:pPr>
              <w:ind w:left="180"/>
              <w:spacing w:after="0"/>
              <w:rPr>
                <w:sz w:val="20"/>
                <w:szCs w:val="20"/>
                <w:color w:val="auto"/>
              </w:rPr>
            </w:pPr>
            <w:r>
              <w:rPr>
                <w:rFonts w:ascii="Arial" w:cs="Arial" w:eastAsia="Arial" w:hAnsi="Arial"/>
                <w:sz w:val="18"/>
                <w:szCs w:val="18"/>
                <w:color w:val="auto"/>
              </w:rPr>
              <w:t>Contingent payment</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180" w:type="dxa"/>
            <w:vAlign w:val="bottom"/>
          </w:tcPr>
          <w:p>
            <w:pPr>
              <w:ind w:left="400"/>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8,493,451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180" w:type="dxa"/>
            <w:vAlign w:val="bottom"/>
            <w:vMerge w:val="restart"/>
          </w:tcPr>
          <w:p>
            <w:pPr>
              <w:spacing w:after="0"/>
              <w:rPr>
                <w:sz w:val="20"/>
                <w:szCs w:val="20"/>
                <w:color w:val="auto"/>
              </w:rPr>
            </w:pPr>
            <w:r>
              <w:rPr>
                <w:rFonts w:ascii="Arial" w:cs="Arial" w:eastAsia="Arial" w:hAnsi="Arial"/>
                <w:sz w:val="18"/>
                <w:szCs w:val="18"/>
                <w:color w:val="auto"/>
              </w:rPr>
              <w:t>Allocation</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10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254,263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360"/>
              <w:spacing w:after="0"/>
              <w:rPr>
                <w:sz w:val="20"/>
                <w:szCs w:val="20"/>
                <w:color w:val="auto"/>
              </w:rPr>
            </w:pPr>
            <w:r>
              <w:rPr>
                <w:rFonts w:ascii="Arial" w:cs="Arial" w:eastAsia="Arial" w:hAnsi="Arial"/>
                <w:sz w:val="18"/>
                <w:szCs w:val="18"/>
                <w:color w:val="auto"/>
              </w:rPr>
              <w:t>Goodwill, including assembled workforce in place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360"/>
              <w:spacing w:after="0"/>
              <w:rPr>
                <w:sz w:val="20"/>
                <w:szCs w:val="20"/>
                <w:color w:val="auto"/>
              </w:rPr>
            </w:pPr>
            <w:r>
              <w:rPr>
                <w:rFonts w:ascii="Arial" w:cs="Arial" w:eastAsia="Arial" w:hAnsi="Arial"/>
                <w:sz w:val="18"/>
                <w:szCs w:val="18"/>
                <w:color w:val="auto"/>
              </w:rPr>
              <w:t>Patent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36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8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180" w:type="dxa"/>
            <w:vAlign w:val="bottom"/>
          </w:tcPr>
          <w:p>
            <w:pPr>
              <w:ind w:left="180"/>
              <w:spacing w:after="0"/>
              <w:rPr>
                <w:sz w:val="20"/>
                <w:szCs w:val="20"/>
                <w:color w:val="auto"/>
              </w:rPr>
            </w:pPr>
            <w:r>
              <w:rPr>
                <w:rFonts w:ascii="Arial" w:cs="Arial" w:eastAsia="Arial" w:hAnsi="Arial"/>
                <w:sz w:val="18"/>
                <w:szCs w:val="18"/>
                <w:color w:val="auto"/>
              </w:rPr>
              <w:t>Current liabilities assumed</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(125,812)</w:t>
            </w:r>
          </w:p>
        </w:tc>
        <w:tc>
          <w:tcPr>
            <w:tcW w:w="0" w:type="dxa"/>
            <w:vAlign w:val="bottom"/>
          </w:tcPr>
          <w:p>
            <w:pPr>
              <w:spacing w:after="0"/>
              <w:rPr>
                <w:sz w:val="1"/>
                <w:szCs w:val="1"/>
                <w:color w:val="auto"/>
              </w:rPr>
            </w:pPr>
          </w:p>
        </w:tc>
      </w:tr>
      <w:tr>
        <w:trPr>
          <w:trHeight w:val="250"/>
        </w:trPr>
        <w:tc>
          <w:tcPr>
            <w:tcW w:w="10180" w:type="dxa"/>
            <w:vAlign w:val="bottom"/>
          </w:tcPr>
          <w:p>
            <w:pPr>
              <w:ind w:left="540"/>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8,493,451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described in greater detail in Note 6, the amortizable intangible assets acquired have estimated useful lives ranging from 4 to 15 years. We determined the estimated fair value of the identifiable intangible assets acquired primarily by using the income approach.</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4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consisted of the following as of December 31, 2018 and 2017:</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EHR access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prepaid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43,284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43,764</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8,539</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533,125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203,125</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12,746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r>
      <w:tr>
        <w:trPr>
          <w:trHeight w:val="250"/>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590,744</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255,428</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5 – PROPERTY AND EQUIPMENT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2018 and 2017: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94,384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83,079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159,648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158,502</w:t>
            </w:r>
          </w:p>
        </w:tc>
        <w:tc>
          <w:tcPr>
            <w:tcW w:w="0" w:type="dxa"/>
            <w:vAlign w:val="bottom"/>
          </w:tcPr>
          <w:p>
            <w:pPr>
              <w:spacing w:after="0"/>
              <w:rPr>
                <w:sz w:val="1"/>
                <w:szCs w:val="1"/>
                <w:color w:val="auto"/>
              </w:rPr>
            </w:pPr>
          </w:p>
        </w:tc>
      </w:tr>
      <w:tr>
        <w:trPr>
          <w:trHeight w:val="202"/>
        </w:trPr>
        <w:tc>
          <w:tcPr>
            <w:tcW w:w="8680" w:type="dxa"/>
            <w:vAlign w:val="bottom"/>
          </w:tcPr>
          <w:p>
            <w:pPr>
              <w:ind w:left="240"/>
              <w:spacing w:after="0" w:line="201"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254,032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241,581</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104,702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74,276</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149,330</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167,305</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$58,423 and $48,587 for the years ended December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INTANBIGLE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is related to the acquisition of CareSpeak Communications in 2018 and is primarily related to expected improvements and technology performance and functionality, as well sales growth from future product and service offerings and new customers, together with certain intangible assets that do not qualify for separate recognition, such as the assembled workforce in place. Goodwill is generally not amortizable for tax purposes and is not amortizable for financial statement purposes.</w:t>
      </w:r>
    </w:p>
    <w:p>
      <w:pPr>
        <w:sectPr>
          <w:pgSz w:w="11900" w:h="16838" w:orient="portrait"/>
          <w:cols w:equalWidth="0" w:num="1">
            <w:col w:w="11420"/>
          </w:cols>
          <w:pgMar w:left="240" w:top="905"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included on the balance sheet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Patent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Web-Based Technology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Patent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Tradename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Non-compete agreements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relationships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Web-based technology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89"/>
              </w:rPr>
              <w:t>December 31, 2017</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280"/>
              <w:spacing w:after="0" w:line="201"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4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1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Net</w:t>
            </w: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3"/>
          </w:tcPr>
          <w:p>
            <w:pPr>
              <w:jc w:val="right"/>
              <w:ind w:right="1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1,102,457</w:t>
            </w:r>
          </w:p>
        </w:tc>
        <w:tc>
          <w:tcPr>
            <w:tcW w:w="20" w:type="dxa"/>
            <w:vAlign w:val="bottom"/>
          </w:tcPr>
          <w:p>
            <w:pPr>
              <w:spacing w:after="0"/>
              <w:rPr>
                <w:sz w:val="21"/>
                <w:szCs w:val="21"/>
                <w:color w:val="auto"/>
              </w:rPr>
            </w:pP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463,691</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638,766</w:t>
            </w: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1,314,632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143,730</w:t>
            </w:r>
          </w:p>
        </w:tc>
      </w:tr>
      <w:tr>
        <w:trPr>
          <w:trHeight w:val="250"/>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1,458,362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1,314,632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143,730</w:t>
            </w: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2,560,819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1,778,323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782,496</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center"/>
              <w:ind w:right="250"/>
              <w:spacing w:after="0"/>
              <w:rPr>
                <w:sz w:val="20"/>
                <w:szCs w:val="20"/>
                <w:color w:val="auto"/>
              </w:rPr>
            </w:pPr>
            <w:r>
              <w:rPr>
                <w:rFonts w:ascii="Arial" w:cs="Arial" w:eastAsia="Arial" w:hAnsi="Arial"/>
                <w:sz w:val="18"/>
                <w:szCs w:val="18"/>
                <w:color w:val="auto"/>
                <w:w w:val="89"/>
              </w:rPr>
              <w:t>December 31, 2018</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Gross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Average Life</w:t>
            </w: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Net</w:t>
            </w:r>
          </w:p>
        </w:tc>
        <w:tc>
          <w:tcPr>
            <w:tcW w:w="1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Remaining</w:t>
            </w:r>
          </w:p>
        </w:tc>
        <w:tc>
          <w:tcPr>
            <w:tcW w:w="20" w:type="dxa"/>
            <w:vAlign w:val="bottom"/>
          </w:tcPr>
          <w:p>
            <w:pPr>
              <w:spacing w:after="0"/>
              <w:rPr>
                <w:sz w:val="20"/>
                <w:szCs w:val="20"/>
                <w:color w:val="auto"/>
              </w:rPr>
            </w:pPr>
          </w:p>
        </w:tc>
      </w:tr>
      <w:tr>
        <w:trPr>
          <w:trHeight w:val="264"/>
        </w:trPr>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3,329,457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562,513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2,766,944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12.7</w:t>
            </w:r>
          </w:p>
        </w:tc>
        <w:tc>
          <w:tcPr>
            <w:tcW w:w="20" w:type="dxa"/>
            <w:vAlign w:val="bottom"/>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418"/>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982,000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982,000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Indefinite</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977,000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50,885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926,115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492,000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12,812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479,188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7.8</w:t>
            </w:r>
          </w:p>
        </w:tc>
        <w:tc>
          <w:tcPr>
            <w:tcW w:w="20" w:type="dxa"/>
            <w:vAlign w:val="bottom"/>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1,515,013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1,410,193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104,820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3,966,013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1,473,890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2,492,123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
        </w:trPr>
        <w:tc>
          <w:tcPr>
            <w:tcW w:w="1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7,295,470</w:t>
            </w:r>
          </w:p>
        </w:tc>
        <w:tc>
          <w:tcPr>
            <w:tcW w:w="4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2,036,403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5,259,067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60" w:space="720"/>
            <w:col w:w="5340"/>
          </w:cols>
          <w:pgMar w:left="240" w:top="905" w:right="23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9340" w:type="dxa"/>
            <w:vAlign w:val="bottom"/>
          </w:tcPr>
          <w:p>
            <w:pPr>
              <w:jc w:val="center"/>
              <w:ind w:left="1990"/>
              <w:spacing w:after="0"/>
              <w:rPr>
                <w:sz w:val="20"/>
                <w:szCs w:val="20"/>
                <w:color w:val="auto"/>
              </w:rPr>
            </w:pPr>
            <w:r>
              <w:rPr>
                <w:rFonts w:ascii="Arial" w:cs="Arial" w:eastAsia="Arial" w:hAnsi="Arial"/>
                <w:sz w:val="18"/>
                <w:szCs w:val="18"/>
                <w:b w:val="1"/>
                <w:bCs w:val="1"/>
                <w:color w:val="auto"/>
              </w:rPr>
              <w:t>OPTIMIZERx CORPORATION</w:t>
            </w:r>
          </w:p>
        </w:tc>
        <w:tc>
          <w:tcPr>
            <w:tcW w:w="1980" w:type="dxa"/>
            <w:vAlign w:val="bottom"/>
          </w:tcPr>
          <w:p>
            <w:pPr>
              <w:spacing w:after="0"/>
              <w:rPr>
                <w:sz w:val="18"/>
                <w:szCs w:val="18"/>
                <w:color w:val="auto"/>
              </w:rPr>
            </w:pPr>
          </w:p>
        </w:tc>
      </w:tr>
      <w:tr>
        <w:trPr>
          <w:trHeight w:val="216"/>
        </w:trPr>
        <w:tc>
          <w:tcPr>
            <w:tcW w:w="9340" w:type="dxa"/>
            <w:vAlign w:val="bottom"/>
          </w:tcPr>
          <w:p>
            <w:pPr>
              <w:jc w:val="center"/>
              <w:ind w:left="199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980" w:type="dxa"/>
            <w:vAlign w:val="bottom"/>
          </w:tcPr>
          <w:p>
            <w:pPr>
              <w:spacing w:after="0"/>
              <w:rPr>
                <w:sz w:val="18"/>
                <w:szCs w:val="18"/>
                <w:color w:val="auto"/>
              </w:rPr>
            </w:pPr>
          </w:p>
        </w:tc>
      </w:tr>
      <w:tr>
        <w:trPr>
          <w:trHeight w:val="234"/>
        </w:trPr>
        <w:tc>
          <w:tcPr>
            <w:tcW w:w="9340" w:type="dxa"/>
            <w:vAlign w:val="bottom"/>
          </w:tcPr>
          <w:p>
            <w:pPr>
              <w:jc w:val="center"/>
              <w:ind w:left="2010"/>
              <w:spacing w:after="0"/>
              <w:rPr>
                <w:sz w:val="20"/>
                <w:szCs w:val="20"/>
                <w:color w:val="auto"/>
              </w:rPr>
            </w:pPr>
            <w:r>
              <w:rPr>
                <w:rFonts w:ascii="Arial" w:cs="Arial" w:eastAsia="Arial" w:hAnsi="Arial"/>
                <w:sz w:val="18"/>
                <w:szCs w:val="18"/>
                <w:b w:val="1"/>
                <w:bCs w:val="1"/>
                <w:color w:val="auto"/>
                <w:w w:val="96"/>
              </w:rPr>
              <w:t>DECEMBER 31, 2018</w:t>
            </w:r>
          </w:p>
        </w:tc>
        <w:tc>
          <w:tcPr>
            <w:tcW w:w="1980" w:type="dxa"/>
            <w:vAlign w:val="bottom"/>
          </w:tcPr>
          <w:p>
            <w:pPr>
              <w:spacing w:after="0"/>
              <w:rPr>
                <w:sz w:val="20"/>
                <w:szCs w:val="20"/>
                <w:color w:val="auto"/>
              </w:rPr>
            </w:pPr>
          </w:p>
        </w:tc>
      </w:tr>
      <w:tr>
        <w:trPr>
          <w:trHeight w:val="432"/>
        </w:trPr>
        <w:tc>
          <w:tcPr>
            <w:tcW w:w="9340" w:type="dxa"/>
            <w:vAlign w:val="bottom"/>
          </w:tcPr>
          <w:p>
            <w:pPr>
              <w:spacing w:after="0"/>
              <w:rPr>
                <w:sz w:val="20"/>
                <w:szCs w:val="20"/>
                <w:color w:val="auto"/>
              </w:rPr>
            </w:pPr>
            <w:r>
              <w:rPr>
                <w:rFonts w:ascii="Arial" w:cs="Arial" w:eastAsia="Arial" w:hAnsi="Arial"/>
                <w:sz w:val="18"/>
                <w:szCs w:val="18"/>
                <w:color w:val="auto"/>
              </w:rPr>
              <w:t>NOTE 6 – INTANBIGLE ASSETS (CONTINUED)</w:t>
            </w:r>
          </w:p>
        </w:tc>
        <w:tc>
          <w:tcPr>
            <w:tcW w:w="1980" w:type="dxa"/>
            <w:vAlign w:val="bottom"/>
          </w:tcPr>
          <w:p>
            <w:pPr>
              <w:spacing w:after="0"/>
              <w:rPr>
                <w:sz w:val="24"/>
                <w:szCs w:val="24"/>
                <w:color w:val="auto"/>
              </w:rPr>
            </w:pPr>
          </w:p>
        </w:tc>
      </w:tr>
      <w:tr>
        <w:trPr>
          <w:trHeight w:val="432"/>
        </w:trPr>
        <w:tc>
          <w:tcPr>
            <w:tcW w:w="9340" w:type="dxa"/>
            <w:vAlign w:val="bottom"/>
          </w:tcPr>
          <w:p>
            <w:pPr>
              <w:spacing w:after="0"/>
              <w:rPr>
                <w:sz w:val="20"/>
                <w:szCs w:val="20"/>
                <w:color w:val="auto"/>
              </w:rPr>
            </w:pPr>
            <w:r>
              <w:rPr>
                <w:rFonts w:ascii="Arial" w:cs="Arial" w:eastAsia="Arial" w:hAnsi="Arial"/>
                <w:sz w:val="18"/>
                <w:szCs w:val="18"/>
                <w:color w:val="auto"/>
              </w:rPr>
              <w:t>Intangibles are being amortized on a straight-line basis over the following estimated useful lives.</w:t>
            </w:r>
          </w:p>
        </w:tc>
        <w:tc>
          <w:tcPr>
            <w:tcW w:w="1980" w:type="dxa"/>
            <w:vAlign w:val="bottom"/>
          </w:tcPr>
          <w:p>
            <w:pPr>
              <w:spacing w:after="0"/>
              <w:rPr>
                <w:sz w:val="24"/>
                <w:szCs w:val="24"/>
                <w:color w:val="auto"/>
              </w:rPr>
            </w:pPr>
          </w:p>
        </w:tc>
      </w:tr>
      <w:tr>
        <w:trPr>
          <w:trHeight w:val="418"/>
        </w:trPr>
        <w:tc>
          <w:tcPr>
            <w:tcW w:w="9340" w:type="dxa"/>
            <w:vAlign w:val="bottom"/>
          </w:tcPr>
          <w:p>
            <w:pPr>
              <w:spacing w:after="0"/>
              <w:rPr>
                <w:sz w:val="20"/>
                <w:szCs w:val="20"/>
                <w:color w:val="auto"/>
              </w:rPr>
            </w:pPr>
            <w:r>
              <w:rPr>
                <w:rFonts w:ascii="Arial" w:cs="Arial" w:eastAsia="Arial" w:hAnsi="Arial"/>
                <w:sz w:val="18"/>
                <w:szCs w:val="18"/>
                <w:color w:val="auto"/>
              </w:rPr>
              <w:t>Patents</w:t>
            </w:r>
          </w:p>
        </w:tc>
        <w:tc>
          <w:tcPr>
            <w:tcW w:w="1980" w:type="dxa"/>
            <w:vAlign w:val="bottom"/>
          </w:tcPr>
          <w:p>
            <w:pPr>
              <w:jc w:val="right"/>
              <w:spacing w:after="0"/>
              <w:rPr>
                <w:sz w:val="20"/>
                <w:szCs w:val="20"/>
                <w:color w:val="auto"/>
              </w:rPr>
            </w:pPr>
            <w:r>
              <w:rPr>
                <w:rFonts w:ascii="Arial" w:cs="Arial" w:eastAsia="Arial" w:hAnsi="Arial"/>
                <w:sz w:val="18"/>
                <w:szCs w:val="18"/>
                <w:color w:val="auto"/>
              </w:rPr>
              <w:t>15 - 17 years</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4 years</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80" w:type="dxa"/>
            <w:vAlign w:val="bottom"/>
          </w:tcPr>
          <w:p>
            <w:pPr>
              <w:jc w:val="right"/>
              <w:spacing w:after="0"/>
              <w:rPr>
                <w:sz w:val="20"/>
                <w:szCs w:val="20"/>
                <w:color w:val="auto"/>
              </w:rPr>
            </w:pPr>
            <w:r>
              <w:rPr>
                <w:rFonts w:ascii="Arial" w:cs="Arial" w:eastAsia="Arial" w:hAnsi="Arial"/>
                <w:sz w:val="18"/>
                <w:szCs w:val="18"/>
                <w:color w:val="auto"/>
              </w:rPr>
              <w:t>8 years</w:t>
            </w: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Web-based technology</w:t>
            </w:r>
          </w:p>
        </w:tc>
        <w:tc>
          <w:tcPr>
            <w:tcW w:w="1980" w:type="dxa"/>
            <w:vAlign w:val="bottom"/>
          </w:tcPr>
          <w:p>
            <w:pPr>
              <w:jc w:val="right"/>
              <w:spacing w:after="0"/>
              <w:rPr>
                <w:sz w:val="20"/>
                <w:szCs w:val="20"/>
                <w:color w:val="auto"/>
              </w:rPr>
            </w:pPr>
            <w:r>
              <w:rPr>
                <w:rFonts w:ascii="Arial" w:cs="Arial" w:eastAsia="Arial" w:hAnsi="Arial"/>
                <w:sz w:val="18"/>
                <w:szCs w:val="18"/>
                <w:color w:val="auto"/>
              </w:rPr>
              <w:t>3 years</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amortization expense $258,079 and $275,964 in the years ended December 31, 2018 and 2017, respectively. Expected future amortization expenses of the intangibles assets as of December 31, 2018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Year ended December 31,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593,682</w:t>
            </w: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540,991</w:t>
            </w: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536,468</w:t>
            </w: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471,222</w:t>
            </w:r>
          </w:p>
        </w:tc>
      </w:tr>
      <w:tr>
        <w:trPr>
          <w:trHeight w:val="216"/>
        </w:trPr>
        <w:tc>
          <w:tcPr>
            <w:tcW w:w="10180" w:type="dxa"/>
            <w:vAlign w:val="bottom"/>
          </w:tcPr>
          <w:p>
            <w:pPr>
              <w:ind w:left="18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277,857</w:t>
            </w:r>
          </w:p>
        </w:tc>
      </w:tr>
      <w:tr>
        <w:trPr>
          <w:trHeight w:val="251"/>
        </w:trPr>
        <w:tc>
          <w:tcPr>
            <w:tcW w:w="1018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1,856,847</w:t>
            </w:r>
          </w:p>
        </w:tc>
      </w:tr>
      <w:tr>
        <w:trPr>
          <w:trHeight w:val="250"/>
        </w:trPr>
        <w:tc>
          <w:tcPr>
            <w:tcW w:w="10180" w:type="dxa"/>
            <w:vAlign w:val="bottom"/>
          </w:tcPr>
          <w:p>
            <w:pPr>
              <w:ind w:left="340"/>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4,277,067</w:t>
            </w:r>
          </w:p>
        </w:tc>
      </w:tr>
      <w:tr>
        <w:trPr>
          <w:trHeight w:val="21"/>
        </w:trPr>
        <w:tc>
          <w:tcPr>
            <w:tcW w:w="10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$610,625 and $507,160 as of December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$930,000 at the time, and recorded at that cost. That patent remains in Patents on the consolidated balance sheet as of December 31, 2018.</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2015, WPP, plc made a strategic investment in the Company and owned approximately 20% of the outstanding shares of the Company until December 2018, when it sold the shares. As of December 31, 2018, WPP is no longer a related party, however the transactions between WPP and the Company are set forth in the table below. The Company considers the pharmaceutical companies being represented by WPP agencies to be its customers and it received no preferable pricing from WPP agencies as a result of its related party status.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NOTE 8 – RELATED PARTY TRANSACTIONS (CONTINUED)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320" w:type="dxa"/>
            <w:vAlign w:val="bottom"/>
          </w:tcPr>
          <w:p>
            <w:pPr>
              <w:spacing w:after="0"/>
              <w:rPr>
                <w:sz w:val="20"/>
                <w:szCs w:val="20"/>
                <w:color w:val="auto"/>
              </w:rPr>
            </w:pPr>
            <w:r>
              <w:rPr>
                <w:rFonts w:ascii="Arial" w:cs="Arial" w:eastAsia="Arial" w:hAnsi="Arial"/>
                <w:sz w:val="18"/>
                <w:szCs w:val="18"/>
                <w:color w:val="auto"/>
                <w:w w:val="96"/>
              </w:rPr>
              <w:t>The following table sets forth the activity between the Company and WPP for the years ended December 31: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8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Total billings to WPP Agencies</w:t>
            </w:r>
          </w:p>
        </w:tc>
        <w:tc>
          <w:tcPr>
            <w:tcW w:w="5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6,217,735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3,554,168</w:t>
            </w:r>
          </w:p>
        </w:tc>
        <w:tc>
          <w:tcPr>
            <w:tcW w:w="20" w:type="dxa"/>
            <w:vAlign w:val="bottom"/>
          </w:tcPr>
          <w:p>
            <w:pPr>
              <w:spacing w:after="0"/>
              <w:rPr>
                <w:sz w:val="17"/>
                <w:szCs w:val="17"/>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6,527,051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3,696,214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Accounts receivable from WPP Agencies</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2,051,532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1,173,614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33,249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Marketing services purchased from WPP Agencies</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54,762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Revenue share expense recorded to WPP Agencies</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401,596</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447,670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9 – CONTINGENT PURCHASE PRICE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purchase of CareSpeak Communications contains a contingent element that will be paid only if the Company achieves certain patient engagement revenues in 2019 and 2020. The total contingent payment may be up to $3.0 million. The calculated fair value of the contingent payment is $2,365,000 at December 31, 2018. We determined the fair value of the Contingent Purchase Price Payable using a Geometric-Brownian motion analysis of the expected revenue and resulting earnout payment using inputs that include the spot price, a risk free rate of return of return of 2.89%, a term of 2.46 years, and volatility of 35%. Changes in the inputs could result in a different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10 –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10,000,000 shares of preferred stock, $.001 par value per share, authorized as of December 31, 2018. No shares were issued or outstanding in either year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500,000,000 shares of common stock, $.001 par value per share, authorized as of December 31, 2018. There were 12,038,618 and 9,772,694 shares of common stock issued and outstanding at December 31, 2018 and 2017, respectively.</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Effective May 14, 2018, in connection with our listing on the Nasdaq Capital Market, we implemented a reverse split of our common stock by exchanging each three shares of our common stock for one share. Our financial statements and all equity transactions have been retroactively adjusted to account for the reverse stock split. We elected to round fractional shares up to the nearest whole number rather than redeem them for cash, and as a result we issued 908 additional shares as a result of this rounding.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2018, we issued 100,000 shares of common stock to a subsidiary of WPP, one of the world’s largest media companies, and a shareholder at the time, in full payment of all amounts due under a co-marketing agreement that covered certain WPP agencies, whereby we shared a portion of our revenue with those agencies related to new programs through those agencies. The shares were valued at $447,000, the market value of the stock on the date of issuance. The amount due was recorded as a liability in revenue share payable at December 31,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EQUITY (CONTINUED)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in a private transaction, we issued 1,666,669 shares of our common stock for gross proceeds of $9,000,000. In connection with this transaction, we incurred equity issuance costs of $835,526 related to payments to advisors and legal fees associated with the transaction, resulting in net proceeds to the Company of $8,164,474.</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a Director Compensation plan covering its independent non-employee Directors. A total of 36,494 and 25,000 shares were granted and issued in the years ended December 31, 2018 and 2017, respectively in connection with this compensation plan. These shares were valued at $428,884 and $87,375, respectively. The Company also awarded 130,001 restricted stock awards, valued at 546,007, to executive officers. These awards would vest only if the Company achieved certain stretch revenue goals in 2018 or 2019. It was determined that the goal was achieved as of December 31, 2018, so the entire expense was recognized in 2018, but the shares related to these awards will be issued in 2019.</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2018, we issued 15,000 shares of our common stock, valued at $228,050, for investor relations services. We also issued 30,638 shares of common stock, valued at $500,000, to the former shareholders of CareSpeak Communications, Inc., in connection with the acquisition of the CareSpeak in 2018.</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entire amount recorded in equity related to stock-based compensation is $1,863,911, including the $1,317,904 discussed in Note 11 below related to options.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2018, we issued 251,046 shares of common stock in connection with the cashless exercise of a warrant to purchase 348,194 shares. We also issued 165,169 shares of common stock and received proceeds of $521,270 in connection with the exercise of options in 2018. In 2017 the Company issued 24,214 shares in connection with the exercise of stock options. The options exercised in 2017 were exercised on a net settled basis and no cash proceeds were received.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adopted the new accounting standard ASC 606, Revenue from Contracts with Customers, as of January 1, 2018, which resulted in a charge of $142,027 to Retained Earnings on that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2017, the Company purchased and cancelled 500,000 shares of common stock held by the previous CEO at a price of $0.78 per share for a total payment of $390,000.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sponsors a stock-based incentive compensation plan known as the 2013 Equity Compensation Plan (the “Plan”), which was established by the Board of Directors of the Company in June 2013. A total of 500,000 (post-split) shares were initially reserved for issuance under the Plan. The Plan was amended in 2016 to increase the authorized shares to 1,333,334 shares, again in 2018 to increase the authorized shares to 1,833,334, and again in 2019 to increase the authorized shares to 2,500,000. A total of 1,554,700 shares of common stock underlying options were outstanding at December 31, 2018. The Company had no remaining shares available to grant under the Plan at December 31, 2018.</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allows the Company to grant incentive stock options, non-qualified stock options, stock appreciation rights,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(CONTINUED)</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2018 and 2017, was $1,317,904 and $815,014, respectively. No income tax benefit was recognized in the income statement and no compensation was capitalized in any of the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remaining</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8"/>
                <w:szCs w:val="18"/>
                <w:color w:val="auto"/>
                <w:w w:val="86"/>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20"/>
                <w:szCs w:val="20"/>
                <w:color w:val="auto"/>
              </w:rPr>
            </w:pPr>
          </w:p>
        </w:tc>
        <w:tc>
          <w:tcPr>
            <w:tcW w:w="132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(years)</w:t>
            </w: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Outstanding, January 1, 2017</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1,040,022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 2017</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480,417</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 – 2017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(43,333)</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80" w:type="dxa"/>
            <w:vAlign w:val="bottom"/>
          </w:tcPr>
          <w:p>
            <w:pPr>
              <w:spacing w:after="0"/>
              <w:rPr>
                <w:sz w:val="20"/>
                <w:szCs w:val="20"/>
                <w:color w:val="auto"/>
              </w:rPr>
            </w:pPr>
            <w:r>
              <w:rPr>
                <w:rFonts w:ascii="Arial" w:cs="Arial" w:eastAsia="Arial" w:hAnsi="Arial"/>
                <w:sz w:val="18"/>
                <w:szCs w:val="18"/>
                <w:color w:val="auto"/>
              </w:rPr>
              <w:t>Expired – 2017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(108,334)</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Outstanding, December 31, 2017</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1,368,772</w:t>
            </w:r>
          </w:p>
        </w:tc>
        <w:tc>
          <w:tcPr>
            <w:tcW w:w="24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13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 2018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401,099</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 – 2018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(165,169)</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080" w:type="dxa"/>
            <w:vAlign w:val="bottom"/>
          </w:tcPr>
          <w:p>
            <w:pPr>
              <w:spacing w:after="0"/>
              <w:rPr>
                <w:sz w:val="20"/>
                <w:szCs w:val="20"/>
                <w:color w:val="auto"/>
              </w:rPr>
            </w:pPr>
            <w:r>
              <w:rPr>
                <w:rFonts w:ascii="Arial" w:cs="Arial" w:eastAsia="Arial" w:hAnsi="Arial"/>
                <w:sz w:val="18"/>
                <w:szCs w:val="18"/>
                <w:color w:val="auto"/>
              </w:rPr>
              <w:t>Expired – 2018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(50,002)</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03" w:lineRule="exact"/>
              <w:rPr>
                <w:sz w:val="20"/>
                <w:szCs w:val="20"/>
                <w:color w:val="auto"/>
              </w:rPr>
            </w:pPr>
            <w:r>
              <w:rPr>
                <w:rFonts w:ascii="Arial" w:cs="Arial" w:eastAsia="Arial" w:hAnsi="Arial"/>
                <w:sz w:val="18"/>
                <w:szCs w:val="18"/>
                <w:color w:val="auto"/>
              </w:rPr>
              <w:t>Outstanding, December 31, 2018</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1,554,700</w:t>
            </w:r>
          </w:p>
        </w:tc>
        <w:tc>
          <w:tcPr>
            <w:tcW w:w="24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10,523,497</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color w:val="auto"/>
              </w:rPr>
              <w:t>Exercisable, December 31, 2018</w:t>
            </w: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1,041,533</w:t>
            </w:r>
          </w:p>
        </w:tc>
        <w:tc>
          <w:tcPr>
            <w:tcW w:w="240" w:type="dxa"/>
            <w:vAlign w:val="bottom"/>
          </w:tcPr>
          <w:p>
            <w:pPr>
              <w:spacing w:after="0"/>
              <w:rPr>
                <w:sz w:val="21"/>
                <w:szCs w:val="21"/>
                <w:color w:val="auto"/>
              </w:rPr>
            </w:pP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7,928,828</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the options outstanding at December 31, 2018, 1,041,533 were exercisable with a weighted average contractual life of 2.8 years and the remaining 513,167 were non-vested.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expiration date and exercise price of the options outstanding at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Options</w:t>
            </w:r>
          </w:p>
        </w:tc>
        <w:tc>
          <w:tcPr>
            <w:tcW w:w="1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Exercise Price</w:t>
            </w:r>
          </w:p>
        </w:tc>
        <w:tc>
          <w:tcPr>
            <w:tcW w:w="22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r>
      <w:tr>
        <w:trPr>
          <w:trHeight w:val="229"/>
        </w:trPr>
        <w:tc>
          <w:tcPr>
            <w:tcW w:w="2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194,666</w:t>
            </w:r>
          </w:p>
        </w:tc>
        <w:tc>
          <w:tcPr>
            <w:tcW w:w="240" w:type="dxa"/>
            <w:vAlign w:val="bottom"/>
          </w:tcPr>
          <w:p>
            <w:pPr>
              <w:spacing w:after="0"/>
              <w:rPr>
                <w:sz w:val="19"/>
                <w:szCs w:val="19"/>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03/31/22</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03/17/19</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18,334</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05/19/19</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46,668</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06/24/20</w:t>
            </w:r>
          </w:p>
        </w:tc>
      </w:tr>
      <w:tr>
        <w:trPr>
          <w:trHeight w:val="243"/>
        </w:trPr>
        <w:tc>
          <w:tcPr>
            <w:tcW w:w="2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235,604</w:t>
            </w:r>
          </w:p>
        </w:tc>
        <w:tc>
          <w:tcPr>
            <w:tcW w:w="240" w:type="dxa"/>
            <w:vAlign w:val="bottom"/>
          </w:tcPr>
          <w:p>
            <w:pPr>
              <w:spacing w:after="0"/>
              <w:rPr>
                <w:sz w:val="21"/>
                <w:szCs w:val="21"/>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07/27/22</w:t>
            </w:r>
          </w:p>
        </w:tc>
      </w:tr>
      <w:tr>
        <w:trPr>
          <w:trHeight w:val="243"/>
        </w:trPr>
        <w:tc>
          <w:tcPr>
            <w:tcW w:w="2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500,000</w:t>
            </w:r>
          </w:p>
        </w:tc>
        <w:tc>
          <w:tcPr>
            <w:tcW w:w="240" w:type="dxa"/>
            <w:vAlign w:val="bottom"/>
          </w:tcPr>
          <w:p>
            <w:pPr>
              <w:spacing w:after="0"/>
              <w:rPr>
                <w:sz w:val="21"/>
                <w:szCs w:val="21"/>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02/22/21</w:t>
            </w:r>
          </w:p>
        </w:tc>
      </w:tr>
      <w:tr>
        <w:trPr>
          <w:trHeight w:val="243"/>
        </w:trPr>
        <w:tc>
          <w:tcPr>
            <w:tcW w:w="2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129,169</w:t>
            </w:r>
          </w:p>
        </w:tc>
        <w:tc>
          <w:tcPr>
            <w:tcW w:w="240" w:type="dxa"/>
            <w:vAlign w:val="bottom"/>
          </w:tcPr>
          <w:p>
            <w:pPr>
              <w:spacing w:after="0"/>
              <w:rPr>
                <w:sz w:val="21"/>
                <w:szCs w:val="21"/>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07/28/21</w:t>
            </w:r>
          </w:p>
        </w:tc>
      </w:tr>
      <w:tr>
        <w:trPr>
          <w:trHeight w:val="243"/>
        </w:trPr>
        <w:tc>
          <w:tcPr>
            <w:tcW w:w="2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5,167</w:t>
            </w:r>
          </w:p>
        </w:tc>
        <w:tc>
          <w:tcPr>
            <w:tcW w:w="240" w:type="dxa"/>
            <w:vAlign w:val="bottom"/>
          </w:tcPr>
          <w:p>
            <w:pPr>
              <w:spacing w:after="0"/>
              <w:rPr>
                <w:sz w:val="21"/>
                <w:szCs w:val="21"/>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11/01/22</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28,574</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03/03/19</w:t>
            </w:r>
          </w:p>
        </w:tc>
      </w:tr>
      <w:tr>
        <w:trPr>
          <w:trHeight w:val="243"/>
        </w:trPr>
        <w:tc>
          <w:tcPr>
            <w:tcW w:w="2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161,675</w:t>
            </w:r>
          </w:p>
        </w:tc>
        <w:tc>
          <w:tcPr>
            <w:tcW w:w="240" w:type="dxa"/>
            <w:vAlign w:val="bottom"/>
          </w:tcPr>
          <w:p>
            <w:pPr>
              <w:spacing w:after="0"/>
              <w:rPr>
                <w:sz w:val="21"/>
                <w:szCs w:val="21"/>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02/01/23</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15,003</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03/31/23</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10,420</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12/31/22</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10,420</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10.40</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06/30/23</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16,000</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12.49</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08/13/23</w:t>
            </w:r>
          </w:p>
        </w:tc>
      </w:tr>
      <w:tr>
        <w:trPr>
          <w:trHeight w:val="243"/>
        </w:trPr>
        <w:tc>
          <w:tcPr>
            <w:tcW w:w="2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Pr>
          <w:p>
            <w:pPr>
              <w:spacing w:after="0"/>
              <w:rPr>
                <w:sz w:val="21"/>
                <w:szCs w:val="21"/>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12.51</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08/20/23</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08/22/23</w:t>
            </w:r>
          </w:p>
        </w:tc>
      </w:tr>
      <w:tr>
        <w:trPr>
          <w:trHeight w:val="243"/>
        </w:trPr>
        <w:tc>
          <w:tcPr>
            <w:tcW w:w="2240" w:type="dxa"/>
            <w:vAlign w:val="bottom"/>
          </w:tcPr>
          <w:p>
            <w:pPr>
              <w:spacing w:after="0"/>
              <w:rPr>
                <w:sz w:val="21"/>
                <w:szCs w:val="21"/>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12.73</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09/04/23</w:t>
            </w:r>
          </w:p>
        </w:tc>
      </w:tr>
      <w:tr>
        <w:trPr>
          <w:trHeight w:val="243"/>
        </w:trPr>
        <w:tc>
          <w:tcPr>
            <w:tcW w:w="2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21"/>
                <w:szCs w:val="21"/>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15.40</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10/16/23</w:t>
            </w:r>
          </w:p>
        </w:tc>
      </w:tr>
      <w:tr>
        <w:trPr>
          <w:trHeight w:val="257"/>
        </w:trPr>
        <w:tc>
          <w:tcPr>
            <w:tcW w:w="22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7,000</w:t>
            </w:r>
          </w:p>
        </w:tc>
        <w:tc>
          <w:tcPr>
            <w:tcW w:w="240" w:type="dxa"/>
            <w:vAlign w:val="bottom"/>
          </w:tcPr>
          <w:p>
            <w:pPr>
              <w:spacing w:after="0"/>
              <w:rPr>
                <w:sz w:val="22"/>
                <w:szCs w:val="22"/>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10/22/23</w:t>
            </w:r>
          </w:p>
        </w:tc>
      </w:tr>
      <w:tr>
        <w:trPr>
          <w:trHeight w:val="486"/>
        </w:trPr>
        <w:tc>
          <w:tcPr>
            <w:tcW w:w="2240" w:type="dxa"/>
            <w:vAlign w:val="bottom"/>
          </w:tcPr>
          <w:p>
            <w:pPr>
              <w:ind w:left="1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spacing w:after="0"/>
              <w:rPr>
                <w:sz w:val="20"/>
                <w:szCs w:val="20"/>
                <w:color w:val="auto"/>
              </w:rPr>
            </w:pPr>
            <w:r>
              <w:rPr>
                <w:rFonts w:ascii="Arial" w:cs="Arial" w:eastAsia="Arial" w:hAnsi="Arial"/>
                <w:sz w:val="18"/>
                <w:szCs w:val="18"/>
                <w:color w:val="auto"/>
              </w:rPr>
              <w:t>1,554,700</w:t>
            </w:r>
          </w:p>
        </w:tc>
        <w:tc>
          <w:tcPr>
            <w:tcW w:w="240" w:type="dxa"/>
            <w:vAlign w:val="bottom"/>
          </w:tcPr>
          <w:p>
            <w:pPr>
              <w:spacing w:after="0"/>
              <w:rPr>
                <w:sz w:val="24"/>
                <w:szCs w:val="24"/>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324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34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$1,433,198 of expense remaining to be recognized related to options outstanding at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issued warrants to purchase common stock, primarily in connection with capital raising activities. However, all remaining warrants were exercised in 2018 and there are no remaining warrants outstanding at December 31, 2018.</w:t>
      </w:r>
    </w:p>
    <w:p>
      <w:pPr>
        <w:sectPr>
          <w:pgSz w:w="11900" w:h="16838" w:orient="portrait"/>
          <w:cols w:equalWidth="0" w:num="1">
            <w:col w:w="11420"/>
          </w:cols>
          <w:pgMar w:left="240" w:top="904"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the following warrant activity during the years 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Outstanding, January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r>
      <w:tr>
        <w:trPr>
          <w:trHeight w:val="237"/>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exercise price</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681,527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5.01</w:t>
            </w:r>
          </w:p>
        </w:tc>
        <w:tc>
          <w:tcPr>
            <w:tcW w:w="20" w:type="dxa"/>
            <w:vAlign w:val="bottom"/>
          </w:tcPr>
          <w:p>
            <w:pPr>
              <w:spacing w:after="0"/>
              <w:rPr>
                <w:sz w:val="17"/>
                <w:szCs w:val="17"/>
                <w:color w:val="auto"/>
              </w:rPr>
            </w:pPr>
          </w:p>
        </w:tc>
      </w:tr>
      <w:tr>
        <w:trPr>
          <w:trHeight w:val="251"/>
        </w:trPr>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(333,333)</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348,194</w:t>
            </w:r>
          </w:p>
        </w:tc>
        <w:tc>
          <w:tcPr>
            <w:tcW w:w="22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3.33</w:t>
            </w:r>
          </w:p>
        </w:tc>
      </w:tr>
      <w:tr>
        <w:trPr>
          <w:trHeight w:val="244"/>
        </w:trPr>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(348,194)</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r>
      <w:tr>
        <w:trPr>
          <w:trHeight w:val="250"/>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MAJOR CUSTOMERS AND VENDORS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the following customers that accounted for 10% or greater of revenue in either 2018 or 2017. No other customers accounted for more than 10% of revenue in either year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spacing w:after="0"/>
              <w:rPr>
                <w:sz w:val="20"/>
                <w:szCs w:val="20"/>
                <w:color w:val="auto"/>
              </w:rPr>
            </w:pPr>
          </w:p>
        </w:tc>
        <w:tc>
          <w:tcPr>
            <w:tcW w:w="1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vMerge w:val="restart"/>
          </w:tcPr>
          <w:p>
            <w:pPr>
              <w:spacing w:after="0"/>
              <w:rPr>
                <w:sz w:val="20"/>
                <w:szCs w:val="20"/>
                <w:color w:val="auto"/>
              </w:rPr>
            </w:pPr>
            <w:r>
              <w:rPr>
                <w:rFonts w:ascii="Arial" w:cs="Arial" w:eastAsia="Arial" w:hAnsi="Arial"/>
                <w:sz w:val="18"/>
                <w:szCs w:val="18"/>
                <w:color w:val="auto"/>
              </w:rPr>
              <w:t>Customer A</w:t>
            </w:r>
          </w:p>
        </w:tc>
        <w:tc>
          <w:tcPr>
            <w:tcW w:w="17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vMerge w:val="continue"/>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2,547,113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957,222</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Customer B</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2,280,873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1,422,072</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Customer C</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2,122,657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1,153,714</w:t>
            </w: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four key partners through which 10% or greater of its revenue was generated in either 2018 or 2017 as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spacing w:after="0"/>
              <w:rPr>
                <w:sz w:val="20"/>
                <w:szCs w:val="20"/>
                <w:color w:val="auto"/>
              </w:rPr>
            </w:pPr>
          </w:p>
        </w:tc>
        <w:tc>
          <w:tcPr>
            <w:tcW w:w="1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vMerge w:val="restart"/>
          </w:tcPr>
          <w:p>
            <w:pPr>
              <w:spacing w:after="0"/>
              <w:rPr>
                <w:sz w:val="20"/>
                <w:szCs w:val="20"/>
                <w:color w:val="auto"/>
              </w:rPr>
            </w:pPr>
            <w:r>
              <w:rPr>
                <w:rFonts w:ascii="Arial" w:cs="Arial" w:eastAsia="Arial" w:hAnsi="Arial"/>
                <w:sz w:val="18"/>
                <w:szCs w:val="18"/>
                <w:color w:val="auto"/>
              </w:rPr>
              <w:t>Partner A</w:t>
            </w:r>
          </w:p>
        </w:tc>
        <w:tc>
          <w:tcPr>
            <w:tcW w:w="170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4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vMerge w:val="continue"/>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6,841,386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3,901,811</w:t>
            </w: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Partner B</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5,350,393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2,047,238</w:t>
            </w: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Partner C</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2,584,103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1,231,662</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Partner D</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2,159,356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640" w:type="dxa"/>
            <w:vAlign w:val="bottom"/>
          </w:tcPr>
          <w:p>
            <w:pPr>
              <w:jc w:val="right"/>
              <w:ind w:right="430"/>
              <w:spacing w:after="0"/>
              <w:rPr>
                <w:sz w:val="20"/>
                <w:szCs w:val="20"/>
                <w:color w:val="auto"/>
              </w:rPr>
            </w:pPr>
            <w:r>
              <w:rPr>
                <w:rFonts w:ascii="Arial" w:cs="Arial" w:eastAsia="Arial" w:hAnsi="Arial"/>
                <w:sz w:val="18"/>
                <w:szCs w:val="18"/>
                <w:color w:val="auto"/>
              </w:rPr>
              <w:t>1,279,321</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2018, the Company had net operating loss carry forwards of approximately $10.9 million that expire from 2027 through 2037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2017, the U.S. enacted the Tax Cuts and Jobs Act which significantly changed U.S. tax law. The Act lowered the U.S. statutory federal income tax rate from 35% to 21% effective January 1, 2018. This had an affect on the value of the Company’s net operating loss carryover, but since the deferred tax asset is fully reserved, it had no impact on the Company’s financial statements. The impact of the change was reflected in the 2017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w w:val="94"/>
              </w:rPr>
              <w:t>The provision for Federal income tax consists of the following for the years ended December 31, 2018 and 2017: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Federal income tax benefit attributable to:</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00"/>
              <w:spacing w:after="0"/>
              <w:rPr>
                <w:sz w:val="20"/>
                <w:szCs w:val="20"/>
                <w:color w:val="auto"/>
              </w:rPr>
            </w:pPr>
            <w:r>
              <w:rPr>
                <w:rFonts w:ascii="Arial" w:cs="Arial" w:eastAsia="Arial" w:hAnsi="Arial"/>
                <w:sz w:val="18"/>
                <w:szCs w:val="18"/>
                <w:color w:val="auto"/>
              </w:rPr>
              <w:t>Current operations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00"/>
              <w:spacing w:after="0"/>
              <w:rPr>
                <w:sz w:val="20"/>
                <w:szCs w:val="20"/>
                <w:color w:val="auto"/>
              </w:rPr>
            </w:pPr>
            <w:r>
              <w:rPr>
                <w:rFonts w:ascii="Arial" w:cs="Arial" w:eastAsia="Arial" w:hAnsi="Arial"/>
                <w:sz w:val="18"/>
                <w:szCs w:val="18"/>
                <w:color w:val="auto"/>
              </w:rPr>
              <w:t>Permanent and timing differences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(36,000)</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16"/>
        </w:trPr>
        <w:tc>
          <w:tcPr>
            <w:tcW w:w="8480" w:type="dxa"/>
            <w:vAlign w:val="bottom"/>
          </w:tcPr>
          <w:p>
            <w:pPr>
              <w:ind w:left="100"/>
              <w:spacing w:after="0"/>
              <w:rPr>
                <w:sz w:val="20"/>
                <w:szCs w:val="20"/>
                <w:color w:val="auto"/>
              </w:rPr>
            </w:pPr>
            <w:r>
              <w:rPr>
                <w:rFonts w:ascii="Arial" w:cs="Arial" w:eastAsia="Arial" w:hAnsi="Arial"/>
                <w:sz w:val="18"/>
                <w:szCs w:val="18"/>
                <w:color w:val="auto"/>
              </w:rPr>
              <w:t>Tax rate change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244"/>
        </w:trPr>
        <w:tc>
          <w:tcPr>
            <w:tcW w:w="848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84,000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vMerge w:val="restart"/>
          </w:tcPr>
          <w:p>
            <w:pPr>
              <w:ind w:left="280"/>
              <w:spacing w:after="0"/>
              <w:rPr>
                <w:sz w:val="20"/>
                <w:szCs w:val="20"/>
                <w:color w:val="auto"/>
              </w:rPr>
            </w:pPr>
            <w:r>
              <w:rPr>
                <w:rFonts w:ascii="Arial" w:cs="Arial" w:eastAsia="Arial" w:hAnsi="Arial"/>
                <w:sz w:val="18"/>
                <w:szCs w:val="18"/>
                <w:color w:val="auto"/>
              </w:rPr>
              <w:t>Net provision for federal income tax</w:t>
            </w: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vMerge w:val="continue"/>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tax effect of significant items comprising our net deferred tax amount at the expected rate of 21% is as follows as of December 31, 2018 and 2017:</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 attributable to:</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operating loss carryover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Depreciation and amortization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Stock compensation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Valuation allowance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87"/>
        <w:spacing w:after="0"/>
        <w:tabs>
          <w:tab w:leader="none" w:pos="1726"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ind w:left="427" w:hanging="427"/>
        <w:spacing w:after="0"/>
        <w:tabs>
          <w:tab w:leader="none" w:pos="4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2,290,000   $</w:t>
      </w:r>
      <w:r>
        <w:rPr>
          <w:rFonts w:ascii="Arial" w:cs="Arial" w:eastAsia="Arial" w:hAnsi="Arial"/>
          <w:sz w:val="16"/>
          <w:szCs w:val="16"/>
          <w:color w:val="auto"/>
        </w:rPr>
        <w:t>2,551,000</w:t>
      </w:r>
    </w:p>
    <w:p>
      <w:pPr>
        <w:spacing w:after="0" w:line="23" w:lineRule="exact"/>
        <w:rPr>
          <w:rFonts w:ascii="Arial" w:cs="Arial" w:eastAsia="Arial" w:hAnsi="Arial"/>
          <w:sz w:val="18"/>
          <w:szCs w:val="18"/>
          <w:color w:val="auto"/>
        </w:rPr>
      </w:pPr>
    </w:p>
    <w:p>
      <w:pPr>
        <w:ind w:left="567"/>
        <w:spacing w:after="0"/>
        <w:rPr>
          <w:rFonts w:ascii="Arial" w:cs="Arial" w:eastAsia="Arial" w:hAnsi="Arial"/>
          <w:sz w:val="18"/>
          <w:szCs w:val="18"/>
          <w:color w:val="auto"/>
        </w:rPr>
      </w:pPr>
      <w:r>
        <w:rPr>
          <w:rFonts w:ascii="Arial" w:cs="Arial" w:eastAsia="Arial" w:hAnsi="Arial"/>
          <w:sz w:val="18"/>
          <w:szCs w:val="18"/>
          <w:color w:val="auto"/>
        </w:rPr>
        <w:t>119,000</w:t>
      </w:r>
      <w:r>
        <w:rPr>
          <w:rFonts w:ascii="Arial" w:cs="Arial" w:eastAsia="Arial" w:hAnsi="Arial"/>
          <w:sz w:val="16"/>
          <w:szCs w:val="16"/>
          <w:color w:val="auto"/>
        </w:rPr>
        <w:t>98,000</w:t>
      </w:r>
    </w:p>
    <w:p>
      <w:pPr>
        <w:spacing w:after="0" w:line="9" w:lineRule="exact"/>
        <w:rPr>
          <w:rFonts w:ascii="Arial" w:cs="Arial" w:eastAsia="Arial" w:hAnsi="Arial"/>
          <w:sz w:val="18"/>
          <w:szCs w:val="18"/>
          <w:color w:val="auto"/>
        </w:rPr>
      </w:pPr>
    </w:p>
    <w:p>
      <w:pPr>
        <w:ind w:left="567"/>
        <w:spacing w:after="0"/>
        <w:rPr>
          <w:rFonts w:ascii="Arial" w:cs="Arial" w:eastAsia="Arial" w:hAnsi="Arial"/>
          <w:sz w:val="18"/>
          <w:szCs w:val="18"/>
          <w:color w:val="auto"/>
        </w:rPr>
      </w:pPr>
      <w:r>
        <w:rPr>
          <w:rFonts w:ascii="Arial" w:cs="Arial" w:eastAsia="Arial" w:hAnsi="Arial"/>
          <w:sz w:val="18"/>
          <w:szCs w:val="18"/>
          <w:color w:val="auto"/>
        </w:rPr>
        <w:t>535,000</w:t>
      </w:r>
      <w:r>
        <w:rPr>
          <w:rFonts w:ascii="Arial" w:cs="Arial" w:eastAsia="Arial" w:hAnsi="Arial"/>
          <w:sz w:val="16"/>
          <w:szCs w:val="16"/>
          <w:color w:val="auto"/>
        </w:rPr>
        <w:t>372,000</w:t>
      </w:r>
    </w:p>
    <w:p>
      <w:pPr>
        <w:spacing w:after="0" w:line="9" w:lineRule="exact"/>
        <w:rPr>
          <w:rFonts w:ascii="Arial" w:cs="Arial" w:eastAsia="Arial" w:hAnsi="Arial"/>
          <w:sz w:val="18"/>
          <w:szCs w:val="18"/>
          <w:color w:val="auto"/>
        </w:rPr>
      </w:pPr>
    </w:p>
    <w:p>
      <w:pPr>
        <w:ind w:left="687"/>
        <w:spacing w:after="0"/>
        <w:rPr>
          <w:rFonts w:ascii="Arial" w:cs="Arial" w:eastAsia="Arial" w:hAnsi="Arial"/>
          <w:sz w:val="18"/>
          <w:szCs w:val="18"/>
          <w:color w:val="auto"/>
        </w:rPr>
      </w:pPr>
      <w:r>
        <w:rPr>
          <w:rFonts w:ascii="Arial" w:cs="Arial" w:eastAsia="Arial" w:hAnsi="Arial"/>
          <w:sz w:val="18"/>
          <w:szCs w:val="18"/>
          <w:color w:val="auto"/>
        </w:rPr>
        <w:t>(6,000)</w:t>
      </w:r>
    </w:p>
    <w:p>
      <w:pPr>
        <w:spacing w:after="0" w:line="9" w:lineRule="exact"/>
        <w:rPr>
          <w:sz w:val="20"/>
          <w:szCs w:val="20"/>
          <w:color w:val="auto"/>
        </w:rPr>
      </w:pPr>
    </w:p>
    <w:p>
      <w:pPr>
        <w:jc w:val="right"/>
        <w:ind w:right="40"/>
        <w:spacing w:after="0"/>
        <w:tabs>
          <w:tab w:leader="none" w:pos="820" w:val="left"/>
        </w:tabs>
        <w:rPr>
          <w:sz w:val="20"/>
          <w:szCs w:val="20"/>
          <w:color w:val="auto"/>
        </w:rPr>
      </w:pPr>
      <w:r>
        <w:rPr>
          <w:rFonts w:ascii="Arial" w:cs="Arial" w:eastAsia="Arial" w:hAnsi="Arial"/>
          <w:sz w:val="18"/>
          <w:szCs w:val="18"/>
          <w:color w:val="auto"/>
        </w:rPr>
        <w:t>(2,938,000)</w:t>
      </w:r>
      <w:r>
        <w:rPr>
          <w:sz w:val="20"/>
          <w:szCs w:val="20"/>
          <w:color w:val="auto"/>
        </w:rPr>
        <w:tab/>
      </w:r>
      <w:r>
        <w:rPr>
          <w:rFonts w:ascii="Arial" w:cs="Arial" w:eastAsia="Arial" w:hAnsi="Arial"/>
          <w:sz w:val="16"/>
          <w:szCs w:val="16"/>
          <w:color w:val="auto"/>
        </w:rPr>
        <w:t>(3,021,000)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2" w:lineRule="exact"/>
        <w:rPr>
          <w:sz w:val="20"/>
          <w:szCs w:val="20"/>
          <w:color w:val="auto"/>
        </w:rPr>
      </w:pPr>
    </w:p>
    <w:p>
      <w:pPr>
        <w:ind w:left="7"/>
        <w:spacing w:after="0"/>
        <w:tabs>
          <w:tab w:leader="none" w:pos="1066" w:val="left"/>
          <w:tab w:leader="none" w:pos="1346" w:val="left"/>
          <w:tab w:leader="none" w:pos="242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93" w:space="720"/>
            <w:col w:w="2607"/>
          </w:cols>
          <w:pgMar w:left="240" w:top="905" w:right="239" w:bottom="1440" w:gutter="0" w:footer="0" w:header="0"/>
          <w:type w:val="continuous"/>
        </w:sectPr>
      </w:pP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initially signed the lease for its current office space located in Rochester Michigan on December 1, 2011. That lease expired on November 30, 2016 and the Company signed a new lease for the same space. The current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the Company fails to exercise its option for option years 4 and 5, a lease termination payment of $7,300 will be due at the end of the initial 3-year term.</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 (CONTINUED)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a short-term lease on office space in Somerset, New Jersey expiring March 31, 2018. The lease is a twelve-month lease calling for twelve monthly payments of $700.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a short-term lease on an office space in Zagreb, Croatia expiring July 4, 2018. The lease is a twelve-month lease calling for twelve monthly payments approximately $630 USD.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has a month to month leases on shared office spaces in Nashville, Tennessee, payable at a rate of approximately $2,050 per month.</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Minimum annual rent payments are as follows for the remaining term of the leases: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10180" w:type="dxa"/>
            <w:vAlign w:val="bottom"/>
          </w:tcPr>
          <w:p>
            <w:pPr>
              <w:spacing w:after="0"/>
              <w:rPr>
                <w:sz w:val="20"/>
                <w:szCs w:val="20"/>
                <w:color w:val="auto"/>
              </w:rPr>
            </w:pPr>
            <w:r>
              <w:rPr>
                <w:rFonts w:ascii="Arial" w:cs="Arial" w:eastAsia="Arial" w:hAnsi="Arial"/>
                <w:sz w:val="18"/>
                <w:szCs w:val="18"/>
                <w:color w:val="auto"/>
              </w:rPr>
              <w:t>Year ended December 31: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1"/>
        </w:trPr>
        <w:tc>
          <w:tcPr>
            <w:tcW w:w="10180" w:type="dxa"/>
            <w:vAlign w:val="bottom"/>
          </w:tcPr>
          <w:p>
            <w:pPr>
              <w:jc w:val="right"/>
              <w:ind w:right="955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76,104</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Total lease commitment</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76,104</w:t>
            </w:r>
          </w:p>
        </w:tc>
      </w:tr>
      <w:tr>
        <w:trPr>
          <w:trHeight w:val="21"/>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16 – RETIREMENT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$172,107 and $137,858 recorded in 2018 and 2017, respectively, for company contributions to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2019, the Company’s Board of Directors amended the 2013 Equity Compensation Plan to increase the number of shares authorized under the plan to 2,500,000. At the same time, the Company granted 50,000 shares of restricted common stock to officers and options to purchase 67,050 shares of common stock with an exercise price of $13.06 to non-officers, both of which vest only if the Company achieves certain stretch revenue goals in 2019. In addition, the Company granted 35,500 time-based options, with the same exercise price, to new employees, as well as accelerated vesting to 2019 on 100,000 existing options that previously vested in 2020.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the Company signed a new lease on office space in Cranbury New Jersey commencing on February 1, 2019. The lease is a 3-year lease calling for monthly payments ranging from $2,707 to $2,808 plus utilities during the term of the 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2019, the company issued 56,493 shares and received proceeds of $228,386 in connection with the exercise of options.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Our disclosure controls and procedures (as defined in Rules 13a-15(e) or 15d-15(e) under the Securities Exchange Act of 1934, as amended) are designed to ensure that information required to be disclosed in the reports that we file or submit under the Exchange Act is recorded, processed, summarized, and reported within the time periods specified in the rules and forms of the Securities and Exchange Commission and to ensure that information required to be disclosed is accumulated and communicated to management, including our principal executive and financial officers, to allow timely decisions regarding disclosure. </w:t>
      </w:r>
      <w:r>
        <w:rPr>
          <w:rFonts w:ascii="Arial" w:cs="Arial" w:eastAsia="Arial" w:hAnsi="Arial"/>
          <w:sz w:val="16"/>
          <w:szCs w:val="16"/>
          <w:color w:val="auto"/>
        </w:rPr>
        <w:t>Based on an evaluation under the</w:t>
      </w:r>
      <w:r>
        <w:rPr>
          <w:rFonts w:ascii="Arial" w:cs="Arial" w:eastAsia="Arial" w:hAnsi="Arial"/>
          <w:sz w:val="19"/>
          <w:szCs w:val="19"/>
          <w:color w:val="auto"/>
        </w:rPr>
        <w:t xml:space="preserve"> </w:t>
      </w:r>
      <w:r>
        <w:rPr>
          <w:rFonts w:ascii="Arial" w:cs="Arial" w:eastAsia="Arial" w:hAnsi="Arial"/>
          <w:sz w:val="16"/>
          <w:szCs w:val="16"/>
          <w:color w:val="auto"/>
        </w:rPr>
        <w:t>supervision and with the participation of the Company’s management, the Company’s principal executive officer and principal financial officer have concluded that the Company’s disclosure controls and procedures as defined in Rules 13a-15(e) and 15d-15(e) under the Exchange Act were not effective as of December 31, 2018 due to the material weaknesses described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conducted an assessment of the effectiveness of the Company’s internal control over financial reporting based on the criteria set forth in Internal Control – Integrated Framework issued by the Committee of Sponsoring Organizations of the Treadway Commission (2013 framework).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Based on this assessment, Management identified the following two material weaknesses: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was ineffective segregation of duties assignments, and ineffective information technology general controls (ITGCs) in the areas of user access and change-management over a certain information technology (IT) system, used in the Company’s financial reporting processes. As a result, business process automated and manual controls that are dependent on appropriate segregation of duties and are dependent on the affected ITGCs were ineffective because they could have been adversely impacted.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ineffective controls related to revenue including ineffective controls over the review and approval of a key revenue calculation spreadsheet and ineffective controls over the accuracy and completeness of activity data produced by the Issuer’s proprietary IT system related to user actions in an electronic environment. These deficiencies were a result of a design deficiency in the review and approval process and IT control processes lacking sufficient documentation.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material weaknesses did not result in any identified misstatements to the financial statements, and there were no changes to previously released financial results. Based on these material weaknesses, the Company’s management concluded that at December 31, 2018, the Company’s internal control over financial reporting was not effective.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Sadler Gibb and Associates, LLC, has issued an adverse audit report on the effectiveness of the Company’s internal control over financial reporting as of December 31, 2018, which appears in Item 8 of this Form 10-K.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Remediation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our size, segregation of all conflicting duties has not always been possible and may not be economically feasible. The Chief Financial Officer has been heavily involved in all accounting functions. In addition, we have used QuickBooks as our accounting system. QuickBooks lacks sufficient user controls to ensure that timely prevention and detection of unauthorized use or disposition of Company assets, given the access the CFO has within QuickBooks. In addition, a significant amount of the calculation of revenue to be recognized is done by the Chief Financial Officer using spreadsheets and for the majority of the year, the Company lacked sufficient personnel in the accounting function to adequately review these spreadsheets. To address the issues related to limited personnel, the Company has historically for years consistently established compensating controls, reviews, and procedures to ensure that the data generated by the financial and accounting systems is accurate and that the financial statements included herein fairly present, in all material respects, our financial position, results of operations and cash flows for the periods presented. Based on these procedures, management believes that our consolidated financial statements included in this Form 10-K have been prepared in accordance with U.S. GAAP. Our CEO and CFO have certified that, based on their knowledge, the financial statements, and other financial information included in this Form 10-K, fairly present in all material respects the financial condition, results of operations and cash flows of the Company as of, and for, the periods presented in this Form 10-K. Sadler, Gibb &amp; Associates has issued an unqualified opinion on our financial statements, which is included in Item 8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2019, we are making the following improvements to our internal control structure: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hired an additional person in the finance department, who will be in place by the end of the first quarter.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investigating new accounting software to replace QuickBooks. Our current goal is to have new accounting software by the beginning of Q3.</w:t>
      </w:r>
    </w:p>
    <w:p>
      <w:pPr>
        <w:spacing w:after="0" w:line="27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improving the documentation related to the review procedures that we currently perform that we use to ensure the accuracy and completeness of the activity data produced by our proprietary IT system.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changes will allow us to reallocate duties, moving the CFO to a review role related to revenue calculation and other areas to address the segregation of duties issue. Specifically, starting in January, the Controller now calculates the revenue to be recognized and that calculation is reviewed by the Chief Financial Officer. The new accounting software will provide additional user controls to allow timely detection of unauthorized transactions.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believe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prior to the end of fiscal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most recently completed fiscal quarter, there has been no material change in our internal control over financial reporting that has materially affected or is reasonably likely to materially affect, our internal control over financial reporting. We did hire a controller in October 2018 as a result of our significant growth. This allowed us to improve our segregation of duties and document our existing controls better.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gridSpan w:val="2"/>
          </w:tcPr>
          <w:p>
            <w:pPr>
              <w:ind w:left="1760"/>
              <w:spacing w:after="0"/>
              <w:rPr>
                <w:sz w:val="20"/>
                <w:szCs w:val="20"/>
                <w:color w:val="auto"/>
              </w:rPr>
            </w:pPr>
            <w:r>
              <w:rPr>
                <w:rFonts w:ascii="Arial" w:cs="Arial" w:eastAsia="Arial" w:hAnsi="Arial"/>
                <w:sz w:val="18"/>
                <w:szCs w:val="18"/>
                <w:b w:val="1"/>
                <w:bCs w:val="1"/>
                <w:color w:val="auto"/>
              </w:rPr>
              <w:t>Name</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Age</w:t>
            </w:r>
          </w:p>
        </w:tc>
        <w:tc>
          <w:tcPr>
            <w:tcW w:w="6160" w:type="dxa"/>
            <w:vAlign w:val="bottom"/>
          </w:tcPr>
          <w:p>
            <w:pPr>
              <w:ind w:left="206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J. Febbo</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7"/>
                <w:szCs w:val="17"/>
                <w:color w:val="auto"/>
              </w:rPr>
            </w:pPr>
          </w:p>
        </w:tc>
        <w:tc>
          <w:tcPr>
            <w:tcW w:w="6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Miriam J. Paramore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SVP – Sales</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Douglas P. Baker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Gus D. Halas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Chairperson and Director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Patrick Spangler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Lynn Vos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James Lang</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our company as Chief Executive Officer on February 22, 2016. Mr. Febbo brings more than 20 years of experience in building and managing health services and financial businesses. Before joining our company, Mr. Febbo served as Chairman and Founder of Plexuus,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Febbo is qualified to serve on our Board of Directors because of his wealth of experience in building and managing health services and financial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Paramore joined the company as President in August 2017. She has vast experience with healthcare companies, running businesses ranging from start-ups to large divisions of public and private companies. Her early career was spent at Ernst &amp; Young, as a Healthcare Management Consultant. She has since occupied executive level and director positions at several healthcare companies. Most recently, from April 2016 to April 2017, Ms. Paramore served as COO and CTO of Lucro, Inc., a privately held company located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Hamilton joined our company as VP of Sales in February 2008 and became SVP of Sales in 2016. Prior to that, Mr. Hamilton was Manager at MedImmune from 2005 to 2008 and was Senior National Account Manager for Glaxo SmithKline pharmaceuticals for 13 years prior to that. Mr. Hamilton has spent the over 25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 Mr. Hamilton was a Director of the Company from 2008 through March 2016.</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Ms. Vos is qualified to serve on our Board of Directors because of her extensive executive skills in digital marketing and communications in the healthcare industry.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James Lang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Lang joined our Board January 12, 2017. He brings us more than 25 years of experience in healthcare data, analytic, and technology enabled business services. Mr. Lang is the CEO of Eversana, a leading independent provider of global commercial services to the life science industry, and also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Lang is qualified to serve on our Board of Directors because of his extensive executive skills and background in the healthcare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Spangler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Spangler presently serves as CFO of VigiLanz, a digital healthcare intelligence firm, and as a member of the board of directors of Lifespace Communities. He has more than 30 years of experience in the health care industry, executing domestic and international growth and exit strategies. He has helped lead high-performance, emerging growth firms, as well as large publicly-traded companies.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Earlier, Spangler served as executive vice president and CFO of Healthland, an EHR company serving the critical access hospital market. He has also served as CFO at the point-of-care medical applications provider, Epocrates, that he helped bring public in 2011, and which was eventually acquired by Athenahealth. Prior to Epocrates, he was CFO of the ev3, a vascular therapy that went public in 2005 and then acquired by Covidien, as well as CFO of the medical device manufacturer, Empi, which was acquired by Encore Medical.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Spangler is qualified to serve on our Board of Directors because of his extensive executive skills and background in the healthcare industry and his finance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We currently have five (5)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past 10 years, other than as set forth below,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ind w:firstLine="8"/>
        <w:spacing w:after="0" w:line="286" w:lineRule="auto"/>
        <w:tabs>
          <w:tab w:leader="none" w:pos="18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1" w:lineRule="exact"/>
        <w:rPr>
          <w:rFonts w:ascii="Arial" w:cs="Arial" w:eastAsia="Arial" w:hAnsi="Arial"/>
          <w:sz w:val="18"/>
          <w:szCs w:val="18"/>
          <w:color w:val="auto"/>
        </w:rPr>
      </w:pPr>
    </w:p>
    <w:p>
      <w:pPr>
        <w:ind w:firstLine="8"/>
        <w:spacing w:after="0" w:line="277" w:lineRule="auto"/>
        <w:tabs>
          <w:tab w:leader="none" w:pos="1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25" w:lineRule="exact"/>
        <w:rPr>
          <w:sz w:val="20"/>
          <w:szCs w:val="20"/>
          <w:color w:val="auto"/>
        </w:rPr>
      </w:pPr>
    </w:p>
    <w:p>
      <w:pPr>
        <w:ind w:right="20" w:firstLine="8"/>
        <w:spacing w:after="0" w:line="308" w:lineRule="auto"/>
        <w:tabs>
          <w:tab w:leader="none" w:pos="1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29, 2018, FINRA accepted a Letter of Acceptance, Waiver and Consent (No. 2015044865501) (the Consent) submitted by William Febbo.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Febbo, as FinOp, signed certain of these reports and was thus held responsible. Based on the Consent, in settlement, Mr. Febbo, who was then no longer registered with any broker-dealer, accepted a fine of $5,000 and a 10-business day suspension from acting as FinOp for any FINRA member.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Febbo is an “independent director” within the meaning of applicable Nasdaq listing standards.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three standing committees to facilitate and assist the Board of Directors in the execution of its responsibilities: (1) Nominating and Governance Committee; (2) Audit Committee and (3) Compensation Committee. Each committee acts pursuant to a written charter adopted by the Board of Directors. Each committee’s charter is available on our corporate website at http://www.optimizerx.com. (The information contained in our website is not incorporated into this Annual Report on Form 10-K.) All of the committees are comprised solely of non-employee, independent directors as defined by Nasdaq market listing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established a Nominating and Governance Committee. In 2018, the Committee was composed of Directors, Archambault, Spangler, and Vos, and is chaired by Director Vos. Director Archambault resigned in December 2018 and is no longer a Director. The Nominating and Corporate Governance Committee held 4 meetings during the fiscal year ended December 31, 2018. In 2019, the committee members are Directors Vos (Chair), Lang, and Halas. The Nominating and Corporate Governance Committee’s responsibilities, which are discussed in detail in its charter, include the responsibility to:</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qualifications and criteria for selecting and evaluating directors and nominees;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Consider and propose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committee memberships;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recommend to the Board corporate governance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Facilitate an annual assessment of the performance of the Board and each of its standing committees;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Consider the independence of each director and nominee for director;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has established a Compensation Committee. The Compensation Committee held 4 meetings during the fiscal year ended December 31, 2018, and held other informal discussions as needed. The Committee is composed of Directors, Halas, Spangler, and Lang, and is chaired by Director Lang. The Compensation Committee’s responsibilities, which are discussed in detail in its charter, include the responsibility to:</w:t>
      </w:r>
    </w:p>
    <w:p>
      <w:pPr>
        <w:spacing w:after="0" w:line="166"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consultation with our senior management, establish our general compensation philosophy and oversee the development and implementation of our compensation programs;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Administer our incentive and stock-based compensation plans, and discharge the duties imposed on the Compensation Committee by the terms of those plans;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approve any severance or termination payments proposed to be made to any current or former officer of our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Audit Committee was established in March 2018 and in 2018 was comprised of Directors Archambault, Spangler and Vos, and is chaired by Director Spangler. Director Archambault resigned in December 2018 and is no longer a Director. The Audit Committee held four meetings during the fiscal year ended December 31, 2018 and held informal discussions as necessary. In 2019, the committee members are Directors Spangler (Chair), Vos, and Halas.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Audit Committee approves the selection of our independent accountants and meets and interacts with the independent accountants to discuss issues related to financial reporting. In addition, the Audit Committee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For the fiscal year ending December 31, 2018, the Audit Committee:</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upon the Audit Committee’s review and discussion of the matters above, the board of directors authorized inclusion of the audited financial statements for the year ended December 31, 2018 to be included in this Annual Report on Form 10-K and filed with the Securities and Exchange Commission.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has determined that each member of the Audit Committee qualifies as an audit committee financial expert as defined under applicable SEC rules and also meets the additional criteria for independence of audit committee members set forth in Rule 10A-3(b)(1) under the Securities Exchange Act of 1934, as amended.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2018, other than as set forth in the following information. Director Lang filed a Form 4 two days late due to issues with his SEC filing codes.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2017, the Board of Directors adopted a Code of Ethics for the Company, which was attached to our 2017 Annual Report on Form 10-K as Exhibit 14.1.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Option</w:t>
            </w:r>
          </w:p>
        </w:tc>
        <w:tc>
          <w:tcPr>
            <w:tcW w:w="10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All Other</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Name and principal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Salary</w:t>
            </w:r>
          </w:p>
        </w:tc>
        <w:tc>
          <w:tcPr>
            <w:tcW w:w="1260" w:type="dxa"/>
            <w:vAlign w:val="bottom"/>
            <w:gridSpan w:val="2"/>
          </w:tcPr>
          <w:p>
            <w:pPr>
              <w:ind w:left="260"/>
              <w:spacing w:after="0"/>
              <w:rPr>
                <w:sz w:val="20"/>
                <w:szCs w:val="20"/>
                <w:color w:val="auto"/>
              </w:rPr>
            </w:pPr>
            <w:r>
              <w:rPr>
                <w:rFonts w:ascii="Arial" w:cs="Arial" w:eastAsia="Arial" w:hAnsi="Arial"/>
                <w:sz w:val="18"/>
                <w:szCs w:val="18"/>
                <w:color w:val="auto"/>
              </w:rPr>
              <w:t>Bonus</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Awards</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Awards</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Compensation</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Total</w:t>
            </w:r>
          </w:p>
        </w:tc>
      </w:tr>
      <w:tr>
        <w:trPr>
          <w:trHeight w:val="237"/>
        </w:trPr>
        <w:tc>
          <w:tcPr>
            <w:tcW w:w="2760" w:type="dxa"/>
            <w:vAlign w:val="bottom"/>
            <w:gridSpan w:val="3"/>
          </w:tcPr>
          <w:p>
            <w:pPr>
              <w:spacing w:after="0"/>
              <w:rPr>
                <w:sz w:val="20"/>
                <w:szCs w:val="20"/>
                <w:color w:val="auto"/>
              </w:rPr>
            </w:pPr>
            <w:r>
              <w:rPr>
                <w:rFonts w:ascii="Arial" w:cs="Arial" w:eastAsia="Arial" w:hAnsi="Arial"/>
                <w:sz w:val="18"/>
                <w:szCs w:val="18"/>
                <w:color w:val="auto"/>
              </w:rPr>
              <w:t>position</w:t>
            </w: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Year</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J. Febbo (1)</w:t>
            </w:r>
          </w:p>
        </w:tc>
        <w:tc>
          <w:tcPr>
            <w:tcW w:w="120" w:type="dxa"/>
            <w:vAlign w:val="bottom"/>
          </w:tcPr>
          <w:p>
            <w:pPr>
              <w:spacing w:after="0"/>
              <w:rPr>
                <w:sz w:val="17"/>
                <w:szCs w:val="17"/>
                <w:color w:val="auto"/>
              </w:rPr>
            </w:pPr>
          </w:p>
        </w:tc>
        <w:tc>
          <w:tcPr>
            <w:tcW w:w="116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275,000</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294,838</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336,000</w:t>
            </w:r>
          </w:p>
        </w:tc>
        <w:tc>
          <w:tcPr>
            <w:tcW w:w="220" w:type="dxa"/>
            <w:vAlign w:val="bottom"/>
          </w:tcPr>
          <w:p>
            <w:pPr>
              <w:spacing w:after="0"/>
              <w:rPr>
                <w:sz w:val="17"/>
                <w:szCs w:val="17"/>
                <w:color w:val="auto"/>
              </w:rPr>
            </w:pPr>
          </w:p>
        </w:tc>
        <w:tc>
          <w:tcPr>
            <w:tcW w:w="100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17,300</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923,138</w:t>
            </w:r>
          </w:p>
        </w:tc>
        <w:tc>
          <w:tcPr>
            <w:tcW w:w="20" w:type="dxa"/>
            <w:vAlign w:val="bottom"/>
          </w:tcPr>
          <w:p>
            <w:pPr>
              <w:spacing w:after="0"/>
              <w:rPr>
                <w:sz w:val="17"/>
                <w:szCs w:val="17"/>
                <w:color w:val="auto"/>
              </w:rPr>
            </w:pPr>
          </w:p>
        </w:tc>
      </w:tr>
      <w:tr>
        <w:trPr>
          <w:trHeight w:val="251"/>
        </w:trPr>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CEO, Director</w:t>
            </w:r>
          </w:p>
        </w:tc>
        <w:tc>
          <w:tcPr>
            <w:tcW w:w="1160" w:type="dxa"/>
            <w:vAlign w:val="bottom"/>
          </w:tcPr>
          <w:p>
            <w:pPr>
              <w:ind w:left="40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250,000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156,937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14,968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421,905</w:t>
            </w:r>
          </w:p>
        </w:tc>
      </w:tr>
      <w:tr>
        <w:trPr>
          <w:trHeight w:val="202"/>
        </w:trPr>
        <w:tc>
          <w:tcPr>
            <w:tcW w:w="2760" w:type="dxa"/>
            <w:vAlign w:val="bottom"/>
            <w:gridSpan w:val="3"/>
          </w:tcPr>
          <w:p>
            <w:pPr>
              <w:spacing w:after="0" w:line="201" w:lineRule="exact"/>
              <w:rPr>
                <w:sz w:val="20"/>
                <w:szCs w:val="20"/>
                <w:color w:val="auto"/>
              </w:rPr>
            </w:pPr>
            <w:r>
              <w:rPr>
                <w:rFonts w:ascii="Arial" w:cs="Arial" w:eastAsia="Arial" w:hAnsi="Arial"/>
                <w:sz w:val="18"/>
                <w:szCs w:val="18"/>
                <w:color w:val="auto"/>
              </w:rPr>
              <w:t>Miriam Paramore (2)</w:t>
            </w:r>
          </w:p>
        </w:tc>
        <w:tc>
          <w:tcPr>
            <w:tcW w:w="1160" w:type="dxa"/>
            <w:vAlign w:val="bottom"/>
          </w:tcPr>
          <w:p>
            <w:pPr>
              <w:ind w:left="400"/>
              <w:spacing w:after="0" w:line="201"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232,500</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131,781</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70,000</w:t>
            </w:r>
          </w:p>
        </w:tc>
        <w:tc>
          <w:tcPr>
            <w:tcW w:w="220" w:type="dxa"/>
            <w:vAlign w:val="bottom"/>
          </w:tcPr>
          <w:p>
            <w:pPr>
              <w:spacing w:after="0"/>
              <w:rPr>
                <w:sz w:val="17"/>
                <w:szCs w:val="17"/>
                <w:color w:val="auto"/>
              </w:rPr>
            </w:pPr>
          </w:p>
        </w:tc>
        <w:tc>
          <w:tcPr>
            <w:tcW w:w="100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11,000</w:t>
            </w:r>
          </w:p>
        </w:tc>
        <w:tc>
          <w:tcPr>
            <w:tcW w:w="22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445,281</w:t>
            </w:r>
          </w:p>
        </w:tc>
      </w:tr>
      <w:tr>
        <w:trPr>
          <w:trHeight w:val="251"/>
        </w:trPr>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President</w:t>
            </w:r>
          </w:p>
        </w:tc>
        <w:tc>
          <w:tcPr>
            <w:tcW w:w="1160" w:type="dxa"/>
            <w:vAlign w:val="bottom"/>
          </w:tcPr>
          <w:p>
            <w:pPr>
              <w:ind w:left="40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91,667</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46,036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329,950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24,786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492,430</w:t>
            </w:r>
          </w:p>
        </w:tc>
      </w:tr>
      <w:tr>
        <w:trPr>
          <w:trHeight w:val="202"/>
        </w:trPr>
        <w:tc>
          <w:tcPr>
            <w:tcW w:w="2760" w:type="dxa"/>
            <w:vAlign w:val="bottom"/>
            <w:gridSpan w:val="3"/>
          </w:tcPr>
          <w:p>
            <w:pPr>
              <w:spacing w:after="0" w:line="201" w:lineRule="exact"/>
              <w:rPr>
                <w:sz w:val="20"/>
                <w:szCs w:val="20"/>
                <w:color w:val="auto"/>
              </w:rPr>
            </w:pPr>
            <w:r>
              <w:rPr>
                <w:rFonts w:ascii="Arial" w:cs="Arial" w:eastAsia="Arial" w:hAnsi="Arial"/>
                <w:sz w:val="18"/>
                <w:szCs w:val="18"/>
                <w:color w:val="auto"/>
              </w:rPr>
              <w:t>Terence J. Hamilton (3)</w:t>
            </w:r>
          </w:p>
        </w:tc>
        <w:tc>
          <w:tcPr>
            <w:tcW w:w="1160" w:type="dxa"/>
            <w:vAlign w:val="bottom"/>
          </w:tcPr>
          <w:p>
            <w:pPr>
              <w:ind w:left="400"/>
              <w:spacing w:after="0" w:line="201"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210,000</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219,028</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70,000</w:t>
            </w:r>
          </w:p>
        </w:tc>
        <w:tc>
          <w:tcPr>
            <w:tcW w:w="220" w:type="dxa"/>
            <w:vAlign w:val="bottom"/>
          </w:tcPr>
          <w:p>
            <w:pPr>
              <w:spacing w:after="0"/>
              <w:rPr>
                <w:sz w:val="17"/>
                <w:szCs w:val="17"/>
                <w:color w:val="auto"/>
              </w:rPr>
            </w:pPr>
          </w:p>
        </w:tc>
        <w:tc>
          <w:tcPr>
            <w:tcW w:w="100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12,604</w:t>
            </w:r>
          </w:p>
        </w:tc>
        <w:tc>
          <w:tcPr>
            <w:tcW w:w="22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511,632</w:t>
            </w:r>
          </w:p>
        </w:tc>
      </w:tr>
      <w:tr>
        <w:trPr>
          <w:trHeight w:val="251"/>
        </w:trPr>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SVP of Sales</w:t>
            </w:r>
          </w:p>
        </w:tc>
        <w:tc>
          <w:tcPr>
            <w:tcW w:w="1160" w:type="dxa"/>
            <w:vAlign w:val="bottom"/>
          </w:tcPr>
          <w:p>
            <w:pPr>
              <w:ind w:left="40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200,000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100,440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89,380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10,412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400,232</w:t>
            </w:r>
          </w:p>
        </w:tc>
      </w:tr>
      <w:tr>
        <w:trPr>
          <w:trHeight w:val="202"/>
        </w:trPr>
        <w:tc>
          <w:tcPr>
            <w:tcW w:w="2760" w:type="dxa"/>
            <w:vAlign w:val="bottom"/>
            <w:gridSpan w:val="3"/>
          </w:tcPr>
          <w:p>
            <w:pPr>
              <w:spacing w:after="0" w:line="201" w:lineRule="exact"/>
              <w:rPr>
                <w:sz w:val="20"/>
                <w:szCs w:val="20"/>
                <w:color w:val="auto"/>
              </w:rPr>
            </w:pPr>
            <w:r>
              <w:rPr>
                <w:rFonts w:ascii="Arial" w:cs="Arial" w:eastAsia="Arial" w:hAnsi="Arial"/>
                <w:sz w:val="18"/>
                <w:szCs w:val="18"/>
                <w:color w:val="auto"/>
              </w:rPr>
              <w:t>Douglas P. Baker (4)</w:t>
            </w:r>
          </w:p>
        </w:tc>
        <w:tc>
          <w:tcPr>
            <w:tcW w:w="1160" w:type="dxa"/>
            <w:vAlign w:val="bottom"/>
          </w:tcPr>
          <w:p>
            <w:pPr>
              <w:ind w:left="400"/>
              <w:spacing w:after="0" w:line="201"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220,000</w:t>
            </w:r>
          </w:p>
        </w:tc>
        <w:tc>
          <w:tcPr>
            <w:tcW w:w="24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124,696</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70,000</w:t>
            </w:r>
          </w:p>
        </w:tc>
        <w:tc>
          <w:tcPr>
            <w:tcW w:w="220" w:type="dxa"/>
            <w:vAlign w:val="bottom"/>
          </w:tcPr>
          <w:p>
            <w:pPr>
              <w:spacing w:after="0"/>
              <w:rPr>
                <w:sz w:val="17"/>
                <w:szCs w:val="17"/>
                <w:color w:val="auto"/>
              </w:rPr>
            </w:pPr>
          </w:p>
        </w:tc>
        <w:tc>
          <w:tcPr>
            <w:tcW w:w="100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11,000</w:t>
            </w:r>
          </w:p>
        </w:tc>
        <w:tc>
          <w:tcPr>
            <w:tcW w:w="22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425,696</w:t>
            </w:r>
          </w:p>
        </w:tc>
      </w:tr>
      <w:tr>
        <w:trPr>
          <w:trHeight w:val="244"/>
        </w:trPr>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CFO</w:t>
            </w:r>
          </w:p>
        </w:tc>
        <w:tc>
          <w:tcPr>
            <w:tcW w:w="1160" w:type="dxa"/>
            <w:vAlign w:val="bottom"/>
          </w:tcPr>
          <w:p>
            <w:pPr>
              <w:ind w:left="40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95,330</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134,070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9,794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439,194</w:t>
            </w: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ind w:left="66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Mr. Febbo in 2018 is composed of $11,000 employer matching contributions to the Company’s retirement plan, $4,000 for a term life policy, and $2,300 for legal fees. The 2017 amounts are $10,800 employer matching contributions to the Company’s retirement plan and the balance for legal fees.</w:t>
      </w: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reflected in All Other Compensation for Ms. Paramore for 2017 reflects $2,200 of employer matching contributions to the Company’s retirement plan and $22,586 paid to her as a consultant prior to her starting employment for the Company. The 2018 amount represents employer matching contributions to the Company’s retirement plan.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Mr. Hamilton in 2018 is $11,000 employer matching contributions to the Company’s retirement plan and $1,604 of other miscellaneous benefits. The 2017 amount represents employer matching contributions to the Company’s retirement plan.</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Mr. Baker in both years represents employer matching contributions to the Company’s retirement plan.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Febbo joined the Company as CEO on February 22, 2016. On September 10, 2018 Mr. Febbo signed a new employment agreement calling for a base salary of $275,000 in 2018 and $300,000 in 2019. In addition, he is eligible to participate in the Company’s executive bonus plan with a target bonus of 50% of his annual salary. In February 2019, the Board of Directors approved a special discretionary bonus of $100,000 to Mr. Febbo for his performance in 2018 and increased his target bonus to 60% of his annual salary for 2019. He is also eligible for vacation, sick days, insurance, to participate in the Company’s 401k plan, and other benefits covering all employees. Mr. Febbo’s contract also calls for him to be reimbursed $4,000 per year for a separate term life insurance policy. Mr. Febbo’s contract calls for 12 months of severance if he is terminated without cause.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2018, the Board of Directors agreed to accelerate vesting on 100,000 of Mr. Febbo’s options that were originally scheduled to vest on the fifth anniversary of his contract in 2021, by three years, to vest in February 2018. In February 2019, the Board of Directors agreed to accelerate the vesting of the remaining 100,000 unvested options held by Mr. Febbo from February 2020 to February 2019.</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 also granted to Mr. Febbo 80,000 shares of restricted common stock in February 2018 that vest if the Company achieved targeted stretch revenue goals in either 2018 or 2019. The Company achieved those targeted revenues in 2018, so the shares vested. In February 2019, the Board of Directors also granted Mr. Febbo an additional 30,000 shares of restricted common stock if the Company achieves certain targeted stretch revenue goals in 2019.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Ms. Paramore joined the Company as President on August 1, 2017. On September 10, 2018 Ms. Paramore signed a new employment agreement calling for a base salary of $250,000. In addition, she is eligible to participate in the Company’s executive bonus plan with a target bonus of 40% of her annual salary. She is also eligible for vacation, sick days, insurance, to participate in the Company’s 401k plan, and other benefits covering all employees. Ms. Paramore’s contract also calls for 12 months of severance if she is terminated without cause.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her contract, in 2017, the Company also granted to Ms. Paramore an option to purchase 166,667 shares of common stock, exercisable at a price of $3.15 per share, and vesting annually over a period of 5 years. Ms. Paramore was also granted 16,667 shares of restricted common stock in February 2018 that vest if the Company achieved targeted stretch revenue goals in either 2018 or 2019. The Company achieved those targeted revenues in 2018, so the shares vested. In February 2019, the Board of Directors also granted Ms. Paramore an additional 10,000 shares of restricted common stock if the Company achieves certain targeted stretch revenue goals in 2019.</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10, 2018, Mr. Hamilton’s signed a new employment agreement calling for a base salary of $210,000. In addition, he is eligible to participate in the Company’s executive bonus plan with a target bonus of 40% of his annual salary. He is also eligible for vacation, sick days, insurance, to participate in the Company’s 401k plan, and other benefits covering all employees. Mr. Hamilton’s contract also calls for 12 months of severance if he is terminated without cause. In February 2019, Mr. Hamilton signed an amended employment agreement increasing his base salary to $230,000 for 2019</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2018, Mr. Hamilton also had the opportunity to earn up to $100,000 of additional bonus in excess of the targeted amount, in increments of $20,000, if the Company exceeded its revenue targets by certain predefined milestones. The Company exceeded those milestones, so Mr. Hamilton was awarded the full $100,000 special bonus for 2018. In February 2019 Mr. Hamilton was granted to the opportunity to earn an additional $100,000 bonus in 2019 in increments of $20,000 if the Company achieves certain stretch revenue goals. Mr. Hamilton was also granted 16,667 shares of restricted stock in February 2018 that vested if the Company achieves targeted stretch revenue goals in either 2018 or 2019. The Company achieved those targeted revenues in 2018, so the shares vested.</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September 10, 2018, Mr. Baker signed a new employment agreement calling for a base salary of $220,000. In addition, he is eligible to participate in the Company’s executive bonus plan with a target bonus of 40% of his annual salary. He is also eligible for vacation, sick days, insurance, to participate in the Company’s 401k plan, and other benefits covering all employees. Mr. Baker’s contract calls for 12 months of severance if he is terminated without cause. In February 2019, Mr. Baker signed an amended employment agreement increasing his base salary to $240,000 for 2019.</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Baker was also granted 16,667 shares of restricted common stock in February 2018 that vests if the Company achieves targeted stretch revenue goals in either 2018 or 2019. The Company achieved those targeted revenues in 2018, so the shares vested. In February 2019, the Board of Directors also granted Mr. Baker an additional 10,000 shares of restricted common stock if the Company achieves certain targeted stretch revenue goals in 2019.</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four executive officers, the executive bonus plan contains a provision whereby each officer could receive a bonus ranging from $0 to $750,000 if a change of control transaction occurs in 2019, depending up on the transaction price.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tcBorders>
            <w:gridSpan w:val="4"/>
          </w:tcPr>
          <w:p>
            <w:pPr>
              <w:ind w:left="480"/>
              <w:spacing w:after="0"/>
              <w:rPr>
                <w:sz w:val="20"/>
                <w:szCs w:val="20"/>
                <w:color w:val="auto"/>
              </w:rPr>
            </w:pPr>
            <w:r>
              <w:rPr>
                <w:rFonts w:ascii="Arial" w:cs="Arial" w:eastAsia="Arial" w:hAnsi="Arial"/>
                <w:sz w:val="18"/>
                <w:szCs w:val="18"/>
                <w:color w:val="auto"/>
              </w:rPr>
              <w:t>OPTION AWARDS</w:t>
            </w: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gridSpan w:val="4"/>
          </w:tcPr>
          <w:p>
            <w:pPr>
              <w:ind w:left="260"/>
              <w:spacing w:after="0"/>
              <w:rPr>
                <w:sz w:val="20"/>
                <w:szCs w:val="20"/>
                <w:color w:val="auto"/>
              </w:rPr>
            </w:pPr>
            <w:r>
              <w:rPr>
                <w:rFonts w:ascii="Arial" w:cs="Arial" w:eastAsia="Arial" w:hAnsi="Arial"/>
                <w:sz w:val="18"/>
                <w:szCs w:val="18"/>
                <w:color w:val="auto"/>
              </w:rPr>
              <w:t>STOCK AWARDS</w:t>
            </w:r>
          </w:p>
        </w:tc>
        <w:tc>
          <w:tcPr>
            <w:tcW w:w="70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Incentive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Market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Payout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Equity</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Incentive</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Incentive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Plan Awards:</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Shares,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Plan Awards: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Market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Number of</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Units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Number of</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Value of</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Unearned</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Securities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or</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Shares or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Shares, Units</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Rights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Units of</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Units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or Other</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That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Stock That</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Stock That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Rights That</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Have Not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Unearned</w:t>
            </w:r>
          </w:p>
        </w:tc>
        <w:tc>
          <w:tcPr>
            <w:tcW w:w="14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Expiration</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Have Not</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Have Not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Have Not</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gridSpan w:val="3"/>
          </w:tcPr>
          <w:p>
            <w:pPr>
              <w:spacing w:after="0"/>
              <w:rPr>
                <w:sz w:val="20"/>
                <w:szCs w:val="20"/>
                <w:color w:val="auto"/>
              </w:rPr>
            </w:pPr>
            <w:r>
              <w:rPr>
                <w:rFonts w:ascii="Arial" w:cs="Arial" w:eastAsia="Arial" w:hAnsi="Arial"/>
                <w:sz w:val="18"/>
                <w:szCs w:val="18"/>
                <w:color w:val="auto"/>
              </w:rPr>
              <w:t>Name</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Exercisable</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Unexercisable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Price ($)</w:t>
            </w: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Vested (#)</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Vested ($)</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Vested (#)</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Febbo</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88"/>
              </w:rPr>
              <w:t>02/21/21</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20" w:type="dxa"/>
            <w:vAlign w:val="bottom"/>
            <w:gridSpan w:val="3"/>
          </w:tcPr>
          <w:p>
            <w:pPr>
              <w:spacing w:after="0" w:line="189" w:lineRule="exact"/>
              <w:rPr>
                <w:sz w:val="20"/>
                <w:szCs w:val="20"/>
                <w:color w:val="auto"/>
              </w:rPr>
            </w:pPr>
            <w:r>
              <w:rPr>
                <w:rFonts w:ascii="Arial" w:cs="Arial" w:eastAsia="Arial" w:hAnsi="Arial"/>
                <w:sz w:val="18"/>
                <w:szCs w:val="18"/>
                <w:color w:val="auto"/>
              </w:rPr>
              <w:t>Miriam</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120" w:type="dxa"/>
            <w:vAlign w:val="bottom"/>
            <w:gridSpan w:val="3"/>
          </w:tcPr>
          <w:p>
            <w:pPr>
              <w:spacing w:after="0"/>
              <w:rPr>
                <w:sz w:val="20"/>
                <w:szCs w:val="20"/>
                <w:color w:val="auto"/>
              </w:rPr>
            </w:pPr>
            <w:r>
              <w:rPr>
                <w:rFonts w:ascii="Arial" w:cs="Arial" w:eastAsia="Arial" w:hAnsi="Arial"/>
                <w:sz w:val="18"/>
                <w:szCs w:val="18"/>
                <w:color w:val="auto"/>
              </w:rPr>
              <w:t>Paramore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133,333</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1200" w:type="dxa"/>
            <w:vAlign w:val="bottom"/>
            <w:gridSpan w:val="2"/>
          </w:tcPr>
          <w:p>
            <w:pPr>
              <w:jc w:val="right"/>
              <w:ind w:right="370"/>
              <w:spacing w:after="0"/>
              <w:rPr>
                <w:sz w:val="20"/>
                <w:szCs w:val="20"/>
                <w:color w:val="auto"/>
              </w:rPr>
            </w:pPr>
            <w:r>
              <w:rPr>
                <w:rFonts w:ascii="Arial" w:cs="Arial" w:eastAsia="Arial" w:hAnsi="Arial"/>
                <w:sz w:val="18"/>
                <w:szCs w:val="18"/>
                <w:color w:val="auto"/>
              </w:rPr>
              <w:t>07/27/22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120" w:type="dxa"/>
            <w:vAlign w:val="bottom"/>
            <w:gridSpan w:val="3"/>
          </w:tcPr>
          <w:p>
            <w:pPr>
              <w:spacing w:after="0" w:line="189" w:lineRule="exact"/>
              <w:rPr>
                <w:sz w:val="20"/>
                <w:szCs w:val="20"/>
                <w:color w:val="auto"/>
              </w:rPr>
            </w:pPr>
            <w:r>
              <w:rPr>
                <w:rFonts w:ascii="Arial" w:cs="Arial" w:eastAsia="Arial" w:hAnsi="Arial"/>
                <w:sz w:val="18"/>
                <w:szCs w:val="18"/>
                <w:color w:val="auto"/>
              </w:rPr>
              <w:t>Douglas</w:t>
            </w: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Baker</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1200" w:type="dxa"/>
            <w:vAlign w:val="bottom"/>
            <w:gridSpan w:val="2"/>
          </w:tcPr>
          <w:p>
            <w:pPr>
              <w:jc w:val="right"/>
              <w:ind w:right="370"/>
              <w:spacing w:after="0"/>
              <w:rPr>
                <w:sz w:val="20"/>
                <w:szCs w:val="20"/>
                <w:color w:val="auto"/>
              </w:rPr>
            </w:pPr>
            <w:r>
              <w:rPr>
                <w:rFonts w:ascii="Arial" w:cs="Arial" w:eastAsia="Arial" w:hAnsi="Arial"/>
                <w:sz w:val="18"/>
                <w:szCs w:val="18"/>
                <w:color w:val="auto"/>
              </w:rPr>
              <w:t>05/19/19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1200" w:type="dxa"/>
            <w:vAlign w:val="bottom"/>
            <w:gridSpan w:val="2"/>
          </w:tcPr>
          <w:p>
            <w:pPr>
              <w:jc w:val="right"/>
              <w:ind w:right="370"/>
              <w:spacing w:after="0"/>
              <w:rPr>
                <w:sz w:val="20"/>
                <w:szCs w:val="20"/>
                <w:color w:val="auto"/>
              </w:rPr>
            </w:pPr>
            <w:r>
              <w:rPr>
                <w:rFonts w:ascii="Arial" w:cs="Arial" w:eastAsia="Arial" w:hAnsi="Arial"/>
                <w:sz w:val="18"/>
                <w:szCs w:val="18"/>
                <w:color w:val="auto"/>
              </w:rPr>
              <w:t>06/24/20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20" w:type="dxa"/>
            <w:vAlign w:val="bottom"/>
            <w:gridSpan w:val="3"/>
            <w:vMerge w:val="restart"/>
          </w:tcPr>
          <w:p>
            <w:pPr>
              <w:spacing w:after="0"/>
              <w:rPr>
                <w:sz w:val="20"/>
                <w:szCs w:val="20"/>
                <w:color w:val="auto"/>
              </w:rPr>
            </w:pPr>
            <w:r>
              <w:rPr>
                <w:rFonts w:ascii="Arial" w:cs="Arial" w:eastAsia="Arial" w:hAnsi="Arial"/>
                <w:sz w:val="18"/>
                <w:szCs w:val="18"/>
                <w:color w:val="auto"/>
              </w:rPr>
              <w:t>Terry</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100,001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200" w:type="dxa"/>
            <w:vAlign w:val="bottom"/>
            <w:gridSpan w:val="2"/>
          </w:tcPr>
          <w:p>
            <w:pPr>
              <w:jc w:val="right"/>
              <w:ind w:right="370"/>
              <w:spacing w:after="0"/>
              <w:rPr>
                <w:sz w:val="20"/>
                <w:szCs w:val="20"/>
                <w:color w:val="auto"/>
              </w:rPr>
            </w:pPr>
            <w:r>
              <w:rPr>
                <w:rFonts w:ascii="Arial" w:cs="Arial" w:eastAsia="Arial" w:hAnsi="Arial"/>
                <w:sz w:val="18"/>
                <w:szCs w:val="18"/>
                <w:color w:val="auto"/>
              </w:rPr>
              <w:t>03/31/22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20" w:type="dxa"/>
            <w:vAlign w:val="bottom"/>
            <w:gridSpan w:val="3"/>
            <w:vMerge w:val="continue"/>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Hamilton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1200" w:type="dxa"/>
            <w:vAlign w:val="bottom"/>
            <w:gridSpan w:val="2"/>
          </w:tcPr>
          <w:p>
            <w:pPr>
              <w:jc w:val="right"/>
              <w:ind w:right="370"/>
              <w:spacing w:after="0"/>
              <w:rPr>
                <w:sz w:val="20"/>
                <w:szCs w:val="20"/>
                <w:color w:val="auto"/>
              </w:rPr>
            </w:pPr>
            <w:r>
              <w:rPr>
                <w:rFonts w:ascii="Arial" w:cs="Arial" w:eastAsia="Arial" w:hAnsi="Arial"/>
                <w:sz w:val="18"/>
                <w:szCs w:val="18"/>
                <w:color w:val="auto"/>
              </w:rPr>
              <w:t>07/28/21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200" w:type="dxa"/>
            <w:vAlign w:val="bottom"/>
            <w:gridSpan w:val="2"/>
          </w:tcPr>
          <w:p>
            <w:pPr>
              <w:jc w:val="right"/>
              <w:ind w:right="370"/>
              <w:spacing w:after="0"/>
              <w:rPr>
                <w:sz w:val="20"/>
                <w:szCs w:val="20"/>
                <w:color w:val="auto"/>
              </w:rPr>
            </w:pPr>
            <w:r>
              <w:rPr>
                <w:rFonts w:ascii="Arial" w:cs="Arial" w:eastAsia="Arial" w:hAnsi="Arial"/>
                <w:sz w:val="18"/>
                <w:szCs w:val="18"/>
                <w:color w:val="auto"/>
              </w:rPr>
              <w:t>03/31/22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Fees Earned or</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Stock</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Awards</w:t>
            </w:r>
          </w:p>
        </w:tc>
        <w:tc>
          <w:tcPr>
            <w:tcW w:w="1340" w:type="dxa"/>
            <w:vAlign w:val="bottom"/>
            <w:gridSpan w:val="2"/>
          </w:tcPr>
          <w:p>
            <w:pPr>
              <w:spacing w:after="0"/>
              <w:rPr>
                <w:sz w:val="20"/>
                <w:szCs w:val="20"/>
                <w:color w:val="auto"/>
              </w:rPr>
            </w:pPr>
            <w:r>
              <w:rPr>
                <w:rFonts w:ascii="Arial" w:cs="Arial" w:eastAsia="Arial" w:hAnsi="Arial"/>
                <w:sz w:val="18"/>
                <w:szCs w:val="18"/>
                <w:color w:val="auto"/>
              </w:rPr>
              <w:t>Option Awards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Compensation</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4700" w:type="dxa"/>
            <w:vAlign w:val="bottom"/>
            <w:gridSpan w:val="3"/>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40,625</w:t>
            </w:r>
          </w:p>
        </w:tc>
        <w:tc>
          <w:tcPr>
            <w:tcW w:w="26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90,278</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130,903</w:t>
            </w:r>
          </w:p>
        </w:tc>
        <w:tc>
          <w:tcPr>
            <w:tcW w:w="20" w:type="dxa"/>
            <w:vAlign w:val="bottom"/>
          </w:tcPr>
          <w:p>
            <w:pPr>
              <w:spacing w:after="0"/>
              <w:rPr>
                <w:sz w:val="17"/>
                <w:szCs w:val="17"/>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James Lang</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90,278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120,278</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Jack Pinney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25,875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87,034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112,909</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Patrick Spangler</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25,125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80,650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105,775</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Lynn Vos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22,500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80,650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103,150</w:t>
            </w: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Brian Archambault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annual cash retainer for Board and Committee service as set forth in the table below, payable in equal quarterly installments, and (b) reimbursement for expenses related to Board meeting attendance and any committee participation.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w w:val="94"/>
              </w:rPr>
              <w:t xml:space="preserve">Annual Fee </w:t>
            </w:r>
            <w:r>
              <w:rPr>
                <w:rFonts w:ascii="Arial" w:cs="Arial" w:eastAsia="Arial" w:hAnsi="Arial"/>
                <w:sz w:val="18"/>
                <w:szCs w:val="18"/>
                <w:u w:val="single" w:color="auto"/>
                <w:color w:val="auto"/>
                <w:w w:val="94"/>
              </w:rPr>
              <w:t>($</w:t>
            </w:r>
            <w:r>
              <w:rPr>
                <w:rFonts w:ascii="Arial" w:cs="Arial" w:eastAsia="Arial" w:hAnsi="Arial"/>
                <w:sz w:val="18"/>
                <w:szCs w:val="18"/>
                <w:color w:val="auto"/>
                <w:w w:val="94"/>
              </w:rPr>
              <w:t>)</w:t>
            </w:r>
          </w:p>
        </w:tc>
      </w:tr>
      <w:tr>
        <w:trPr>
          <w:trHeight w:val="202"/>
        </w:trPr>
        <w:tc>
          <w:tcPr>
            <w:tcW w:w="10180" w:type="dxa"/>
            <w:vAlign w:val="bottom"/>
          </w:tcPr>
          <w:p>
            <w:pPr>
              <w:spacing w:after="0" w:line="201" w:lineRule="exact"/>
              <w:rPr>
                <w:sz w:val="20"/>
                <w:szCs w:val="20"/>
                <w:color w:val="auto"/>
              </w:rPr>
            </w:pPr>
            <w:r>
              <w:rPr>
                <w:rFonts w:ascii="Arial" w:cs="Arial" w:eastAsia="Arial" w:hAnsi="Arial"/>
                <w:sz w:val="18"/>
                <w:szCs w:val="18"/>
                <w:color w:val="auto"/>
              </w:rPr>
              <w:t>Basic Director Fee</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25,000</w:t>
            </w:r>
          </w:p>
        </w:tc>
        <w:tc>
          <w:tcPr>
            <w:tcW w:w="20" w:type="dxa"/>
            <w:vAlign w:val="bottom"/>
          </w:tcPr>
          <w:p>
            <w:pPr>
              <w:spacing w:after="0"/>
              <w:rPr>
                <w:sz w:val="17"/>
                <w:szCs w:val="17"/>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Board Chair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12,500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Audit Committee Chair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Nominating and Governance Chair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Nominating and Governance Committee Member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are expected to attend four meetings per year as well as spend an additional 10 – 20 hours per month on company matters. In addition, Outside Directors shall also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 Bryan Archambault was the designated WPP director and as such was compensated by WPP for Board Service. Director Archambault resigned in December 2018 in connection with WPP’s sale of its ownership position in the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the beneficial ownership by each person, other than executive officers and directors, known to us to beneficially own 5% or more of our outstanding common stock as of March 7, 2019. This information is based on public filings as of March 7, 2019. For the purposes of this Annual Report on Form 10-K,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2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Common Shares Owned</w:t>
            </w:r>
          </w:p>
        </w:tc>
        <w:tc>
          <w:tcPr>
            <w:tcW w:w="2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Percentage of Class</w:t>
            </w:r>
          </w:p>
        </w:tc>
      </w:tr>
      <w:tr>
        <w:trPr>
          <w:trHeight w:val="202"/>
        </w:trPr>
        <w:tc>
          <w:tcPr>
            <w:tcW w:w="3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AWM Investment(1)</w:t>
            </w: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527 Madison Ave. Suite 2600</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Common</w:t>
            </w:r>
          </w:p>
        </w:tc>
        <w:tc>
          <w:tcPr>
            <w:tcW w:w="34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1,367,925</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20"/>
        </w:trPr>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Wolverine Flagship Fund</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3"/>
        </w:trPr>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2"/>
          </w:tcPr>
          <w:p>
            <w:pPr>
              <w:spacing w:after="0" w:line="253" w:lineRule="exact"/>
              <w:rPr>
                <w:sz w:val="20"/>
                <w:szCs w:val="20"/>
                <w:color w:val="auto"/>
              </w:rPr>
            </w:pPr>
            <w:r>
              <w:rPr>
                <w:rFonts w:ascii="Arial" w:cs="Arial" w:eastAsia="Arial" w:hAnsi="Arial"/>
                <w:sz w:val="18"/>
                <w:szCs w:val="18"/>
                <w:color w:val="auto"/>
              </w:rPr>
              <w:t>Trading Limited</w:t>
            </w:r>
            <w:r>
              <w:rPr>
                <w:rFonts w:ascii="Arial" w:cs="Arial" w:eastAsia="Arial" w:hAnsi="Arial"/>
                <w:sz w:val="29"/>
                <w:szCs w:val="29"/>
                <w:color w:val="auto"/>
                <w:vertAlign w:val="superscript"/>
              </w:rPr>
              <w:t>(2)</w:t>
            </w: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175 W Jackson Blvd, 3rd Flr</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3300" w:type="dxa"/>
            <w:vAlign w:val="bottom"/>
            <w:gridSpan w:val="2"/>
          </w:tcPr>
          <w:p>
            <w:pPr>
              <w:spacing w:after="0"/>
              <w:rPr>
                <w:sz w:val="20"/>
                <w:szCs w:val="20"/>
                <w:color w:val="auto"/>
              </w:rPr>
            </w:pPr>
            <w:r>
              <w:rPr>
                <w:rFonts w:ascii="Arial" w:cs="Arial" w:eastAsia="Arial" w:hAnsi="Arial"/>
                <w:sz w:val="18"/>
                <w:szCs w:val="18"/>
                <w:color w:val="auto"/>
              </w:rPr>
              <w:t>Common</w:t>
            </w:r>
          </w:p>
        </w:tc>
        <w:tc>
          <w:tcPr>
            <w:tcW w:w="3420" w:type="dxa"/>
            <w:vAlign w:val="bottom"/>
            <w:gridSpan w:val="2"/>
          </w:tcPr>
          <w:p>
            <w:pPr>
              <w:spacing w:after="0"/>
              <w:rPr>
                <w:sz w:val="20"/>
                <w:szCs w:val="20"/>
                <w:color w:val="auto"/>
              </w:rPr>
            </w:pPr>
            <w:r>
              <w:rPr>
                <w:rFonts w:ascii="Arial" w:cs="Arial" w:eastAsia="Arial" w:hAnsi="Arial"/>
                <w:sz w:val="18"/>
                <w:szCs w:val="18"/>
                <w:color w:val="auto"/>
              </w:rPr>
              <w:t>Chicago, IL 60604</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755,821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53"/>
        </w:trPr>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2"/>
          </w:tcPr>
          <w:p>
            <w:pPr>
              <w:spacing w:after="0" w:line="253" w:lineRule="exact"/>
              <w:rPr>
                <w:sz w:val="20"/>
                <w:szCs w:val="20"/>
                <w:color w:val="auto"/>
              </w:rPr>
            </w:pPr>
            <w:r>
              <w:rPr>
                <w:rFonts w:ascii="Arial" w:cs="Arial" w:eastAsia="Arial" w:hAnsi="Arial"/>
                <w:sz w:val="18"/>
                <w:szCs w:val="18"/>
                <w:color w:val="auto"/>
              </w:rPr>
              <w:t>Harvey L. Poppel</w:t>
            </w:r>
            <w:r>
              <w:rPr>
                <w:rFonts w:ascii="Arial" w:cs="Arial" w:eastAsia="Arial" w:hAnsi="Arial"/>
                <w:sz w:val="29"/>
                <w:szCs w:val="29"/>
                <w:color w:val="auto"/>
                <w:vertAlign w:val="superscript"/>
              </w:rPr>
              <w:t>(3)</w:t>
            </w: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110 El Mirasol</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Common</w:t>
            </w:r>
          </w:p>
        </w:tc>
        <w:tc>
          <w:tcPr>
            <w:tcW w:w="3420" w:type="dxa"/>
            <w:vAlign w:val="bottom"/>
            <w:gridSpan w:val="2"/>
          </w:tcPr>
          <w:p>
            <w:pPr>
              <w:spacing w:after="0"/>
              <w:rPr>
                <w:sz w:val="20"/>
                <w:szCs w:val="20"/>
                <w:color w:val="auto"/>
              </w:rPr>
            </w:pPr>
            <w:r>
              <w:rPr>
                <w:rFonts w:ascii="Arial" w:cs="Arial" w:eastAsia="Arial" w:hAnsi="Arial"/>
                <w:sz w:val="18"/>
                <w:szCs w:val="18"/>
                <w:color w:val="auto"/>
              </w:rPr>
              <w:t>Palm Beach, FL 33480</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994,898</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Park West Asset Management(6)</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900 Larkspur Landing Circle</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Suite 160</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3300" w:type="dxa"/>
            <w:vAlign w:val="bottom"/>
            <w:gridSpan w:val="2"/>
          </w:tcPr>
          <w:p>
            <w:pPr>
              <w:spacing w:after="0"/>
              <w:rPr>
                <w:sz w:val="20"/>
                <w:szCs w:val="20"/>
                <w:color w:val="auto"/>
              </w:rPr>
            </w:pPr>
            <w:r>
              <w:rPr>
                <w:rFonts w:ascii="Arial" w:cs="Arial" w:eastAsia="Arial" w:hAnsi="Arial"/>
                <w:sz w:val="18"/>
                <w:szCs w:val="18"/>
                <w:color w:val="auto"/>
              </w:rPr>
              <w:t>Common</w:t>
            </w:r>
          </w:p>
        </w:tc>
        <w:tc>
          <w:tcPr>
            <w:tcW w:w="3420" w:type="dxa"/>
            <w:vAlign w:val="bottom"/>
            <w:gridSpan w:val="2"/>
          </w:tcPr>
          <w:p>
            <w:pPr>
              <w:spacing w:after="0"/>
              <w:rPr>
                <w:sz w:val="20"/>
                <w:szCs w:val="20"/>
                <w:color w:val="auto"/>
              </w:rPr>
            </w:pPr>
            <w:r>
              <w:rPr>
                <w:rFonts w:ascii="Arial" w:cs="Arial" w:eastAsia="Arial" w:hAnsi="Arial"/>
                <w:sz w:val="18"/>
                <w:szCs w:val="18"/>
                <w:color w:val="auto"/>
              </w:rPr>
              <w:t>Larkspur, CA 94939</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967,448</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53"/>
        </w:trPr>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2"/>
          </w:tcPr>
          <w:p>
            <w:pPr>
              <w:spacing w:after="0" w:line="253" w:lineRule="exact"/>
              <w:rPr>
                <w:sz w:val="20"/>
                <w:szCs w:val="20"/>
                <w:color w:val="auto"/>
              </w:rPr>
            </w:pPr>
            <w:r>
              <w:rPr>
                <w:rFonts w:ascii="Arial" w:cs="Arial" w:eastAsia="Arial" w:hAnsi="Arial"/>
                <w:sz w:val="18"/>
                <w:szCs w:val="18"/>
                <w:color w:val="auto"/>
              </w:rPr>
              <w:t>Ronald L. Chez</w:t>
            </w:r>
            <w:r>
              <w:rPr>
                <w:rFonts w:ascii="Arial" w:cs="Arial" w:eastAsia="Arial" w:hAnsi="Arial"/>
                <w:sz w:val="29"/>
                <w:szCs w:val="29"/>
                <w:color w:val="auto"/>
                <w:vertAlign w:val="superscript"/>
              </w:rPr>
              <w:t>(4)</w:t>
            </w: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55 East Monroe Street, Suite 3700</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3300" w:type="dxa"/>
            <w:vAlign w:val="bottom"/>
            <w:gridSpan w:val="2"/>
          </w:tcPr>
          <w:p>
            <w:pPr>
              <w:spacing w:after="0"/>
              <w:rPr>
                <w:sz w:val="20"/>
                <w:szCs w:val="20"/>
                <w:color w:val="auto"/>
              </w:rPr>
            </w:pPr>
            <w:r>
              <w:rPr>
                <w:rFonts w:ascii="Arial" w:cs="Arial" w:eastAsia="Arial" w:hAnsi="Arial"/>
                <w:sz w:val="18"/>
                <w:szCs w:val="18"/>
                <w:color w:val="auto"/>
              </w:rPr>
              <w:t>Common</w:t>
            </w:r>
          </w:p>
        </w:tc>
        <w:tc>
          <w:tcPr>
            <w:tcW w:w="3420" w:type="dxa"/>
            <w:vAlign w:val="bottom"/>
            <w:gridSpan w:val="2"/>
          </w:tcPr>
          <w:p>
            <w:pPr>
              <w:spacing w:after="0"/>
              <w:rPr>
                <w:sz w:val="20"/>
                <w:szCs w:val="20"/>
                <w:color w:val="auto"/>
              </w:rPr>
            </w:pPr>
            <w:r>
              <w:rPr>
                <w:rFonts w:ascii="Arial" w:cs="Arial" w:eastAsia="Arial" w:hAnsi="Arial"/>
                <w:sz w:val="18"/>
                <w:szCs w:val="18"/>
                <w:color w:val="auto"/>
              </w:rPr>
              <w:t>Chicago, IL 60603</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907,325</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53"/>
        </w:trPr>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2"/>
          </w:tcPr>
          <w:p>
            <w:pPr>
              <w:spacing w:after="0" w:line="253" w:lineRule="exact"/>
              <w:rPr>
                <w:sz w:val="20"/>
                <w:szCs w:val="20"/>
                <w:color w:val="auto"/>
              </w:rPr>
            </w:pPr>
            <w:r>
              <w:rPr>
                <w:rFonts w:ascii="Arial" w:cs="Arial" w:eastAsia="Arial" w:hAnsi="Arial"/>
                <w:sz w:val="18"/>
                <w:szCs w:val="18"/>
                <w:color w:val="auto"/>
              </w:rPr>
              <w:t>Goldman Capital Management</w:t>
            </w:r>
            <w:r>
              <w:rPr>
                <w:rFonts w:ascii="Arial" w:cs="Arial" w:eastAsia="Arial" w:hAnsi="Arial"/>
                <w:sz w:val="29"/>
                <w:szCs w:val="29"/>
                <w:color w:val="auto"/>
                <w:vertAlign w:val="superscript"/>
              </w:rPr>
              <w:t>(5)</w:t>
            </w: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767 Third Avenue, 25th Floor</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Common</w:t>
            </w:r>
          </w:p>
        </w:tc>
        <w:tc>
          <w:tcPr>
            <w:tcW w:w="342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510,798</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4.2%</w:t>
            </w:r>
          </w:p>
        </w:tc>
      </w:tr>
    </w:tbl>
    <w:p>
      <w:pPr>
        <w:spacing w:after="0" w:line="20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13G/A filed with the Securities and Exchange Commission on February 13,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13D filed with the Securities and Exchange Commission on June 20,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13G filed with the Securities and Exchange Commission on January 10,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13D/A filed with the Securities and Exchange Commission on October 27,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13G filed with the Securities and Exchange Commission on October 24,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13G/A filed with the Securities and Exchange Commission on February 14,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March 7, 2019,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Included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Restricted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 Beneficial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Beneficial</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Percentage</w:t>
            </w:r>
          </w:p>
        </w:tc>
      </w:tr>
      <w:tr>
        <w:trPr>
          <w:trHeight w:val="237"/>
        </w:trPr>
        <w:tc>
          <w:tcPr>
            <w:tcW w:w="28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Name(1)</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Ownership (2)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Awards (3)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of Class</w:t>
            </w:r>
          </w:p>
        </w:tc>
        <w:tc>
          <w:tcPr>
            <w:tcW w:w="140" w:type="dxa"/>
            <w:vAlign w:val="bottom"/>
          </w:tcPr>
          <w:p>
            <w:pPr>
              <w:spacing w:after="0"/>
              <w:rPr>
                <w:sz w:val="20"/>
                <w:szCs w:val="20"/>
                <w:color w:val="auto"/>
              </w:rPr>
            </w:pPr>
          </w:p>
        </w:tc>
      </w:tr>
      <w:tr>
        <w:trPr>
          <w:trHeight w:val="418"/>
        </w:trPr>
        <w:tc>
          <w:tcPr>
            <w:tcW w:w="4700" w:type="dxa"/>
            <w:vAlign w:val="bottom"/>
            <w:gridSpan w:val="3"/>
          </w:tcPr>
          <w:p>
            <w:pPr>
              <w:spacing w:after="0"/>
              <w:rPr>
                <w:sz w:val="20"/>
                <w:szCs w:val="20"/>
                <w:color w:val="auto"/>
              </w:rPr>
            </w:pPr>
            <w:r>
              <w:rPr>
                <w:rFonts w:ascii="Arial" w:cs="Arial" w:eastAsia="Arial" w:hAnsi="Arial"/>
                <w:sz w:val="18"/>
                <w:szCs w:val="18"/>
                <w:color w:val="auto"/>
              </w:rPr>
              <w:t>William J. Febbo</w:t>
            </w:r>
          </w:p>
        </w:tc>
        <w:tc>
          <w:tcPr>
            <w:tcW w:w="116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18,267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598,267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Miriam Paramore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33,334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57,413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Terence J. Hamilton</w:t>
            </w:r>
          </w:p>
        </w:tc>
        <w:tc>
          <w:tcPr>
            <w:tcW w:w="1160" w:type="dxa"/>
            <w:vAlign w:val="bottom"/>
          </w:tcPr>
          <w:p>
            <w:pPr>
              <w:jc w:val="right"/>
              <w:spacing w:after="0"/>
              <w:rPr>
                <w:sz w:val="20"/>
                <w:szCs w:val="20"/>
                <w:color w:val="auto"/>
              </w:rPr>
            </w:pPr>
            <w:r>
              <w:rPr>
                <w:rFonts w:ascii="Arial" w:cs="Arial" w:eastAsia="Arial" w:hAnsi="Arial"/>
                <w:sz w:val="18"/>
                <w:szCs w:val="18"/>
                <w:color w:val="auto"/>
              </w:rPr>
              <w:t>133,334</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124,804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276,805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Lynn Vos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15,302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15,302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Douglas P. Baker</w:t>
            </w:r>
          </w:p>
        </w:tc>
        <w:tc>
          <w:tcPr>
            <w:tcW w:w="1160" w:type="dxa"/>
            <w:vAlign w:val="bottom"/>
          </w:tcPr>
          <w:p>
            <w:pPr>
              <w:jc w:val="right"/>
              <w:spacing w:after="0"/>
              <w:rPr>
                <w:sz w:val="20"/>
                <w:szCs w:val="20"/>
                <w:color w:val="auto"/>
              </w:rPr>
            </w:pPr>
            <w:r>
              <w:rPr>
                <w:rFonts w:ascii="Arial" w:cs="Arial" w:eastAsia="Arial" w:hAnsi="Arial"/>
                <w:sz w:val="18"/>
                <w:szCs w:val="18"/>
                <w:color w:val="auto"/>
              </w:rPr>
              <w:t>146,669</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31,884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195,220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Gus D. Halas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45,924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45,924</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Patrick Spangler</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6,347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6,347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James Lang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16,672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16,672</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w w:val="99"/>
              </w:rPr>
              <w:t>All Executive Officers and Directors as a group (8 persons)</w:t>
            </w:r>
          </w:p>
        </w:tc>
        <w:tc>
          <w:tcPr>
            <w:tcW w:w="1160" w:type="dxa"/>
            <w:vAlign w:val="bottom"/>
          </w:tcPr>
          <w:p>
            <w:pPr>
              <w:jc w:val="right"/>
              <w:spacing w:after="0"/>
              <w:rPr>
                <w:sz w:val="20"/>
                <w:szCs w:val="20"/>
                <w:color w:val="auto"/>
              </w:rPr>
            </w:pPr>
            <w:r>
              <w:rPr>
                <w:rFonts w:ascii="Arial" w:cs="Arial" w:eastAsia="Arial" w:hAnsi="Arial"/>
                <w:sz w:val="18"/>
                <w:szCs w:val="18"/>
                <w:color w:val="auto"/>
              </w:rPr>
              <w:t>818,337</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130,001</w:t>
            </w:r>
          </w:p>
        </w:tc>
        <w:tc>
          <w:tcPr>
            <w:tcW w:w="1140" w:type="dxa"/>
            <w:vAlign w:val="bottom"/>
          </w:tcPr>
          <w:p>
            <w:pPr>
              <w:jc w:val="right"/>
              <w:spacing w:after="0"/>
              <w:rPr>
                <w:sz w:val="20"/>
                <w:szCs w:val="20"/>
                <w:color w:val="auto"/>
              </w:rPr>
            </w:pPr>
            <w:r>
              <w:rPr>
                <w:rFonts w:ascii="Arial" w:cs="Arial" w:eastAsia="Arial" w:hAnsi="Arial"/>
                <w:sz w:val="18"/>
                <w:szCs w:val="18"/>
                <w:color w:val="auto"/>
              </w:rPr>
              <w:t>268,6112</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1,211,950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gridSpan w:val="2"/>
          </w:tcPr>
          <w:p>
            <w:pPr>
              <w:ind w:left="180"/>
              <w:spacing w:after="0"/>
              <w:rPr>
                <w:sz w:val="20"/>
                <w:szCs w:val="20"/>
                <w:color w:val="auto"/>
              </w:rPr>
            </w:pPr>
            <w:r>
              <w:rPr>
                <w:rFonts w:ascii="Arial" w:cs="Arial" w:eastAsia="Arial" w:hAnsi="Arial"/>
                <w:sz w:val="18"/>
                <w:szCs w:val="18"/>
                <w:color w:val="auto"/>
              </w:rPr>
              <w:t>Less than 1%</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March 7, 2019, and are included in common stock beneficial ownership pursuant to Rule 13d-3(d)(1) of the Exchange Act.</w:t>
      </w:r>
    </w:p>
    <w:p>
      <w:pPr>
        <w:ind w:left="460" w:hanging="452"/>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column lists shares resulting from restricted stock awards that have vested as of March 7, 2019, but for which shares have not been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 ended December 31, 2015, WPP made a strategic investment in the Company and was a shareholder that owns approximately 20% of the shares of the Company at the time. WPP sold its entire ownership position in December 2018, and is no longer a shareholder of the Company.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the Company and WPP in 2018 and 2017.</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7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4"/>
                <w:szCs w:val="24"/>
                <w:color w:val="auto"/>
              </w:rPr>
            </w:pPr>
          </w:p>
        </w:tc>
      </w:tr>
      <w:tr>
        <w:trPr>
          <w:trHeight w:val="202"/>
        </w:trPr>
        <w:tc>
          <w:tcPr>
            <w:tcW w:w="7760" w:type="dxa"/>
            <w:vAlign w:val="bottom"/>
          </w:tcPr>
          <w:p>
            <w:pPr>
              <w:spacing w:after="0" w:line="201" w:lineRule="exact"/>
              <w:rPr>
                <w:sz w:val="20"/>
                <w:szCs w:val="20"/>
                <w:color w:val="auto"/>
              </w:rPr>
            </w:pPr>
            <w:r>
              <w:rPr>
                <w:rFonts w:ascii="Arial" w:cs="Arial" w:eastAsia="Arial" w:hAnsi="Arial"/>
                <w:sz w:val="18"/>
                <w:szCs w:val="18"/>
                <w:color w:val="auto"/>
              </w:rPr>
              <w:t>Total billings to WPP Agencies</w:t>
            </w:r>
          </w:p>
        </w:tc>
        <w:tc>
          <w:tcPr>
            <w:tcW w:w="106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6,217,735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3,554,168</w:t>
            </w:r>
          </w:p>
        </w:tc>
        <w:tc>
          <w:tcPr>
            <w:tcW w:w="20" w:type="dxa"/>
            <w:vAlign w:val="bottom"/>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6,527,051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3,696,214</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Accounts receivable from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2,051,532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1,173,614</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33,249</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Marketing services purchased from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54,762</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Revenue share expense recorded to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401,596</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447,670</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9, 2016, we entered into a Corporate Consulting Agreement with our former CEO, David Harrell that set forth the terms of his continued relationship with the company and went effective as of June 1, 2016. Under the terms of this agreement Mr. Harrell agreed to consult for our company for a period of 16 months and he received a monthly payment of $15,000, with the potential for up to $54,000 in additional bonus payments during the term of the agreement. This agreement also called for insurance benefits for seven months. Finally, the agreement contained a Consultant Confidentiality, Invention Assignment and Non-Compete Agreement that contains restrictive covenants that include a one year non-compete following the completion of Mr. Harrell’s period of consulting, and an inventions assignment clause during the term of his consulting relationship.</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11, 2017, we entered into a Separation and Stock Purchase Agreement with Mr. Harrell pursuant to which we agreed to repurchase from Mr. Harrell 166,667 shares of our common stock for aggregate consideration of $390,000, representing a purchase price of $2.34 per share.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under the agreement, we agreed that the consulting agreement with Mr. Harrell would terminate on July 31, 2017, but that his non-compete agreement with us shall extend to July 31, 2019. The agreement also stipulated that Mr. Harrell would resign as a member of our board of directors effective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are tables of Audit Fees (amounts in US$) billed by our auditors in connection with the audit of the Company’s annual financial statements and review of the quarterly financial statements for the years ended: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KLJ &amp; Associates, LLP</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color w:val="auto"/>
              </w:rPr>
              <w:t>Financial Statements for the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Audit Related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Audit Services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Fees</w:t>
            </w: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Other Fees</w:t>
            </w:r>
          </w:p>
        </w:tc>
      </w:tr>
      <w:tr>
        <w:trPr>
          <w:trHeight w:val="202"/>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10,500</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2017</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31,000</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Sadler Gibb &amp; Associates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960" w:type="dxa"/>
            <w:vAlign w:val="bottom"/>
            <w:gridSpan w:val="2"/>
          </w:tcPr>
          <w:p>
            <w:pPr>
              <w:spacing w:after="0"/>
              <w:rPr>
                <w:sz w:val="20"/>
                <w:szCs w:val="20"/>
                <w:color w:val="auto"/>
              </w:rPr>
            </w:pPr>
            <w:r>
              <w:rPr>
                <w:rFonts w:ascii="Arial" w:cs="Arial" w:eastAsia="Arial" w:hAnsi="Arial"/>
                <w:sz w:val="18"/>
                <w:szCs w:val="18"/>
                <w:color w:val="auto"/>
              </w:rPr>
              <w:t>Financial Statements for the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Audit Related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96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Audit Services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Fees</w:t>
            </w: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Other Fees</w:t>
            </w:r>
          </w:p>
        </w:tc>
      </w:tr>
      <w:tr>
        <w:trPr>
          <w:trHeight w:val="202"/>
        </w:trPr>
        <w:tc>
          <w:tcPr>
            <w:tcW w:w="20" w:type="dxa"/>
            <w:vAlign w:val="bottom"/>
          </w:tcPr>
          <w:p>
            <w:pPr>
              <w:spacing w:after="0"/>
              <w:rPr>
                <w:sz w:val="17"/>
                <w:szCs w:val="17"/>
                <w:color w:val="auto"/>
              </w:rPr>
            </w:pPr>
          </w:p>
        </w:tc>
        <w:tc>
          <w:tcPr>
            <w:tcW w:w="5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116,430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14,220</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2017</w:t>
            </w:r>
          </w:p>
        </w:tc>
        <w:tc>
          <w:tcPr>
            <w:tcW w:w="44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and schedules listed below are included in this Form 10-K.</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4356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356735"/>
                    </a:xfrm>
                    <a:prstGeom prst="rect">
                      <a:avLst/>
                    </a:prstGeom>
                    <a:noFill/>
                  </pic:spPr>
                </pic:pic>
              </a:graphicData>
            </a:graphic>
          </wp:anchor>
        </w:drawing>
      </w:r>
    </w:p>
    <w:p>
      <w:pPr>
        <w:spacing w:after="0" w:line="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ectPr>
          <w:pgSz w:w="11900" w:h="16838" w:orient="portrait"/>
          <w:cols w:equalWidth="0" w:num="1">
            <w:col w:w="11420"/>
          </w:cols>
          <w:pgMar w:left="240" w:top="931"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4" w:lineRule="auto"/>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30"/>
            <w:szCs w:val="30"/>
            <w:u w:val="single" w:color="auto"/>
            <w:color w:val="0000EE"/>
            <w:vertAlign w:val="superscript"/>
          </w:rPr>
          <w:t>1</w:t>
        </w:r>
      </w:hyperlink>
    </w:p>
    <w:p>
      <w:pPr>
        <w:spacing w:after="0" w:line="185" w:lineRule="auto"/>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Amended and Restated Bylaws of the Company</w:t>
        </w:r>
        <w:r>
          <w:rPr>
            <w:rFonts w:ascii="Arial" w:cs="Arial" w:eastAsia="Arial" w:hAnsi="Arial"/>
            <w:sz w:val="29"/>
            <w:szCs w:val="29"/>
            <w:u w:val="single" w:color="auto"/>
            <w:color w:val="0000EE"/>
            <w:vertAlign w:val="superscript"/>
          </w:rPr>
          <w:t>2</w:t>
        </w:r>
      </w:hyperlink>
    </w:p>
    <w:p>
      <w:pPr>
        <w:spacing w:after="0" w:line="184" w:lineRule="auto"/>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Certificate of Designation, filed on September 5, 2008 with the Secretary of State of the State of Nevada by the Company</w:t>
        </w:r>
        <w:r>
          <w:rPr>
            <w:rFonts w:ascii="Arial" w:cs="Arial" w:eastAsia="Arial" w:hAnsi="Arial"/>
            <w:sz w:val="29"/>
            <w:szCs w:val="29"/>
            <w:u w:val="single" w:color="auto"/>
            <w:color w:val="0000EE"/>
            <w:vertAlign w:val="superscript"/>
          </w:rPr>
          <w:t>1</w:t>
        </w:r>
      </w:hyperlink>
    </w:p>
    <w:p>
      <w:pPr>
        <w:spacing w:after="0" w:line="1" w:lineRule="exact"/>
        <w:rPr>
          <w:sz w:val="20"/>
          <w:szCs w:val="20"/>
          <w:color w:val="auto"/>
        </w:rPr>
      </w:pPr>
    </w:p>
    <w:p>
      <w:pPr>
        <w:ind w:right="1880"/>
        <w:spacing w:after="0" w:line="204" w:lineRule="auto"/>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Certificate of Designation, filed on June 3, 2010 with the Secretary of State of the State of Nevada by the Company</w:t>
        </w:r>
      </w:hyperlink>
      <w:r>
        <w:rPr>
          <w:rFonts w:ascii="Arial" w:cs="Arial" w:eastAsia="Arial" w:hAnsi="Arial"/>
          <w:sz w:val="30"/>
          <w:szCs w:val="30"/>
          <w:u w:val="single" w:color="auto"/>
          <w:color w:val="0000EE"/>
          <w:vertAlign w:val="superscript"/>
        </w:rPr>
        <w:t>3</w:t>
      </w:r>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Certificate of Correction, dated April 30, 2018</w:t>
        </w:r>
      </w:hyperlink>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Certificate of Withdrawal of Certificate of Designation, dated May 10, 2018</w:t>
        </w:r>
      </w:hyperlink>
    </w:p>
    <w:p>
      <w:pPr>
        <w:spacing w:after="0" w:line="9" w:lineRule="exact"/>
        <w:rPr>
          <w:sz w:val="20"/>
          <w:szCs w:val="20"/>
          <w:color w:val="auto"/>
        </w:rPr>
      </w:pPr>
    </w:p>
    <w:p>
      <w:pPr>
        <w:ind w:right="20"/>
        <w:spacing w:after="0" w:line="206" w:lineRule="auto"/>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Separation Agreement, Corporate Consulting Agreement and Confidentiality Agreement between the Company and David Harrell dated May</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5, 2016</w:t>
        </w:r>
        <w:r>
          <w:rPr>
            <w:rFonts w:ascii="Arial" w:cs="Arial" w:eastAsia="Arial" w:hAnsi="Arial"/>
            <w:sz w:val="30"/>
            <w:szCs w:val="30"/>
            <w:u w:val="single" w:color="auto"/>
            <w:color w:val="0000EE"/>
            <w:vertAlign w:val="superscript"/>
          </w:rPr>
          <w:t>4</w:t>
        </w:r>
      </w:hyperlink>
    </w:p>
    <w:p>
      <w:pPr>
        <w:spacing w:after="0" w:line="1" w:lineRule="exact"/>
        <w:rPr>
          <w:sz w:val="20"/>
          <w:szCs w:val="20"/>
          <w:color w:val="auto"/>
        </w:rPr>
      </w:pPr>
    </w:p>
    <w:p>
      <w:pPr>
        <w:sectPr>
          <w:pgSz w:w="11900" w:h="16838" w:orient="portrait"/>
          <w:cols w:equalWidth="0" w:num="2">
            <w:col w:w="440" w:space="720"/>
            <w:col w:w="10260"/>
          </w:cols>
          <w:pgMar w:left="240" w:top="931" w:right="2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10.2</w:t>
            </w:r>
          </w:p>
        </w:tc>
        <w:tc>
          <w:tcPr>
            <w:tcW w:w="3680" w:type="dxa"/>
            <w:vAlign w:val="bottom"/>
            <w:gridSpan w:val="9"/>
            <w:vMerge w:val="restart"/>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Amended and Restated 2013 Equity Incentive Plan</w:t>
              </w:r>
            </w:hyperlink>
          </w:p>
        </w:tc>
        <w:tc>
          <w:tcPr>
            <w:tcW w:w="60" w:type="dxa"/>
            <w:vAlign w:val="bottom"/>
            <w:tcBorders>
              <w:bottom w:val="single" w:sz="8" w:color="0000EE"/>
            </w:tcBorders>
            <w:gridSpan w:val="3"/>
          </w:tcPr>
          <w:p>
            <w:pPr>
              <w:spacing w:after="0"/>
              <w:rPr>
                <w:rFonts w:ascii="Arial" w:cs="Arial" w:eastAsia="Arial" w:hAnsi="Arial"/>
                <w:sz w:val="10"/>
                <w:szCs w:val="10"/>
                <w:color w:val="0000EE"/>
                <w:w w:val="71"/>
              </w:rPr>
            </w:pPr>
            <w:hyperlink r:id="rId93">
              <w:r>
                <w:rPr>
                  <w:rFonts w:ascii="Arial" w:cs="Arial" w:eastAsia="Arial" w:hAnsi="Arial"/>
                  <w:sz w:val="10"/>
                  <w:szCs w:val="10"/>
                  <w:color w:val="0000EE"/>
                  <w:w w:val="71"/>
                </w:rPr>
                <w:t>5</w:t>
              </w:r>
            </w:hyperlink>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1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36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160" w:type="dxa"/>
            <w:vAlign w:val="bottom"/>
            <w:gridSpan w:val="2"/>
            <w:vMerge w:val="continue"/>
          </w:tcPr>
          <w:p>
            <w:pPr>
              <w:spacing w:after="0"/>
              <w:rPr>
                <w:sz w:val="4"/>
                <w:szCs w:val="4"/>
                <w:color w:val="auto"/>
              </w:rPr>
            </w:pPr>
          </w:p>
        </w:tc>
        <w:tc>
          <w:tcPr>
            <w:tcW w:w="3680" w:type="dxa"/>
            <w:vAlign w:val="bottom"/>
            <w:tcBorders>
              <w:bottom w:val="single" w:sz="8" w:color="0000EE"/>
            </w:tcBorders>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10.3</w:t>
            </w:r>
          </w:p>
        </w:tc>
        <w:tc>
          <w:tcPr>
            <w:tcW w:w="6540" w:type="dxa"/>
            <w:vAlign w:val="bottom"/>
            <w:tcBorders>
              <w:bottom w:val="single" w:sz="8" w:color="CCEEFF"/>
            </w:tcBorders>
            <w:gridSpan w:val="21"/>
            <w:vMerge w:val="restart"/>
            <w:shd w:val="clear" w:color="auto" w:fill="CCEEFF"/>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Amendment to Employment Agreement with Miriam Paramore, dated September 10, 2018</w:t>
              </w:r>
            </w:hyperlink>
          </w:p>
        </w:tc>
        <w:tc>
          <w:tcPr>
            <w:tcW w:w="80" w:type="dxa"/>
            <w:vAlign w:val="bottom"/>
            <w:tcBorders>
              <w:bottom w:val="single" w:sz="8" w:color="0000EE"/>
            </w:tcBorders>
            <w:shd w:val="clear" w:color="auto" w:fill="CCEEFF"/>
          </w:tcPr>
          <w:p>
            <w:pPr>
              <w:jc w:val="right"/>
              <w:spacing w:after="0" w:line="129" w:lineRule="exact"/>
              <w:rPr>
                <w:rFonts w:ascii="Arial" w:cs="Arial" w:eastAsia="Arial" w:hAnsi="Arial"/>
                <w:sz w:val="14"/>
                <w:szCs w:val="14"/>
                <w:color w:val="0000EE"/>
                <w:w w:val="76"/>
              </w:rPr>
            </w:pPr>
            <w:hyperlink r:id="rId94">
              <w:r>
                <w:rPr>
                  <w:rFonts w:ascii="Arial" w:cs="Arial" w:eastAsia="Arial" w:hAnsi="Arial"/>
                  <w:sz w:val="14"/>
                  <w:szCs w:val="14"/>
                  <w:color w:val="0000EE"/>
                  <w:w w:val="76"/>
                </w:rPr>
                <w:t>6</w:t>
              </w:r>
            </w:hyperlink>
          </w:p>
        </w:tc>
        <w:tc>
          <w:tcPr>
            <w:tcW w:w="36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6540" w:type="dxa"/>
            <w:vAlign w:val="bottom"/>
            <w:tcBorders>
              <w:bottom w:val="single" w:sz="8" w:color="0000EE"/>
            </w:tcBorders>
            <w:gridSpan w:val="21"/>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62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10.4</w:t>
            </w:r>
          </w:p>
        </w:tc>
        <w:tc>
          <w:tcPr>
            <w:tcW w:w="2920" w:type="dxa"/>
            <w:vAlign w:val="bottom"/>
            <w:tcBorders>
              <w:top w:val="single" w:sz="8" w:color="CCEEFF"/>
              <w:bottom w:val="single" w:sz="8" w:color="CCEEFF"/>
            </w:tcBorders>
            <w:gridSpan w:val="6"/>
            <w:vMerge w:val="restart"/>
          </w:tcPr>
          <w:p>
            <w:pP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Purchase Agreement, dated May 2, 2018</w:t>
              </w:r>
            </w:hyperlink>
          </w:p>
        </w:tc>
        <w:tc>
          <w:tcPr>
            <w:tcW w:w="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76"/>
              </w:rPr>
            </w:pPr>
            <w:hyperlink r:id="rId95">
              <w:r>
                <w:rPr>
                  <w:rFonts w:ascii="Arial" w:cs="Arial" w:eastAsia="Arial" w:hAnsi="Arial"/>
                  <w:sz w:val="14"/>
                  <w:szCs w:val="14"/>
                  <w:color w:val="0000EE"/>
                  <w:w w:val="76"/>
                </w:rPr>
                <w:t>7</w:t>
              </w:r>
            </w:hyperlink>
          </w:p>
        </w:tc>
        <w:tc>
          <w:tcPr>
            <w:tcW w:w="340" w:type="dxa"/>
            <w:vAlign w:val="bottom"/>
            <w:tcBorders>
              <w:top w:val="single" w:sz="8" w:color="CCEEFF"/>
              <w:bottom w:val="single" w:sz="8" w:color="CCEEFF"/>
            </w:tcBorders>
            <w:vMerge w:val="restart"/>
          </w:tcPr>
          <w:p>
            <w:pPr>
              <w:spacing w:after="0"/>
              <w:rPr>
                <w:sz w:val="12"/>
                <w:szCs w:val="12"/>
                <w:color w:val="auto"/>
              </w:rPr>
            </w:pPr>
          </w:p>
        </w:tc>
        <w:tc>
          <w:tcPr>
            <w:tcW w:w="360" w:type="dxa"/>
            <w:vAlign w:val="bottom"/>
            <w:tcBorders>
              <w:top w:val="single" w:sz="8" w:color="CCEEFF"/>
              <w:bottom w:val="single" w:sz="8" w:color="CCEEFF"/>
            </w:tcBorders>
            <w:gridSpan w:val="2"/>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gridSpan w:val="2"/>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12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3860" w:type="dxa"/>
            <w:vAlign w:val="bottom"/>
            <w:tcBorders>
              <w:top w:val="single" w:sz="8" w:color="CCEEFF"/>
              <w:bottom w:val="single" w:sz="8" w:color="CCEEFF"/>
            </w:tcBorders>
            <w:gridSpan w:val="3"/>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920" w:type="dxa"/>
            <w:vAlign w:val="bottom"/>
            <w:tcBorders>
              <w:bottom w:val="single" w:sz="8" w:color="0000EE"/>
            </w:tcBorders>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8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10.5</w:t>
            </w:r>
          </w:p>
        </w:tc>
        <w:tc>
          <w:tcPr>
            <w:tcW w:w="3700" w:type="dxa"/>
            <w:vAlign w:val="bottom"/>
            <w:tcBorders>
              <w:bottom w:val="single" w:sz="8" w:color="CCEEFF"/>
            </w:tcBorders>
            <w:gridSpan w:val="10"/>
            <w:vMerge w:val="restart"/>
            <w:shd w:val="clear" w:color="auto" w:fill="CCEEFF"/>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Registration Rights Agreement, dated May 2, 2018</w:t>
              </w:r>
            </w:hyperlink>
          </w:p>
        </w:tc>
        <w:tc>
          <w:tcPr>
            <w:tcW w:w="60" w:type="dxa"/>
            <w:vAlign w:val="bottom"/>
            <w:tcBorders>
              <w:bottom w:val="single" w:sz="8" w:color="0000EE"/>
            </w:tcBorders>
            <w:gridSpan w:val="3"/>
            <w:shd w:val="clear" w:color="auto" w:fill="CCEEFF"/>
          </w:tcPr>
          <w:p>
            <w:pPr>
              <w:spacing w:after="0"/>
              <w:rPr>
                <w:rFonts w:ascii="Arial" w:cs="Arial" w:eastAsia="Arial" w:hAnsi="Arial"/>
                <w:sz w:val="10"/>
                <w:szCs w:val="10"/>
                <w:color w:val="0000EE"/>
                <w:w w:val="71"/>
              </w:rPr>
            </w:pPr>
            <w:hyperlink r:id="rId96">
              <w:r>
                <w:rPr>
                  <w:rFonts w:ascii="Arial" w:cs="Arial" w:eastAsia="Arial" w:hAnsi="Arial"/>
                  <w:sz w:val="10"/>
                  <w:szCs w:val="10"/>
                  <w:color w:val="0000EE"/>
                  <w:w w:val="71"/>
                </w:rPr>
                <w:t>7</w:t>
              </w:r>
            </w:hyperlink>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1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3860" w:type="dxa"/>
            <w:vAlign w:val="bottom"/>
            <w:tcBorders>
              <w:bottom w:val="single" w:sz="8" w:color="CCEEFF"/>
            </w:tcBorders>
            <w:gridSpan w:val="3"/>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3700" w:type="dxa"/>
            <w:vAlign w:val="bottom"/>
            <w:tcBorders>
              <w:bottom w:val="single" w:sz="8" w:color="0000EE"/>
            </w:tcBorders>
            <w:gridSpan w:val="10"/>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gridSpan w:val="2"/>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1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4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3860" w:type="dxa"/>
            <w:vAlign w:val="bottom"/>
            <w:tcBorders>
              <w:bottom w:val="single" w:sz="8" w:color="CCEEFF"/>
            </w:tcBorders>
            <w:gridSpan w:val="3"/>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10.6</w:t>
            </w:r>
          </w:p>
        </w:tc>
        <w:tc>
          <w:tcPr>
            <w:tcW w:w="3720" w:type="dxa"/>
            <w:vAlign w:val="bottom"/>
            <w:tcBorders>
              <w:top w:val="single" w:sz="8" w:color="CCEEFF"/>
              <w:bottom w:val="single" w:sz="8" w:color="CCEEFF"/>
            </w:tcBorders>
            <w:gridSpan w:val="11"/>
            <w:vMerge w:val="restart"/>
          </w:tcPr>
          <w:p>
            <w:pPr>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Stock Purchase Agreement, dated October 17, 2018</w:t>
              </w:r>
            </w:hyperlink>
          </w:p>
        </w:tc>
        <w:tc>
          <w:tcPr>
            <w:tcW w:w="80" w:type="dxa"/>
            <w:vAlign w:val="bottom"/>
            <w:tcBorders>
              <w:top w:val="single" w:sz="8" w:color="CCEEFF"/>
              <w:bottom w:val="single" w:sz="8" w:color="0000EE"/>
            </w:tcBorders>
            <w:gridSpan w:val="3"/>
          </w:tcPr>
          <w:p>
            <w:pPr>
              <w:jc w:val="right"/>
              <w:spacing w:after="0" w:line="129" w:lineRule="exact"/>
              <w:rPr>
                <w:rFonts w:ascii="Arial" w:cs="Arial" w:eastAsia="Arial" w:hAnsi="Arial"/>
                <w:sz w:val="14"/>
                <w:szCs w:val="14"/>
                <w:color w:val="0000EE"/>
                <w:w w:val="76"/>
              </w:rPr>
            </w:pPr>
            <w:hyperlink r:id="rId97">
              <w:r>
                <w:rPr>
                  <w:rFonts w:ascii="Arial" w:cs="Arial" w:eastAsia="Arial" w:hAnsi="Arial"/>
                  <w:sz w:val="14"/>
                  <w:szCs w:val="14"/>
                  <w:color w:val="0000EE"/>
                  <w:w w:val="76"/>
                </w:rPr>
                <w:t>8</w:t>
              </w:r>
            </w:hyperlink>
          </w:p>
        </w:tc>
        <w:tc>
          <w:tcPr>
            <w:tcW w:w="2120" w:type="dxa"/>
            <w:vAlign w:val="bottom"/>
            <w:tcBorders>
              <w:top w:val="single" w:sz="8" w:color="CCEEFF"/>
              <w:bottom w:val="single" w:sz="8" w:color="CCEEFF"/>
            </w:tcBorders>
            <w:vMerge w:val="restart"/>
          </w:tcPr>
          <w:p>
            <w:pPr>
              <w:spacing w:after="0"/>
              <w:rPr>
                <w:sz w:val="12"/>
                <w:szCs w:val="12"/>
                <w:color w:val="auto"/>
              </w:rPr>
            </w:pPr>
          </w:p>
        </w:tc>
        <w:tc>
          <w:tcPr>
            <w:tcW w:w="8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4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40" w:type="dxa"/>
            <w:vAlign w:val="bottom"/>
            <w:tcBorders>
              <w:top w:val="single" w:sz="8" w:color="CCEEFF"/>
              <w:bottom w:val="single" w:sz="8" w:color="CCEEFF"/>
            </w:tcBorders>
            <w:vMerge w:val="restart"/>
          </w:tcPr>
          <w:p>
            <w:pPr>
              <w:spacing w:after="0"/>
              <w:rPr>
                <w:sz w:val="12"/>
                <w:szCs w:val="12"/>
                <w:color w:val="auto"/>
              </w:rPr>
            </w:pPr>
          </w:p>
        </w:tc>
        <w:tc>
          <w:tcPr>
            <w:tcW w:w="3860" w:type="dxa"/>
            <w:vAlign w:val="bottom"/>
            <w:tcBorders>
              <w:top w:val="single" w:sz="8" w:color="CCEEFF"/>
              <w:bottom w:val="single" w:sz="8" w:color="CCEEFF"/>
            </w:tcBorders>
            <w:gridSpan w:val="3"/>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720" w:type="dxa"/>
            <w:vAlign w:val="bottom"/>
            <w:tcBorders>
              <w:bottom w:val="single" w:sz="8" w:color="0000EE"/>
            </w:tcBorders>
            <w:gridSpan w:val="11"/>
            <w:vMerge w:val="continue"/>
          </w:tcPr>
          <w:p>
            <w:pPr>
              <w:spacing w:after="0"/>
              <w:rPr>
                <w:sz w:val="4"/>
                <w:szCs w:val="4"/>
                <w:color w:val="auto"/>
              </w:rPr>
            </w:pPr>
          </w:p>
        </w:tc>
        <w:tc>
          <w:tcPr>
            <w:tcW w:w="80" w:type="dxa"/>
            <w:vAlign w:val="bottom"/>
            <w:gridSpan w:val="3"/>
          </w:tcPr>
          <w:p>
            <w:pPr>
              <w:spacing w:after="0"/>
              <w:rPr>
                <w:sz w:val="4"/>
                <w:szCs w:val="4"/>
                <w:color w:val="auto"/>
              </w:rPr>
            </w:pPr>
          </w:p>
        </w:tc>
        <w:tc>
          <w:tcPr>
            <w:tcW w:w="21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8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10.7</w:t>
            </w:r>
          </w:p>
        </w:tc>
        <w:tc>
          <w:tcPr>
            <w:tcW w:w="6180" w:type="dxa"/>
            <w:vAlign w:val="bottom"/>
            <w:tcBorders>
              <w:bottom w:val="single" w:sz="8" w:color="CCEEFF"/>
            </w:tcBorders>
            <w:gridSpan w:val="17"/>
            <w:vMerge w:val="restart"/>
            <w:shd w:val="clear" w:color="auto" w:fill="CCEEFF"/>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Amendment to Employment Agreement with Terry Hamilton, dated February 7, 2019</w:t>
              </w:r>
            </w:hyperlink>
          </w:p>
        </w:tc>
        <w:tc>
          <w:tcPr>
            <w:tcW w:w="60" w:type="dxa"/>
            <w:vAlign w:val="bottom"/>
            <w:tcBorders>
              <w:bottom w:val="single" w:sz="8" w:color="0000EE"/>
            </w:tcBorders>
            <w:gridSpan w:val="2"/>
            <w:shd w:val="clear" w:color="auto" w:fill="CCEEFF"/>
          </w:tcPr>
          <w:p>
            <w:pPr>
              <w:jc w:val="right"/>
              <w:spacing w:after="0"/>
              <w:rPr>
                <w:rFonts w:ascii="Arial" w:cs="Arial" w:eastAsia="Arial" w:hAnsi="Arial"/>
                <w:sz w:val="10"/>
                <w:szCs w:val="10"/>
                <w:color w:val="0000EE"/>
                <w:w w:val="71"/>
              </w:rPr>
            </w:pPr>
            <w:hyperlink r:id="rId98">
              <w:r>
                <w:rPr>
                  <w:rFonts w:ascii="Arial" w:cs="Arial" w:eastAsia="Arial" w:hAnsi="Arial"/>
                  <w:sz w:val="10"/>
                  <w:szCs w:val="10"/>
                  <w:color w:val="0000EE"/>
                  <w:w w:val="71"/>
                </w:rPr>
                <w:t>9</w:t>
              </w:r>
            </w:hyperlink>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3860" w:type="dxa"/>
            <w:vAlign w:val="bottom"/>
            <w:tcBorders>
              <w:bottom w:val="single" w:sz="8" w:color="CCEEFF"/>
            </w:tcBorders>
            <w:gridSpan w:val="3"/>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6180" w:type="dxa"/>
            <w:vAlign w:val="bottom"/>
            <w:tcBorders>
              <w:bottom w:val="single" w:sz="8" w:color="0000EE"/>
            </w:tcBorders>
            <w:gridSpan w:val="17"/>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3860" w:type="dxa"/>
            <w:vAlign w:val="bottom"/>
            <w:tcBorders>
              <w:bottom w:val="single" w:sz="8" w:color="CCEEFF"/>
            </w:tcBorders>
            <w:gridSpan w:val="3"/>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10.8</w:t>
            </w:r>
          </w:p>
        </w:tc>
        <w:tc>
          <w:tcPr>
            <w:tcW w:w="5920" w:type="dxa"/>
            <w:vAlign w:val="bottom"/>
            <w:tcBorders>
              <w:top w:val="single" w:sz="8" w:color="CCEEFF"/>
              <w:bottom w:val="single" w:sz="8" w:color="CCEEFF"/>
            </w:tcBorders>
            <w:gridSpan w:val="15"/>
            <w:vMerge w:val="restart"/>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Amendment to Employment Agreement with Doug Baker, dated February 7, 2019</w:t>
              </w:r>
            </w:hyperlink>
          </w:p>
        </w:tc>
        <w:tc>
          <w:tcPr>
            <w:tcW w:w="8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76"/>
              </w:rPr>
            </w:pPr>
            <w:hyperlink r:id="rId99">
              <w:r>
                <w:rPr>
                  <w:rFonts w:ascii="Arial" w:cs="Arial" w:eastAsia="Arial" w:hAnsi="Arial"/>
                  <w:sz w:val="14"/>
                  <w:szCs w:val="14"/>
                  <w:color w:val="0000EE"/>
                  <w:w w:val="76"/>
                </w:rPr>
                <w:t>9</w:t>
              </w:r>
            </w:hyperlink>
          </w:p>
        </w:tc>
        <w:tc>
          <w:tcPr>
            <w:tcW w:w="220" w:type="dxa"/>
            <w:vAlign w:val="bottom"/>
            <w:tcBorders>
              <w:top w:val="single" w:sz="8" w:color="CCEEFF"/>
              <w:bottom w:val="single" w:sz="8" w:color="CCEEFF"/>
            </w:tcBorders>
            <w:gridSpan w:val="2"/>
            <w:vMerge w:val="restart"/>
          </w:tcPr>
          <w:p>
            <w:pPr>
              <w:spacing w:after="0"/>
              <w:rPr>
                <w:sz w:val="12"/>
                <w:szCs w:val="12"/>
                <w:color w:val="auto"/>
              </w:rPr>
            </w:pPr>
          </w:p>
        </w:tc>
        <w:tc>
          <w:tcPr>
            <w:tcW w:w="160" w:type="dxa"/>
            <w:vAlign w:val="bottom"/>
            <w:tcBorders>
              <w:top w:val="single" w:sz="8" w:color="CCEEFF"/>
              <w:bottom w:val="single" w:sz="8" w:color="CCEEFF"/>
            </w:tcBorders>
            <w:gridSpan w:val="2"/>
            <w:vMerge w:val="restart"/>
          </w:tcPr>
          <w:p>
            <w:pPr>
              <w:spacing w:after="0"/>
              <w:rPr>
                <w:sz w:val="12"/>
                <w:szCs w:val="12"/>
                <w:color w:val="auto"/>
              </w:rPr>
            </w:pPr>
          </w:p>
        </w:tc>
        <w:tc>
          <w:tcPr>
            <w:tcW w:w="3860" w:type="dxa"/>
            <w:vAlign w:val="bottom"/>
            <w:tcBorders>
              <w:top w:val="single" w:sz="8" w:color="CCEEFF"/>
              <w:bottom w:val="single" w:sz="8" w:color="CCEEFF"/>
            </w:tcBorders>
            <w:gridSpan w:val="3"/>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5920" w:type="dxa"/>
            <w:vAlign w:val="bottom"/>
            <w:tcBorders>
              <w:bottom w:val="single" w:sz="8" w:color="0000EE"/>
            </w:tcBorders>
            <w:gridSpan w:val="15"/>
            <w:vMerge w:val="continue"/>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8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10.9</w:t>
            </w:r>
          </w:p>
        </w:tc>
        <w:tc>
          <w:tcPr>
            <w:tcW w:w="6220" w:type="dxa"/>
            <w:vAlign w:val="bottom"/>
            <w:tcBorders>
              <w:bottom w:val="single" w:sz="8" w:color="CCEEFF"/>
            </w:tcBorders>
            <w:gridSpan w:val="18"/>
            <w:vMerge w:val="restart"/>
            <w:shd w:val="clear" w:color="auto" w:fill="CCEEFF"/>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Amendment to Employment Agreement with William Febbo, dated February 25, 2019</w:t>
              </w:r>
            </w:hyperlink>
          </w:p>
        </w:tc>
        <w:tc>
          <w:tcPr>
            <w:tcW w:w="160" w:type="dxa"/>
            <w:vAlign w:val="bottom"/>
            <w:tcBorders>
              <w:bottom w:val="single" w:sz="8" w:color="0000EE"/>
            </w:tcBorders>
            <w:gridSpan w:val="2"/>
            <w:shd w:val="clear" w:color="auto" w:fill="CCEEFF"/>
          </w:tcPr>
          <w:p>
            <w:pPr>
              <w:jc w:val="right"/>
              <w:spacing w:after="0" w:line="129" w:lineRule="exact"/>
              <w:rPr>
                <w:rFonts w:ascii="Arial" w:cs="Arial" w:eastAsia="Arial" w:hAnsi="Arial"/>
                <w:sz w:val="14"/>
                <w:szCs w:val="14"/>
                <w:color w:val="0000EE"/>
                <w:w w:val="89"/>
              </w:rPr>
            </w:pPr>
            <w:hyperlink r:id="rId100">
              <w:r>
                <w:rPr>
                  <w:rFonts w:ascii="Arial" w:cs="Arial" w:eastAsia="Arial" w:hAnsi="Arial"/>
                  <w:sz w:val="14"/>
                  <w:szCs w:val="14"/>
                  <w:color w:val="0000EE"/>
                  <w:w w:val="89"/>
                </w:rPr>
                <w:t>10</w:t>
              </w:r>
            </w:hyperlink>
          </w:p>
        </w:tc>
        <w:tc>
          <w:tcPr>
            <w:tcW w:w="3860" w:type="dxa"/>
            <w:vAlign w:val="bottom"/>
            <w:tcBorders>
              <w:bottom w:val="single" w:sz="8" w:color="CCEEFF"/>
            </w:tcBorders>
            <w:gridSpan w:val="3"/>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6220" w:type="dxa"/>
            <w:vAlign w:val="bottom"/>
            <w:tcBorders>
              <w:bottom w:val="single" w:sz="8" w:color="0000EE"/>
            </w:tcBorders>
            <w:gridSpan w:val="18"/>
            <w:vMerge w:val="continue"/>
            <w:shd w:val="clear" w:color="auto" w:fill="CCEEFF"/>
          </w:tcPr>
          <w:p>
            <w:pPr>
              <w:spacing w:after="0"/>
              <w:rPr>
                <w:sz w:val="5"/>
                <w:szCs w:val="5"/>
                <w:color w:val="auto"/>
              </w:rPr>
            </w:pPr>
          </w:p>
        </w:tc>
        <w:tc>
          <w:tcPr>
            <w:tcW w:w="160" w:type="dxa"/>
            <w:vAlign w:val="bottom"/>
            <w:tcBorders>
              <w:bottom w:val="single" w:sz="8" w:color="CCEEFF"/>
            </w:tcBorders>
            <w:gridSpan w:val="2"/>
            <w:shd w:val="clear" w:color="auto" w:fill="CCEEFF"/>
          </w:tcPr>
          <w:p>
            <w:pPr>
              <w:spacing w:after="0"/>
              <w:rPr>
                <w:sz w:val="5"/>
                <w:szCs w:val="5"/>
                <w:color w:val="auto"/>
              </w:rPr>
            </w:pPr>
          </w:p>
        </w:tc>
        <w:tc>
          <w:tcPr>
            <w:tcW w:w="3860" w:type="dxa"/>
            <w:vAlign w:val="bottom"/>
            <w:tcBorders>
              <w:bottom w:val="single" w:sz="8" w:color="CCEEFF"/>
            </w:tcBorders>
            <w:gridSpan w:val="3"/>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14.1</w:t>
            </w:r>
          </w:p>
        </w:tc>
        <w:tc>
          <w:tcPr>
            <w:tcW w:w="2720" w:type="dxa"/>
            <w:vAlign w:val="bottom"/>
            <w:tcBorders>
              <w:top w:val="single" w:sz="8" w:color="CCEEFF"/>
              <w:bottom w:val="single" w:sz="8" w:color="CCEEFF"/>
            </w:tcBorders>
            <w:gridSpan w:val="4"/>
            <w:vMerge w:val="restart"/>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Code of Business Conduct and Ethics</w:t>
              </w:r>
            </w:hyperlink>
          </w:p>
        </w:tc>
        <w:tc>
          <w:tcPr>
            <w:tcW w:w="140" w:type="dxa"/>
            <w:vAlign w:val="bottom"/>
            <w:tcBorders>
              <w:top w:val="single" w:sz="8" w:color="CCEEFF"/>
              <w:bottom w:val="single" w:sz="8" w:color="0000EE"/>
            </w:tcBorders>
          </w:tcPr>
          <w:p>
            <w:pPr>
              <w:jc w:val="right"/>
              <w:spacing w:after="0" w:line="129" w:lineRule="exact"/>
              <w:rPr>
                <w:rFonts w:ascii="Arial" w:cs="Arial" w:eastAsia="Arial" w:hAnsi="Arial"/>
                <w:sz w:val="14"/>
                <w:szCs w:val="14"/>
                <w:color w:val="0000EE"/>
                <w:w w:val="76"/>
              </w:rPr>
            </w:pPr>
            <w:hyperlink r:id="rId101">
              <w:r>
                <w:rPr>
                  <w:rFonts w:ascii="Arial" w:cs="Arial" w:eastAsia="Arial" w:hAnsi="Arial"/>
                  <w:sz w:val="14"/>
                  <w:szCs w:val="14"/>
                  <w:color w:val="0000EE"/>
                  <w:w w:val="76"/>
                </w:rPr>
                <w:t>11</w:t>
              </w:r>
            </w:hyperlink>
          </w:p>
        </w:tc>
        <w:tc>
          <w:tcPr>
            <w:tcW w:w="480" w:type="dxa"/>
            <w:vAlign w:val="bottom"/>
            <w:tcBorders>
              <w:top w:val="single" w:sz="8" w:color="CCEEFF"/>
              <w:bottom w:val="single" w:sz="8" w:color="CCEEFF"/>
            </w:tcBorders>
            <w:gridSpan w:val="3"/>
            <w:vMerge w:val="restart"/>
          </w:tcPr>
          <w:p>
            <w:pPr>
              <w:spacing w:after="0"/>
              <w:rPr>
                <w:sz w:val="12"/>
                <w:szCs w:val="12"/>
                <w:color w:val="auto"/>
              </w:rPr>
            </w:pPr>
          </w:p>
        </w:tc>
        <w:tc>
          <w:tcPr>
            <w:tcW w:w="6900" w:type="dxa"/>
            <w:vAlign w:val="bottom"/>
            <w:tcBorders>
              <w:top w:val="single" w:sz="8" w:color="CCEEFF"/>
              <w:bottom w:val="single" w:sz="8" w:color="CCEEFF"/>
            </w:tcBorders>
            <w:gridSpan w:val="15"/>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720" w:type="dxa"/>
            <w:vAlign w:val="bottom"/>
            <w:tcBorders>
              <w:bottom w:val="single" w:sz="8" w:color="0000EE"/>
            </w:tcBorders>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6900" w:type="dxa"/>
            <w:vAlign w:val="bottom"/>
            <w:gridSpan w:val="1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14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List of Subsidiaries</w:t>
              </w:r>
            </w:hyperlink>
          </w:p>
        </w:tc>
        <w:tc>
          <w:tcPr>
            <w:tcW w:w="8860" w:type="dxa"/>
            <w:vAlign w:val="bottom"/>
            <w:tcBorders>
              <w:bottom w:val="single" w:sz="8" w:color="CCEEFF"/>
            </w:tcBorders>
            <w:gridSpan w:val="2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23.1**</w:t>
            </w:r>
          </w:p>
        </w:tc>
        <w:tc>
          <w:tcPr>
            <w:tcW w:w="1026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Consent of Sadler, Gibb &amp; Associates, LLC**</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2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Chief Executive Officer pursuant to Securities Exchange Act Rule 13a-14(a)/15d-14(a), as adopted pursuant to Section 302 of</w:t>
              </w:r>
            </w:hyperlink>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the Sarbanes-Oxley Act of 2002</w:t>
              </w:r>
            </w:hyperlink>
          </w:p>
        </w:tc>
        <w:tc>
          <w:tcPr>
            <w:tcW w:w="7940" w:type="dxa"/>
            <w:vAlign w:val="bottom"/>
            <w:tcBorders>
              <w:bottom w:val="single" w:sz="8" w:color="CCEEFF"/>
            </w:tcBorders>
            <w:gridSpan w:val="2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0260" w:type="dxa"/>
            <w:vAlign w:val="bottom"/>
            <w:gridSpan w:val="24"/>
          </w:tcPr>
          <w:p>
            <w:pPr>
              <w:spacing w:after="0" w:line="17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Chief Financial Officer pursuant to Securities Exchange Act Rule 13a-14(a)/15d-14(a), as adopted pursuant to Section 302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0260" w:type="dxa"/>
            <w:vAlign w:val="bottom"/>
            <w:gridSpan w:val="24"/>
            <w:shd w:val="clear" w:color="auto" w:fill="CCEEFF"/>
          </w:tcPr>
          <w:p>
            <w:pPr>
              <w:spacing w:after="0" w:line="17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Chief Executive Officer and Chief Financial Officer pursuant to 18 U.S.C. Section 1350, as adopted pursuant to Section 906</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52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of the Sarbanes-Oxley Act of 2002</w:t>
              </w:r>
            </w:hyperlink>
          </w:p>
        </w:tc>
        <w:tc>
          <w:tcPr>
            <w:tcW w:w="7720" w:type="dxa"/>
            <w:vAlign w:val="bottom"/>
            <w:tcBorders>
              <w:top w:val="single" w:sz="8" w:color="0000EE"/>
              <w:bottom w:val="single" w:sz="8" w:color="CCEEFF"/>
            </w:tcBorders>
            <w:gridSpan w:val="2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10260" w:type="dxa"/>
            <w:vAlign w:val="bottom"/>
            <w:gridSpan w:val="24"/>
          </w:tcPr>
          <w:p>
            <w:pPr>
              <w:spacing w:after="0" w:line="201" w:lineRule="exact"/>
              <w:rPr>
                <w:sz w:val="20"/>
                <w:szCs w:val="20"/>
                <w:color w:val="auto"/>
              </w:rPr>
            </w:pPr>
            <w:r>
              <w:rPr>
                <w:rFonts w:ascii="Arial" w:cs="Arial" w:eastAsia="Arial" w:hAnsi="Arial"/>
                <w:sz w:val="18"/>
                <w:szCs w:val="18"/>
                <w:color w:val="auto"/>
                <w:w w:val="94"/>
              </w:rPr>
              <w:t>The following materials from the Company’s Annual Report on Form 10-K for the year ended December 31, 2016 formatted in Extensible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4"/>
          </w:tcPr>
          <w:p>
            <w:pPr>
              <w:spacing w:after="0"/>
              <w:rPr>
                <w:sz w:val="20"/>
                <w:szCs w:val="20"/>
                <w:color w:val="auto"/>
              </w:rPr>
            </w:pPr>
            <w:r>
              <w:rPr>
                <w:rFonts w:ascii="Arial" w:cs="Arial" w:eastAsia="Arial" w:hAnsi="Arial"/>
                <w:sz w:val="18"/>
                <w:szCs w:val="18"/>
                <w:color w:val="auto"/>
              </w:rPr>
              <w:t>Business Reporting Language (XBRL).</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16, 2010.</w:t>
      </w:r>
    </w:p>
    <w:p>
      <w:pPr>
        <w:ind w:left="340" w:hanging="332"/>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June 11, 2010.</w:t>
      </w:r>
    </w:p>
    <w:p>
      <w:pPr>
        <w:ind w:left="340" w:hanging="332"/>
        <w:spacing w:after="0" w:line="181"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10-Q, filed by the Company with the Securities and Exchange Commission on May 9, 2016.</w:t>
      </w:r>
    </w:p>
    <w:p>
      <w:pPr>
        <w:ind w:left="340" w:hanging="332"/>
        <w:spacing w:after="0" w:line="180"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31, 2016.</w:t>
      </w:r>
    </w:p>
    <w:p>
      <w:pPr>
        <w:ind w:left="340" w:hanging="332"/>
        <w:spacing w:after="0" w:line="181"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14, 2018.</w:t>
      </w:r>
    </w:p>
    <w:p>
      <w:pPr>
        <w:ind w:left="340" w:hanging="332"/>
        <w:spacing w:after="0" w:line="180"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10-Q filed by the Company with the Securities and Exchange Commission on May 2, 2018.</w:t>
      </w: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October 17, 2018.</w:t>
      </w:r>
    </w:p>
    <w:p>
      <w:pPr>
        <w:ind w:left="340" w:hanging="332"/>
        <w:spacing w:after="0" w:line="181"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February 7, 2019.</w:t>
      </w:r>
    </w:p>
    <w:p>
      <w:pPr>
        <w:ind w:left="340" w:hanging="332"/>
        <w:spacing w:after="0" w:line="180"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February 26, 2019.</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1"/>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10-K filed by the Company with the Securities and Exchange Commission on March 8, 2018.</w:t>
      </w:r>
    </w:p>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provided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12, 2019</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Lang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Gus D. Halas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Patrick Spangler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Patrick Spangler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Lynn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Lynn Vos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ind w:left="9220"/>
        <w:spacing w:after="0"/>
        <w:rPr>
          <w:sz w:val="20"/>
          <w:szCs w:val="20"/>
          <w:color w:val="auto"/>
        </w:rPr>
      </w:pPr>
      <w:r>
        <w:rPr>
          <w:rFonts w:ascii="Arial" w:cs="Arial" w:eastAsia="Arial" w:hAnsi="Arial"/>
          <w:sz w:val="19"/>
          <w:szCs w:val="19"/>
          <w:b w:val="1"/>
          <w:bCs w:val="1"/>
          <w:color w:val="auto"/>
        </w:rPr>
        <w:t>Exhibit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075170" cy="9433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075170" cy="943356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68" w:name="page69"/>
    <w:bookmarkEnd w:id="68"/>
    <w:p>
      <w:pPr>
        <w:ind w:left="9220"/>
        <w:spacing w:after="0"/>
        <w:rPr>
          <w:sz w:val="20"/>
          <w:szCs w:val="20"/>
          <w:color w:val="auto"/>
        </w:rPr>
      </w:pPr>
      <w:r>
        <w:rPr>
          <w:rFonts w:ascii="Arial" w:cs="Arial" w:eastAsia="Arial" w:hAnsi="Arial"/>
          <w:sz w:val="19"/>
          <w:szCs w:val="19"/>
          <w:b w:val="1"/>
          <w:bCs w:val="1"/>
          <w:color w:val="auto"/>
        </w:rPr>
        <w:t>Exhibit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187960</wp:posOffset>
            </wp:positionV>
            <wp:extent cx="7195185" cy="9433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7195185" cy="943356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A Michigan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CareSpeak Communications, Inc., a New Jersey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CareSpeak Communications D.O.O., a controlled foreign corporation, located in Croatia.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11430</wp:posOffset>
            </wp:positionV>
            <wp:extent cx="2769870" cy="1174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276987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with the Public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Oversight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on Form S-3 No. 333-228357 and Form S-8 No. 333-210653 of our report dated March 12, 2019, with respect to the audited consolidated financial statements of OptimizeRx Corp. and its subsidiaries for the years ended December 31, 2018 and 2017 appearing in this Annual Report on Form 10-K of OptimizeRx Corp.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654800" cy="771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6654800" cy="77152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OptimizeRx Corp (the “registrant”);</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2018 of OptimizeRx Corp (the “registrant”);</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Officer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2018 filed with the Securities and Exchange Commission (the “Report”), I, William J. Febbo, Chief Executive Officer of the Company, and I, Douglas P. Baker,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J. Febbo</w:t>
            </w:r>
          </w:p>
        </w:tc>
        <w:tc>
          <w:tcPr>
            <w:tcW w:w="2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spacing w:after="0"/>
              <w:rPr>
                <w:sz w:val="20"/>
                <w:szCs w:val="20"/>
                <w:color w:val="auto"/>
              </w:rPr>
            </w:pPr>
            <w:r>
              <w:rPr>
                <w:rFonts w:ascii="Arial" w:cs="Arial" w:eastAsia="Arial" w:hAnsi="Arial"/>
                <w:sz w:val="18"/>
                <w:szCs w:val="18"/>
                <w:color w:val="auto"/>
                <w:w w:val="99"/>
              </w:rPr>
              <w:t>Chief Executive Officer, Principal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gridSpan w:val="2"/>
          </w:tcPr>
          <w:p>
            <w:pPr>
              <w:spacing w:after="0"/>
              <w:rPr>
                <w:sz w:val="20"/>
                <w:szCs w:val="20"/>
                <w:color w:val="auto"/>
              </w:rPr>
            </w:pPr>
            <w:r>
              <w:rPr>
                <w:rFonts w:ascii="Arial" w:cs="Arial" w:eastAsia="Arial" w:hAnsi="Arial"/>
                <w:sz w:val="18"/>
                <w:szCs w:val="18"/>
                <w:color w:val="auto"/>
              </w:rPr>
              <w:t>March 12, 2019</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spacing w:after="0"/>
              <w:rPr>
                <w:sz w:val="20"/>
                <w:szCs w:val="20"/>
                <w:color w:val="auto"/>
              </w:rPr>
            </w:pPr>
            <w:r>
              <w:rPr>
                <w:rFonts w:ascii="Arial" w:cs="Arial" w:eastAsia="Arial" w:hAnsi="Arial"/>
                <w:sz w:val="18"/>
                <w:szCs w:val="18"/>
                <w:color w:val="auto"/>
              </w:rPr>
              <w:t>/s/ Doug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Doug Baker</w:t>
            </w:r>
          </w:p>
        </w:tc>
        <w:tc>
          <w:tcPr>
            <w:tcW w:w="20" w:type="dxa"/>
            <w:vAlign w:val="bottom"/>
          </w:tcPr>
          <w:p>
            <w:pPr>
              <w:spacing w:after="0"/>
              <w:rPr>
                <w:sz w:val="17"/>
                <w:szCs w:val="17"/>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spacing w:after="0"/>
              <w:rPr>
                <w:sz w:val="20"/>
                <w:szCs w:val="20"/>
                <w:color w:val="auto"/>
              </w:rPr>
            </w:pPr>
            <w:r>
              <w:rPr>
                <w:rFonts w:ascii="Arial" w:cs="Arial" w:eastAsia="Arial" w:hAnsi="Arial"/>
                <w:sz w:val="18"/>
                <w:szCs w:val="18"/>
                <w:color w:val="auto"/>
                <w:w w:val="93"/>
              </w:rPr>
              <w:t>Chief Financial Officer, Principal Financial Officer and</w:t>
            </w:r>
          </w:p>
        </w:tc>
      </w:tr>
      <w:tr>
        <w:trPr>
          <w:trHeight w:val="216"/>
        </w:trPr>
        <w:tc>
          <w:tcPr>
            <w:tcW w:w="58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gridSpan w:val="2"/>
          </w:tcPr>
          <w:p>
            <w:pPr>
              <w:spacing w:after="0"/>
              <w:rPr>
                <w:sz w:val="20"/>
                <w:szCs w:val="20"/>
                <w:color w:val="auto"/>
              </w:rPr>
            </w:pPr>
            <w:r>
              <w:rPr>
                <w:rFonts w:ascii="Arial" w:cs="Arial" w:eastAsia="Arial" w:hAnsi="Arial"/>
                <w:sz w:val="18"/>
                <w:szCs w:val="18"/>
                <w:color w:val="auto"/>
              </w:rPr>
              <w:t>March 12, 2019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lowerRoman"/>
      <w:start w:val="2"/>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1."/>
      <w:numFmt w:val="lowerRoman"/>
      <w:start w:val="2"/>
    </w:lvl>
  </w:abstractNum>
  <w:abstractNum w:abstractNumId="24">
    <w:nsid w:val="419AC241"/>
    <w:multiLevelType w:val="hybridMultilevel"/>
    <w:lvl w:ilvl="0">
      <w:lvlJc w:val="left"/>
      <w:lvlText w:val="%1."/>
      <w:numFmt w:val="decimal"/>
      <w:start w:val="8"/>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bullet"/>
      <w:start w:val="1"/>
    </w:lvl>
  </w:abstractNum>
  <w:abstractNum w:abstractNumId="32">
    <w:nsid w:val="2463B9EA"/>
    <w:multiLevelType w:val="hybridMultilevel"/>
    <w:lvl w:ilvl="0">
      <w:lvlJc w:val="left"/>
      <w:lvlText w:val="2"/>
      <w:numFmt w:val="bullet"/>
      <w:start w:val="1"/>
    </w:lvl>
  </w:abstractNum>
  <w:abstractNum w:abstractNumId="33">
    <w:nsid w:val="5E884ADC"/>
    <w:multiLevelType w:val="hybridMultilevel"/>
    <w:lvl w:ilvl="0">
      <w:lvlJc w:val="left"/>
      <w:lvlText w:val="3"/>
      <w:numFmt w:val="bullet"/>
      <w:start w:val="1"/>
    </w:lvl>
  </w:abstractNum>
  <w:abstractNum w:abstractNumId="34">
    <w:nsid w:val="51EAD36B"/>
    <w:multiLevelType w:val="hybridMultilevel"/>
    <w:lvl w:ilvl="0">
      <w:lvlJc w:val="left"/>
      <w:lvlText w:val="4"/>
      <w:numFmt w:val="bullet"/>
      <w:start w:val="1"/>
    </w:lvl>
  </w:abstractNum>
  <w:abstractNum w:abstractNumId="35">
    <w:nsid w:val="2D517796"/>
    <w:multiLevelType w:val="hybridMultilevel"/>
    <w:lvl w:ilvl="0">
      <w:lvlJc w:val="left"/>
      <w:lvlText w:val="5"/>
      <w:numFmt w:val="bullet"/>
      <w:start w:val="1"/>
    </w:lvl>
  </w:abstractNum>
  <w:abstractNum w:abstractNumId="36">
    <w:nsid w:val="580BD78F"/>
    <w:multiLevelType w:val="hybridMultilevel"/>
    <w:lvl w:ilvl="0">
      <w:lvlJc w:val="left"/>
      <w:lvlText w:val="6"/>
      <w:numFmt w:val="bullet"/>
      <w:start w:val="1"/>
    </w:lvl>
  </w:abstractNum>
  <w:abstractNum w:abstractNumId="37">
    <w:nsid w:val="153EA438"/>
    <w:multiLevelType w:val="hybridMultilevel"/>
    <w:lvl w:ilvl="0">
      <w:lvlJc w:val="left"/>
      <w:lvlText w:val="7"/>
      <w:numFmt w:val="bullet"/>
      <w:start w:val="1"/>
    </w:lvl>
  </w:abstractNum>
  <w:abstractNum w:abstractNumId="38">
    <w:nsid w:val="3855585C"/>
    <w:multiLevelType w:val="hybridMultilevel"/>
    <w:lvl w:ilvl="0">
      <w:lvlJc w:val="left"/>
      <w:lvlText w:val="8"/>
      <w:numFmt w:val="bullet"/>
      <w:start w:val="1"/>
    </w:lvl>
  </w:abstractNum>
  <w:abstractNum w:abstractNumId="39">
    <w:nsid w:val="70A64E2A"/>
    <w:multiLevelType w:val="hybridMultilevel"/>
    <w:lvl w:ilvl="0">
      <w:lvlJc w:val="left"/>
      <w:lvlText w:val="9"/>
      <w:numFmt w:val="bullet"/>
      <w:start w:val="1"/>
    </w:lvl>
  </w:abstractNum>
  <w:abstractNum w:abstractNumId="40">
    <w:nsid w:val="6A2342EC"/>
    <w:multiLevelType w:val="hybridMultilevel"/>
    <w:lvl w:ilvl="0">
      <w:lvlJc w:val="left"/>
      <w:lvlText w:val="%1"/>
      <w:numFmt w:val="decimal"/>
      <w:start w:val="10"/>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jpeg"/><Relationship Id="rId112" Type="http://schemas.openxmlformats.org/officeDocument/2006/relationships/image" Target="media/image91.jpeg"/><Relationship Id="rId113" Type="http://schemas.openxmlformats.org/officeDocument/2006/relationships/image" Target="media/image92.png"/><Relationship Id="rId114" Type="http://schemas.openxmlformats.org/officeDocument/2006/relationships/image" Target="media/image93.jpeg"/><Relationship Id="rId115" Type="http://schemas.openxmlformats.org/officeDocument/2006/relationships/image" Target="media/image94.jpeg"/><Relationship Id="rId116" Type="http://schemas.openxmlformats.org/officeDocument/2006/relationships/image" Target="media/image95.png"/><Relationship Id="rId117" Type="http://schemas.openxmlformats.org/officeDocument/2006/relationships/image" Target="media/image96.png"/><Relationship Id="rId88" Type="http://schemas.openxmlformats.org/officeDocument/2006/relationships/hyperlink" Target="http://www.sec.gov/Archives/edgar/data/1448431/000136110608000414/optimizerx_s1-ex0301.htm" TargetMode="External"/><Relationship Id="rId89" Type="http://schemas.openxmlformats.org/officeDocument/2006/relationships/hyperlink" Target="http://www.sec.gov/Archives/edgar/data/1448431/000125529410000605/ex3_1.htm" TargetMode="External"/><Relationship Id="rId90" Type="http://schemas.openxmlformats.org/officeDocument/2006/relationships/hyperlink" Target="http://www.sec.gov/Archives/edgar/data/1448431/000136110608000414/optimizerx_s1-ex0401.htm" TargetMode="External"/><Relationship Id="rId91" Type="http://schemas.openxmlformats.org/officeDocument/2006/relationships/hyperlink" Target="http://www.sec.gov/Archives/edgar/data/1448431/000125529410000492/ex4_1.htm" TargetMode="External"/><Relationship Id="rId92" Type="http://schemas.openxmlformats.org/officeDocument/2006/relationships/hyperlink" Target="http://www.sec.gov/Archives/edgar/data/1448431/000121390016013077/f10q0316ex10i_optimizerx.htm" TargetMode="External"/><Relationship Id="rId93" Type="http://schemas.openxmlformats.org/officeDocument/2006/relationships/hyperlink" Target="http://www.sec.gov/Archives/edgar/data/1448431/000121390016012131/f8k032916ex10i_optimizerx.htm" TargetMode="External"/><Relationship Id="rId94" Type="http://schemas.openxmlformats.org/officeDocument/2006/relationships/hyperlink" Target="http://www.sec.gov/Archives/edgar/data/1448431/000121390018012576/f8k091218ex10-2_optimizerx.htm" TargetMode="External"/><Relationship Id="rId95" Type="http://schemas.openxmlformats.org/officeDocument/2006/relationships/hyperlink" Target="http://www.sec.gov/Archives/edgar/data/1448431/000121390018005414/f10q0318ex10-1_optimizerx.htm" TargetMode="External"/><Relationship Id="rId96" Type="http://schemas.openxmlformats.org/officeDocument/2006/relationships/hyperlink" Target="http://www.sec.gov/Archives/edgar/data/1448431/000121390018005414/f10q0318ex10-2_optimizerx.htm" TargetMode="External"/><Relationship Id="rId97" Type="http://schemas.openxmlformats.org/officeDocument/2006/relationships/hyperlink" Target="http://www.sec.gov/Archives/edgar/data/1448431/000121390018014013/f8k101718ex2-1_optimizerx.htm" TargetMode="External"/><Relationship Id="rId98" Type="http://schemas.openxmlformats.org/officeDocument/2006/relationships/hyperlink" Target="http://www.sec.gov/Archives/edgar/data/1448431/000121390019001955/f8k020719ex10-1_optimizerx.htm" TargetMode="External"/><Relationship Id="rId99" Type="http://schemas.openxmlformats.org/officeDocument/2006/relationships/hyperlink" Target="http://www.sec.gov/Archives/edgar/data/1448431/000121390019001955/f8k020719ex10-2_optimizerx.htm" TargetMode="External"/><Relationship Id="rId100" Type="http://schemas.openxmlformats.org/officeDocument/2006/relationships/hyperlink" Target="http://www.sec.gov/Archives/edgar/data/1448431/000121390019003159/f8k022519ex10-1_optimizerx.htm" TargetMode="External"/><Relationship Id="rId101" Type="http://schemas.openxmlformats.org/officeDocument/2006/relationships/hyperlink" Target="http://www.sec.gov/Archives/edgar/data/1448431/000121390018002722/f10k2017ex14-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2019-12-28T14:50:37Z</dcterms:created>
  <dcterms:modified xsi:type="dcterms:W3CDTF">2019-12-28T14:50:37Z</dcterms:modified>
</cp:coreProperties>
</file>