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8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80" w:type="dxa"/>
            <w:vAlign w:val="bottom"/>
          </w:tcPr>
          <w:p>
            <w:pPr>
              <w:spacing w:after="0"/>
              <w:rPr>
                <w:sz w:val="24"/>
                <w:szCs w:val="24"/>
                <w:color w:val="auto"/>
              </w:rPr>
            </w:pPr>
          </w:p>
        </w:tc>
      </w:tr>
      <w:tr>
        <w:trPr>
          <w:trHeight w:val="410"/>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7"/>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180" w:type="dxa"/>
            <w:vAlign w:val="bottom"/>
          </w:tcPr>
          <w:p>
            <w:pPr>
              <w:spacing w:after="0"/>
              <w:rPr>
                <w:sz w:val="24"/>
                <w:szCs w:val="24"/>
                <w:color w:val="auto"/>
              </w:rPr>
            </w:pPr>
          </w:p>
        </w:tc>
      </w:tr>
      <w:tr>
        <w:trPr>
          <w:trHeight w:val="238"/>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4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18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020" w:type="dxa"/>
            <w:vAlign w:val="bottom"/>
            <w:gridSpan w:val="9"/>
          </w:tcPr>
          <w:p>
            <w:pPr>
              <w:jc w:val="center"/>
              <w:ind w:left="50"/>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25, 2021</w:t>
            </w:r>
          </w:p>
        </w:tc>
        <w:tc>
          <w:tcPr>
            <w:tcW w:w="3180" w:type="dxa"/>
            <w:vAlign w:val="bottom"/>
          </w:tcPr>
          <w:p>
            <w:pPr>
              <w:spacing w:after="0"/>
              <w:rPr>
                <w:sz w:val="24"/>
                <w:szCs w:val="24"/>
                <w:color w:val="auto"/>
              </w:rPr>
            </w:pPr>
          </w:p>
        </w:tc>
      </w:tr>
      <w:tr>
        <w:trPr>
          <w:trHeight w:val="391"/>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40" w:type="dxa"/>
            <w:vAlign w:val="bottom"/>
            <w:gridSpan w:val="6"/>
          </w:tcPr>
          <w:p>
            <w:pPr>
              <w:jc w:val="center"/>
              <w:ind w:right="1540"/>
              <w:spacing w:after="0"/>
              <w:rPr>
                <w:sz w:val="20"/>
                <w:szCs w:val="20"/>
                <w:color w:val="auto"/>
              </w:rPr>
            </w:pPr>
            <w:r>
              <w:rPr>
                <w:rFonts w:ascii="Times New Roman" w:cs="Times New Roman" w:eastAsia="Times New Roman" w:hAnsi="Times New Roman"/>
                <w:sz w:val="18"/>
                <w:szCs w:val="18"/>
                <w:color w:val="auto"/>
              </w:rPr>
              <w:t>OptimizeRx Corporation</w:t>
            </w:r>
          </w:p>
        </w:tc>
        <w:tc>
          <w:tcPr>
            <w:tcW w:w="3180" w:type="dxa"/>
            <w:vAlign w:val="bottom"/>
          </w:tcPr>
          <w:p>
            <w:pPr>
              <w:spacing w:after="0"/>
              <w:rPr>
                <w:sz w:val="24"/>
                <w:szCs w:val="24"/>
                <w:color w:val="auto"/>
              </w:rPr>
            </w:pPr>
          </w:p>
        </w:tc>
      </w:tr>
      <w:tr>
        <w:trPr>
          <w:trHeight w:val="20"/>
        </w:trPr>
        <w:tc>
          <w:tcPr>
            <w:tcW w:w="3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37"/>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4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80" w:type="dxa"/>
            <w:vAlign w:val="bottom"/>
          </w:tcPr>
          <w:p>
            <w:pPr>
              <w:spacing w:after="0"/>
              <w:rPr>
                <w:sz w:val="20"/>
                <w:szCs w:val="20"/>
                <w:color w:val="auto"/>
              </w:rPr>
            </w:pPr>
          </w:p>
        </w:tc>
      </w:tr>
      <w:tr>
        <w:trPr>
          <w:trHeight w:val="453"/>
        </w:trPr>
        <w:tc>
          <w:tcPr>
            <w:tcW w:w="3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8"/>
              </w:rPr>
              <w:t>Nevada</w:t>
            </w:r>
          </w:p>
        </w:tc>
        <w:tc>
          <w:tcPr>
            <w:tcW w:w="3480" w:type="dxa"/>
            <w:vAlign w:val="bottom"/>
            <w:gridSpan w:val="6"/>
          </w:tcPr>
          <w:p>
            <w:pPr>
              <w:jc w:val="center"/>
              <w:ind w:left="1610"/>
              <w:spacing w:after="0"/>
              <w:rPr>
                <w:sz w:val="20"/>
                <w:szCs w:val="20"/>
                <w:color w:val="auto"/>
              </w:rPr>
            </w:pPr>
            <w:r>
              <w:rPr>
                <w:rFonts w:ascii="Times New Roman" w:cs="Times New Roman" w:eastAsia="Times New Roman" w:hAnsi="Times New Roman"/>
                <w:sz w:val="18"/>
                <w:szCs w:val="18"/>
                <w:color w:val="auto"/>
                <w:w w:val="99"/>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040" w:type="dxa"/>
            <w:vAlign w:val="bottom"/>
            <w:tcBorders>
              <w:top w:val="single" w:sz="8" w:color="auto"/>
            </w:tcBorders>
          </w:tcPr>
          <w:p>
            <w:pPr>
              <w:jc w:val="center"/>
              <w:ind w:left="49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incorporation)</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2"/>
        </w:trPr>
        <w:tc>
          <w:tcPr>
            <w:tcW w:w="8060" w:type="dxa"/>
            <w:vAlign w:val="bottom"/>
            <w:gridSpan w:val="10"/>
          </w:tcPr>
          <w:p>
            <w:pPr>
              <w:jc w:val="center"/>
              <w:ind w:right="2540"/>
              <w:spacing w:after="0"/>
              <w:rPr>
                <w:sz w:val="20"/>
                <w:szCs w:val="20"/>
                <w:color w:val="auto"/>
              </w:rPr>
            </w:pPr>
            <w:r>
              <w:rPr>
                <w:rFonts w:ascii="Times New Roman" w:cs="Times New Roman" w:eastAsia="Times New Roman" w:hAnsi="Times New Roman"/>
                <w:sz w:val="18"/>
                <w:szCs w:val="18"/>
                <w:color w:val="auto"/>
                <w:w w:val="98"/>
              </w:rPr>
              <w:t>400 Water Street, Suite 200, Rochester, MI</w:t>
            </w:r>
          </w:p>
        </w:tc>
        <w:tc>
          <w:tcPr>
            <w:tcW w:w="318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5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gridSpan w:val="3"/>
          </w:tcPr>
          <w:p>
            <w:pPr>
              <w:spacing w:after="0"/>
              <w:rPr>
                <w:sz w:val="20"/>
                <w:szCs w:val="20"/>
                <w:color w:val="auto"/>
              </w:rPr>
            </w:pPr>
          </w:p>
        </w:tc>
        <w:tc>
          <w:tcPr>
            <w:tcW w:w="3180" w:type="dxa"/>
            <w:vAlign w:val="bottom"/>
            <w:tcBorders>
              <w:top w:val="single" w:sz="8" w:color="auto"/>
            </w:tcBorders>
          </w:tcPr>
          <w:p>
            <w:pPr>
              <w:jc w:val="center"/>
              <w:ind w:right="22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291465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3"/>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0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ind w:right="430"/>
              <w:spacing w:after="0"/>
              <w:rPr>
                <w:sz w:val="20"/>
                <w:szCs w:val="20"/>
                <w:color w:val="auto"/>
              </w:rPr>
            </w:pPr>
            <w:r>
              <w:rPr>
                <w:rFonts w:ascii="Times New Roman" w:cs="Times New Roman" w:eastAsia="Times New Roman" w:hAnsi="Times New Roman"/>
                <w:sz w:val="18"/>
                <w:szCs w:val="18"/>
                <w:color w:val="auto"/>
                <w:w w:val="99"/>
              </w:rPr>
              <w:t>OPRX</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February 25, 2021, we issued a press release announcing our preliminary unaudited financial statements for the fourth quarter and for the year ended December 31, 2020. The press release is furnished with this Current Report on Form 8-K as Exhibit 99.1.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February 25, 2021</w:t>
        </w:r>
      </w:hyperlink>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2021</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168275</wp:posOffset>
            </wp:positionV>
            <wp:extent cx="189420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42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OptimizeRx Reports Q4 2020 Revenue Up 123% to Record $16.4 Million, Driving Net Income of $1.4 Million or $0.08 Per Share</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Mich. – February 24, 2021 – </w:t>
      </w:r>
      <w:r>
        <w:rPr>
          <w:rFonts w:ascii="Times New Roman" w:cs="Times New Roman" w:eastAsia="Times New Roman" w:hAnsi="Times New Roman"/>
          <w:sz w:val="18"/>
          <w:szCs w:val="18"/>
          <w:color w:val="auto"/>
        </w:rPr>
        <w:t>OptimizeRx Corp. (Nasdaq: OPRX), a leading provider of digital health solutions for life science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physicians and patients, reported results for the fourth quarter and full year ended December 31, 2020. Quarterly and full year comparisons are to the same year-ago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340" w:hanging="251"/>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fourth quarter of 2020 increased 123% to a record $16.4 million, with the full year of 2020 up 76% to a record $43.3 million.</w:t>
      </w:r>
    </w:p>
    <w:p>
      <w:pPr>
        <w:spacing w:after="0" w:line="225"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fourth quarter of 2020 increased 92% to $8.6 million.</w:t>
      </w:r>
    </w:p>
    <w:p>
      <w:pPr>
        <w:spacing w:after="0" w:line="225"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totaled $1.4 million or $0.08 per diluted share in the fourth quarter.</w:t>
      </w:r>
    </w:p>
    <w:p>
      <w:pPr>
        <w:spacing w:after="0" w:line="225" w:lineRule="exact"/>
        <w:rPr>
          <w:rFonts w:ascii="Times New Roman" w:cs="Times New Roman" w:eastAsia="Times New Roman" w:hAnsi="Times New Roman"/>
          <w:sz w:val="18"/>
          <w:szCs w:val="18"/>
          <w:color w:val="auto"/>
        </w:rPr>
      </w:pPr>
    </w:p>
    <w:p>
      <w:pPr>
        <w:ind w:left="340" w:right="980" w:hanging="251"/>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in the fourth quarter totaled $2.7 million or $0.16 per diluted share (see definition of this non-GAAP measure and reconciliation to GAAP, below).</w:t>
      </w:r>
    </w:p>
    <w:p>
      <w:pPr>
        <w:spacing w:after="0" w:line="161" w:lineRule="exact"/>
        <w:rPr>
          <w:rFonts w:ascii="Times New Roman" w:cs="Times New Roman" w:eastAsia="Times New Roman" w:hAnsi="Times New Roman"/>
          <w:sz w:val="18"/>
          <w:szCs w:val="18"/>
          <w:color w:val="auto"/>
        </w:rPr>
      </w:pPr>
    </w:p>
    <w:p>
      <w:pPr>
        <w:ind w:left="340" w:right="100" w:hanging="251"/>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totaled $10.5 million at December 31, 2020. Subsequent to the end of the fourth quarter, the company raised approximately $71 million in an equity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29" w:lineRule="exact"/>
        <w:rPr>
          <w:sz w:val="20"/>
          <w:szCs w:val="20"/>
          <w:color w:val="auto"/>
        </w:rPr>
      </w:pPr>
    </w:p>
    <w:p>
      <w:pPr>
        <w:ind w:left="340" w:hanging="251"/>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Finished the year with a pipeline of more than $180 million, with more than $50 million in enterprise deals.</w:t>
      </w:r>
    </w:p>
    <w:p>
      <w:pPr>
        <w:spacing w:after="0" w:line="225" w:lineRule="exact"/>
        <w:rPr>
          <w:rFonts w:ascii="Times New Roman" w:cs="Times New Roman" w:eastAsia="Times New Roman" w:hAnsi="Times New Roman"/>
          <w:sz w:val="18"/>
          <w:szCs w:val="18"/>
          <w:color w:val="auto"/>
        </w:rPr>
      </w:pPr>
    </w:p>
    <w:p>
      <w:pPr>
        <w:ind w:left="340" w:right="80" w:hanging="251"/>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the company’s point-of-care platform with launch of AI-powered real-world evidence solution, resulting in the accurate delivery of multiple messaging solutions to clinicians at critical points in a patient's care journey.</w:t>
      </w:r>
    </w:p>
    <w:p>
      <w:pPr>
        <w:spacing w:after="0" w:line="161"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Recognized by Deloitte as one of the top 500 fastest growing companies in North America.</w:t>
      </w:r>
    </w:p>
    <w:p>
      <w:pPr>
        <w:spacing w:after="0" w:line="225" w:lineRule="exact"/>
        <w:rPr>
          <w:rFonts w:ascii="Times New Roman" w:cs="Times New Roman" w:eastAsia="Times New Roman" w:hAnsi="Times New Roman"/>
          <w:sz w:val="18"/>
          <w:szCs w:val="18"/>
          <w:color w:val="auto"/>
        </w:rPr>
      </w:pPr>
    </w:p>
    <w:p>
      <w:pPr>
        <w:ind w:left="340" w:right="580" w:hanging="251"/>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virtual communications solutions, TelaRep™, was recognized as one of the most innovative solutions for life science companies by PM360 Magazine.</w:t>
      </w:r>
    </w:p>
    <w:p>
      <w:pPr>
        <w:spacing w:after="0" w:line="161" w:lineRule="exact"/>
        <w:rPr>
          <w:rFonts w:ascii="Times New Roman" w:cs="Times New Roman" w:eastAsia="Times New Roman" w:hAnsi="Times New Roman"/>
          <w:sz w:val="18"/>
          <w:szCs w:val="18"/>
          <w:color w:val="auto"/>
        </w:rPr>
      </w:pPr>
    </w:p>
    <w:p>
      <w:pPr>
        <w:ind w:left="340" w:hanging="251"/>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integration of previous acquisitions in patient engagement and enhanced the leadership and commercial team to accelerate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340" w:right="480" w:hanging="251"/>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direct-to-patient reach by partnering with Epion Health, a leader in digital patient engagement solutions, providing patients with direct access to savings programs sponsored by life science companies.</w:t>
      </w:r>
    </w:p>
    <w:p>
      <w:pPr>
        <w:spacing w:after="0" w:line="161" w:lineRule="exact"/>
        <w:rPr>
          <w:rFonts w:ascii="Times New Roman" w:cs="Times New Roman" w:eastAsia="Times New Roman" w:hAnsi="Times New Roman"/>
          <w:sz w:val="18"/>
          <w:szCs w:val="18"/>
          <w:color w:val="auto"/>
        </w:rPr>
      </w:pPr>
    </w:p>
    <w:p>
      <w:pPr>
        <w:ind w:left="340" w:right="480" w:hanging="251"/>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Joined forces with Komodo Health, a data-driven healthcare software company, to use automated intelligence to seamlessly deliver point-of-care messaging.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Q4 2020 Financial Summary</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Total revenue in the fourth quarter of 2020 increased 123% to a record $16.4 million versus $7.4 million in the same year-ago quarter. The quarterly increase was due to increases in sales in the company’s messaging and patient engagement solutions.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 decreased to 52.4% from 60.6% in the year-ago quarter, with the decrease related to a change in solution mix.</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Operating expenses totaled $7.2 million, up from $6.8 million in the same year-ago quarter. The increase was due to the company’s efforts to expand its solutions and build out its organization for future growth.</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income on a GAAP basis was $1.4 million or $0.08 per diluted share, as compared to a net loss of $2.0 million or $(0.14) per share in the fourth quarter of 2019.</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Non-GAAP net income was $2.7 million or $0.16 per diluted share, compared to non-GAAP net loss of $0.4 million or $(0.03) per share in the same year-ago period (see definition of this non-GAAP measure and reconciliation to GAAP, below).</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and cash equivalents totaled $10.5 million at December 31, 2020, as compared to $12.0 million at September 30, 2020. The decrease was primarily due to cash used for operating activities. In February 2021, the company raised approximately $71 million in a public equity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2020 Financial Summary</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Total revenue in 2020 increased 76% to a record $43.3 million from $24.6 million in 2019. The increase was due to a shift to enterprise contracts, engagement with additional pharmaceutical brands, greater distribution network and strong growth in the company’s messaging solutions. The company expects continued strong growth in 2021 resulting from the foundation it laid in 2019 and 2020.</w:t>
      </w:r>
    </w:p>
    <w:p>
      <w:pPr>
        <w:spacing w:after="0" w:line="176"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Gross margin decreased to 55.7% in 2020 as compared to 62.8% in 2019. The decrease was due to a shift in solution mix, including an increase in the company’s core messaging revenues which have higher revenue share percentages. The company expects gross margins in the range of 56% to 58% in 2021.</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440"/>
        <w:spacing w:after="0" w:line="282" w:lineRule="auto"/>
        <w:rPr>
          <w:sz w:val="20"/>
          <w:szCs w:val="20"/>
          <w:color w:val="auto"/>
        </w:rPr>
      </w:pPr>
      <w:r>
        <w:rPr>
          <w:rFonts w:ascii="Times New Roman" w:cs="Times New Roman" w:eastAsia="Times New Roman" w:hAnsi="Times New Roman"/>
          <w:sz w:val="18"/>
          <w:szCs w:val="18"/>
          <w:color w:val="auto"/>
        </w:rPr>
        <w:t>Operating expenses totaled $26.2 million, up from $19.1 million in 2019. The increase was largely due to scaling the company’s operations to support continued revenue growth, including additional staffing.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on a GAAP basis was $2.2 million or $(0.15) per share, improving from a net loss of $3.1 million or $(0.23) per share in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 was $3.2 million or $0.20 per diluted share, compared to non-GAAP net income of $0.9 million or $0.07 per share in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file its Form 10-K in the second week of March.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Q4, we more than doubled our top line and generated positive net income largely as the result of strong organic growth,” said OptimizeRx CEO, William Febbo. “Over the last year we have continued to shift our business model towards enterprise-level engagements with recurring revenue streams. Client renewal rates at the end of 2020 reached all-time highs, as we added 60 new brands to our platform.</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“These results also reflect how we have made great strides with innovation during the pandemic, and particularly with the introduction of TelaRep™, our new virtual communication solution. This cloud-based platform enables providers to reach the right pharma contact from within their EHR workflow and with just one click. TelaRep helps eliminate the communication gap created by today’s limited opportunities for face-to-face interaction, a growing challenge even before the pandemic.</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existing solutions on the platform, we are now leveraging real-world data to deliver real-time information at the point-of-care with our new AI-powered real-world evidence solution. The sophisticated proprietary algorithms that power this solution also enable us to derive additional revenue from our existing systems.</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“Of the $180 million in pipeline, we had about 46 enterprise engagements as we came into 2021 valued at more than $50 million -- a significant increase over this time last year. We believe our pipeline growth has been driven by a pandemic-accelerated, permanent shift to more digital enablement. For these potential engagements, we expect to realize our traditional annual closing rate of between 35% - 50% over the course of the next year.</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2021, we expect continued strong growth resulting from the solid foundation we’ve laid over the last two years. As we continue to invest in innovations and enhance the scalability of our technology and commercial teams, we believe we have the momentum, at least aspirationally, to reach a $100 million revenue run rate on just our core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recognized OptimizeRx as one of the top 500 fastest growing companies in North America, and we expect to remain on this list.”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OptimizeRx management will host the presentation, followed by a question-and-answer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Wednesday, February 24,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dial-in number: 1-800-437-2398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dial-in number: 1-323-289-6576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9166514</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replay of the call will be available after 7:30 p.m. Eastern time on the same day through March 17, 2021, as well as available for replay via the Investors section of the OptimizeRx website at www.optimizerx.com/investors.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Toll-free replay number: 1-844-512-2921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Replay ID: 9166514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Use of Non-GAAP Financial Measures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earnings release includes a presentation of non-GAAP net income (loss) and non-GAAP earnings (loss) per share or non-GAAP EPS, both of which are non-GAAP financial measures.</w:t>
      </w:r>
    </w:p>
    <w:p>
      <w:pPr>
        <w:spacing w:after="0" w:line="162"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The company defines non-GAAP net income (loss) as GAAP net income (loss) with an adjustment to add back depreciation, amortization, stock-based compensation, acquisition expenses, income or loss related to the fair value of contingent consideration, and deferred income taxes. Non-GAAP EPS is defined as non-GAAP net income (loss) divided by the number of weighted average shares outstanding on a basic and diluted basis. The company has provided non-GAAP financial measures to aid investors in better understanding its performance. Management believes that these non-GAAP financial measures provide additional insight into the operations and cashflow of the company.</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Because of varying available valuation methodologies, subjective assumptions and the variety of equity instruments that can impact a company’s non-cash operating expenses, management believes that providing non-GAAP financial measures that excludes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7" w:name="page8"/>
    <w:bookmarkEnd w:id="7"/>
    <w:p>
      <w:pPr>
        <w:ind w:right="120"/>
        <w:spacing w:after="0" w:line="277" w:lineRule="auto"/>
        <w:rPr>
          <w:sz w:val="20"/>
          <w:szCs w:val="20"/>
          <w:color w:val="auto"/>
        </w:rPr>
      </w:pPr>
      <w:r>
        <w:rPr>
          <w:rFonts w:ascii="Times New Roman" w:cs="Times New Roman" w:eastAsia="Times New Roman" w:hAnsi="Times New Roman"/>
          <w:sz w:val="17"/>
          <w:szCs w:val="17"/>
          <w:color w:val="auto"/>
        </w:rPr>
        <w:t>The company’s non-GAAP net income (loss) and non-GAAP EPS measures may not provide information that is directly comparable to that provided by other companies in the company’s industry, as other companies in the industry may calculate such non-GAAP financial results differently. The company’s non-GAAP net income (loss) and non-GAAP EPS are not measurements of financial performance under GAAP and should not be considered as an alternative to operating income or as an indication of operating performance or any other measure of performance derived in accordance with GAAP. The company does not consider these non-GAAP measures to be substitutes for or superior to the information provided by its GAAP financial results.</w:t>
      </w:r>
    </w:p>
    <w:p>
      <w:pPr>
        <w:spacing w:after="0" w:line="1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table, “Reconciliation of non-GAAP to GAAP Financial Measures,” included below, provides a reconciliation of non-GAAP net income (loss) and non-GAAP EPS for the three months and twelve months ended December 31, 2020 and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 Baker,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dbaker@optimizerx.com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(754) 245-7070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malejandra@optimizerx.com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Ron Both, CMA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(949) 432-7557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Contact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December 31,</w:t>
            </w: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10,516,776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18,852,680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17,885,705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7,418,025</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4,456,611</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871,043</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32,859,092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27,141,748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148,854</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176,014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14,740,031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14,740,031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Technology assets,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5,251,822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6,238,453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Patent rights,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2,349,570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2,550,587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 of use assets, net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445,974</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559,863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4,519,552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5,151,102</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12,859</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80,727</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27,319,808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29,320,763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60,327,754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56,638,525</w:t>
            </w:r>
          </w:p>
        </w:tc>
        <w:tc>
          <w:tcPr>
            <w:tcW w:w="80" w:type="dxa"/>
            <w:vAlign w:val="bottom"/>
          </w:tcPr>
          <w:p>
            <w:pPr>
              <w:spacing w:after="0"/>
              <w:rPr>
                <w:sz w:val="24"/>
                <w:szCs w:val="24"/>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 trade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618,250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492,995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2,420,361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1,800,635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 share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4,969,868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1,618,438</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123,220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115,431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purchase price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1,610,813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285,795</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580,014</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10,028,307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6,107,513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Non-current Liabilities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325,533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448,753</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Contingent purchase price payable, net of current portion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5,220,000</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325,533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5,668,753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10,353,840</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11,776,266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86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December 31, 2020</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2019</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86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15,223,340 and 14,609,579 shares issued and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at December 31, 2020 and 2019, respectively</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15,223</w:t>
            </w: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14,601</w:t>
            </w:r>
          </w:p>
        </w:tc>
        <w:tc>
          <w:tcPr>
            <w:tcW w:w="80" w:type="dxa"/>
            <w:vAlign w:val="bottom"/>
          </w:tcPr>
          <w:p>
            <w:pPr>
              <w:spacing w:after="0"/>
              <w:rPr>
                <w:sz w:val="20"/>
                <w:szCs w:val="20"/>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85,590,428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78,272,268</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(35,631,737)</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(33,424,610)</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49,973,914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44,862,259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60,327,754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56,638,525</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For the</w:t>
            </w:r>
          </w:p>
        </w:tc>
        <w:tc>
          <w:tcPr>
            <w:tcW w:w="100" w:type="dxa"/>
            <w:vAlign w:val="bottom"/>
          </w:tcPr>
          <w:p>
            <w:pPr>
              <w:spacing w:after="0"/>
              <w:rPr>
                <w:sz w:val="18"/>
                <w:szCs w:val="18"/>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For the</w:t>
            </w:r>
          </w:p>
        </w:tc>
        <w:tc>
          <w:tcPr>
            <w:tcW w:w="100" w:type="dxa"/>
            <w:vAlign w:val="bottom"/>
          </w:tcPr>
          <w:p>
            <w:pPr>
              <w:spacing w:after="0"/>
              <w:rPr>
                <w:sz w:val="18"/>
                <w:szCs w:val="18"/>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rPr>
              <w:t>For the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quarter ended</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rPr>
              <w:t>quarter ended</w:t>
            </w:r>
          </w:p>
        </w:tc>
        <w:tc>
          <w:tcPr>
            <w:tcW w:w="10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w w:val="99"/>
              </w:rPr>
              <w:t>year ended</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rPr>
              <w:t>For the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December 31,</w:t>
            </w: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8"/>
              </w:rPr>
              <w:t>December 31,</w:t>
            </w: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color w:val="auto"/>
                <w:w w:val="98"/>
              </w:rPr>
              <w:t>December 31,</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rPr>
              <w:t>year ended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2019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20"/>
                <w:szCs w:val="20"/>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98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16,426,301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7,379,782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43,313,323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24,598,274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7,822,280</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2,906,933</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19,207,902</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9,158,699</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8,604,021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4,472,849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24,105,421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15,439,575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781,221</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490,578</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3,172,840</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2,260,298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512,005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536,859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2,075,888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1,282,787</w:t>
            </w:r>
          </w:p>
        </w:tc>
        <w:tc>
          <w:tcPr>
            <w:tcW w:w="0" w:type="dxa"/>
            <w:vAlign w:val="bottom"/>
          </w:tcPr>
          <w:p>
            <w:pPr>
              <w:spacing w:after="0"/>
              <w:rPr>
                <w:sz w:val="1"/>
                <w:szCs w:val="1"/>
                <w:color w:val="auto"/>
              </w:rPr>
            </w:pPr>
          </w:p>
        </w:tc>
      </w:tr>
      <w:tr>
        <w:trPr>
          <w:trHeight w:val="237"/>
        </w:trPr>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5,954,327</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5,763,874</w:t>
            </w:r>
          </w:p>
        </w:tc>
        <w:tc>
          <w:tcPr>
            <w:tcW w:w="10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20,992,012</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15,590,054</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7,247,553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6,791,311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26,240,740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19,133,139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1,356,468</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(2,318,462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(2,135,319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(3,693,564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95,722</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68,582</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288,028</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(660,000)</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(140,390)</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(635,000)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Total other income (expense)</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698</w:t>
            </w:r>
          </w:p>
        </w:tc>
        <w:tc>
          <w:tcPr>
            <w:tcW w:w="2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(564,278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(71,808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(346,972</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(2,882,740)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(2,207,127)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(4,040,536)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897,960</w:t>
            </w:r>
          </w:p>
        </w:tc>
        <w:tc>
          <w:tcPr>
            <w:tcW w:w="10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897,960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1,357,166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(1,987,780</w:t>
            </w:r>
          </w:p>
        </w:tc>
        <w:tc>
          <w:tcPr>
            <w:tcW w:w="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(2,207,127</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(3,142,576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15,127,425</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14,548,910</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14,827,923</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13,387,863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16,311,904</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14,548,910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14,827,923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13,387,863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(0.14</w:t>
            </w:r>
            <w:r>
              <w:rPr>
                <w:rFonts w:ascii="Times New Roman" w:cs="Times New Roman" w:eastAsia="Times New Roman" w:hAnsi="Times New Roman"/>
                <w:sz w:val="29"/>
                <w:szCs w:val="29"/>
                <w:color w:val="auto"/>
                <w:vertAlign w:val="superscript"/>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(0.15</w:t>
            </w:r>
            <w:r>
              <w:rPr>
                <w:rFonts w:ascii="Times New Roman" w:cs="Times New Roman" w:eastAsia="Times New Roman" w:hAnsi="Times New Roman"/>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(0.23</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For the</w:t>
            </w:r>
          </w:p>
        </w:tc>
        <w:tc>
          <w:tcPr>
            <w:tcW w:w="120" w:type="dxa"/>
            <w:vAlign w:val="bottom"/>
          </w:tcPr>
          <w:p>
            <w:pPr>
              <w:spacing w:after="0"/>
              <w:rPr>
                <w:sz w:val="18"/>
                <w:szCs w:val="18"/>
                <w:color w:val="auto"/>
              </w:rPr>
            </w:pPr>
          </w:p>
        </w:tc>
        <w:tc>
          <w:tcPr>
            <w:tcW w:w="11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color w:val="auto"/>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year ended</w:t>
            </w:r>
          </w:p>
        </w:tc>
        <w:tc>
          <w:tcPr>
            <w:tcW w:w="120" w:type="dxa"/>
            <w:vAlign w:val="bottom"/>
          </w:tcPr>
          <w:p>
            <w:pPr>
              <w:spacing w:after="0"/>
              <w:rPr>
                <w:sz w:val="18"/>
                <w:szCs w:val="18"/>
                <w:color w:val="auto"/>
              </w:rPr>
            </w:pPr>
          </w:p>
        </w:tc>
        <w:tc>
          <w:tcPr>
            <w:tcW w:w="110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color w:val="auto"/>
                <w:w w:val="99"/>
              </w:rPr>
              <w:t>year 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color w:val="auto"/>
                <w:w w:val="98"/>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(2,207,127)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(3,142,576)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1,971,083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1,175,131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104,805</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107,656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bad debt reserve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3,172,840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2,260,298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(897,960)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140,390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(10,667,680)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(628,830)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(3,517,700)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125,255</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3,351,430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(290,178)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1,416,884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(432,075)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operating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(106,347)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(106,564)</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(294,219)</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(30,611)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(6,310,386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(1,660,796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(68,041)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(87,717)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intangible assets, including intellectual property rights</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(11,932)</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(44,752)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in acquisition, net of cash acquired</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(8,994,369)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(10,582,086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net of offering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21,303,826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2,488,394</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877,702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(4,389,187)</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(1,900,793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22,181,528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(8,335,904)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9,938,646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18,852,680</w:t>
            </w:r>
          </w:p>
        </w:tc>
        <w:tc>
          <w:tcPr>
            <w:tcW w:w="120" w:type="dxa"/>
            <w:vAlign w:val="bottom"/>
          </w:tcPr>
          <w:p>
            <w:pPr>
              <w:spacing w:after="0"/>
              <w:rPr>
                <w:sz w:val="19"/>
                <w:szCs w:val="19"/>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8,914,034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10,516,776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18,852,680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arising from right of use assets</w:t>
            </w:r>
          </w:p>
        </w:tc>
        <w:tc>
          <w:tcPr>
            <w:tcW w:w="12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207,559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Acquisition liabilities paid in stock</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1,6,557,548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Shares issued in connection with acquisitions</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5,107,793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Non-cash effect of cumulative adjustments to accumulated deficit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200" w:type="dxa"/>
            <w:vAlign w:val="bottom"/>
          </w:tcPr>
          <w:p>
            <w:pPr>
              <w:spacing w:after="0"/>
              <w:rPr>
                <w:sz w:val="19"/>
                <w:szCs w:val="19"/>
                <w:color w:val="auto"/>
              </w:rPr>
            </w:pPr>
          </w:p>
        </w:tc>
        <w:tc>
          <w:tcPr>
            <w:tcW w:w="234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0" w:type="dxa"/>
            <w:vAlign w:val="bottom"/>
          </w:tcPr>
          <w:p>
            <w:pPr>
              <w:spacing w:after="0"/>
              <w:rPr>
                <w:sz w:val="1"/>
                <w:szCs w:val="1"/>
                <w:color w:val="auto"/>
              </w:rPr>
            </w:pPr>
          </w:p>
        </w:tc>
      </w:tr>
      <w:tr>
        <w:trPr>
          <w:trHeight w:val="245"/>
        </w:trPr>
        <w:tc>
          <w:tcPr>
            <w:tcW w:w="5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200" w:type="dxa"/>
            <w:vAlign w:val="bottom"/>
          </w:tcPr>
          <w:p>
            <w:pPr>
              <w:spacing w:after="0"/>
              <w:rPr>
                <w:sz w:val="21"/>
                <w:szCs w:val="21"/>
                <w:color w:val="auto"/>
              </w:rPr>
            </w:pPr>
          </w:p>
        </w:tc>
        <w:tc>
          <w:tcPr>
            <w:tcW w:w="234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Ended December 31,</w:t>
            </w:r>
          </w:p>
        </w:tc>
        <w:tc>
          <w:tcPr>
            <w:tcW w:w="0" w:type="dxa"/>
            <w:vAlign w:val="bottom"/>
          </w:tcPr>
          <w:p>
            <w:pPr>
              <w:spacing w:after="0"/>
              <w:rPr>
                <w:sz w:val="1"/>
                <w:szCs w:val="1"/>
                <w:color w:val="auto"/>
              </w:rPr>
            </w:pPr>
          </w:p>
        </w:tc>
      </w:tr>
      <w:tr>
        <w:trPr>
          <w:trHeight w:val="236"/>
        </w:trPr>
        <w:tc>
          <w:tcPr>
            <w:tcW w:w="518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(1,984,780)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(2,207,127)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(3,142,576)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512,005</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536,859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2,075,888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1,282,787</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781,221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490,578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3,172,840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2,260,298</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799,623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799,623</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or loss related to the fair value of contingent consideration</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660,420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140,390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635,000</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(897,960)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(897,960)</w:t>
            </w:r>
          </w:p>
        </w:tc>
        <w:tc>
          <w:tcPr>
            <w:tcW w:w="0" w:type="dxa"/>
            <w:vAlign w:val="bottom"/>
          </w:tcPr>
          <w:p>
            <w:pPr>
              <w:spacing w:after="0"/>
              <w:rPr>
                <w:sz w:val="1"/>
                <w:szCs w:val="1"/>
                <w:color w:val="auto"/>
              </w:rPr>
            </w:pPr>
          </w:p>
        </w:tc>
      </w:tr>
      <w:tr>
        <w:trPr>
          <w:trHeight w:val="27"/>
        </w:trPr>
        <w:tc>
          <w:tcPr>
            <w:tcW w:w="5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vMerge w:val="continue"/>
            <w:shd w:val="clear" w:color="auto" w:fill="CCEEFF"/>
          </w:tcPr>
          <w:p>
            <w:pPr>
              <w:spacing w:after="0"/>
              <w:rPr>
                <w:sz w:val="21"/>
                <w:szCs w:val="21"/>
                <w:color w:val="auto"/>
              </w:rPr>
            </w:pPr>
          </w:p>
        </w:tc>
        <w:tc>
          <w:tcPr>
            <w:tcW w:w="10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2,650,392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(395,260</w:t>
            </w:r>
          </w:p>
        </w:tc>
        <w:tc>
          <w:tcPr>
            <w:tcW w:w="2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3,181,991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937,172</w:t>
            </w:r>
          </w:p>
        </w:tc>
        <w:tc>
          <w:tcPr>
            <w:tcW w:w="0" w:type="dxa"/>
            <w:vAlign w:val="bottom"/>
          </w:tcPr>
          <w:p>
            <w:pPr>
              <w:spacing w:after="0"/>
              <w:rPr>
                <w:sz w:val="1"/>
                <w:szCs w:val="1"/>
                <w:color w:val="auto"/>
              </w:rPr>
            </w:pPr>
          </w:p>
        </w:tc>
      </w:tr>
      <w:tr>
        <w:trPr>
          <w:trHeight w:val="21"/>
        </w:trPr>
        <w:tc>
          <w:tcPr>
            <w:tcW w:w="5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 per share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(0.03</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23"/>
        </w:trPr>
        <w:tc>
          <w:tcPr>
            <w:tcW w:w="5180" w:type="dxa"/>
            <w:vAlign w:val="bottom"/>
            <w:tcBorders>
              <w:top w:val="single" w:sz="8" w:color="CCEEFF"/>
              <w:bottom w:val="single" w:sz="8" w:color="CCEEFF"/>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15,127,425</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14,548,910</w:t>
            </w:r>
          </w:p>
        </w:tc>
        <w:tc>
          <w:tcPr>
            <w:tcW w:w="2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14,827,923</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13,387,863</w:t>
            </w:r>
          </w:p>
        </w:tc>
        <w:tc>
          <w:tcPr>
            <w:tcW w:w="0" w:type="dxa"/>
            <w:vAlign w:val="bottom"/>
          </w:tcPr>
          <w:p>
            <w:pPr>
              <w:spacing w:after="0"/>
              <w:rPr>
                <w:sz w:val="1"/>
                <w:szCs w:val="1"/>
                <w:color w:val="auto"/>
              </w:rPr>
            </w:pPr>
          </w:p>
        </w:tc>
      </w:tr>
      <w:tr>
        <w:trPr>
          <w:trHeight w:val="21"/>
        </w:trPr>
        <w:tc>
          <w:tcPr>
            <w:tcW w:w="518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16,311,904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14,548,910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15,640,050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14,339,005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8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2021-02-25T09:24:24Z</dcterms:created>
  <dcterms:modified xsi:type="dcterms:W3CDTF">2021-02-25T09:24:24Z</dcterms:modified>
</cp:coreProperties>
</file>