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280035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30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30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2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March 8, 2017</w:t>
            </w:r>
          </w:p>
        </w:tc>
        <w:tc>
          <w:tcPr>
            <w:tcW w:w="330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gridSpan w:val="3"/>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00" w:type="dxa"/>
            <w:vAlign w:val="bottom"/>
          </w:tcPr>
          <w:p>
            <w:pPr>
              <w:spacing w:after="0"/>
              <w:rPr>
                <w:sz w:val="20"/>
                <w:szCs w:val="20"/>
                <w:color w:val="auto"/>
              </w:rPr>
            </w:pPr>
          </w:p>
        </w:tc>
      </w:tr>
      <w:tr>
        <w:trPr>
          <w:trHeight w:val="453"/>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0"/>
              </w:rPr>
              <w:t>Nevada</w:t>
            </w:r>
          </w:p>
        </w:tc>
        <w:tc>
          <w:tcPr>
            <w:tcW w:w="3520" w:type="dxa"/>
            <w:vAlign w:val="bottom"/>
            <w:gridSpan w:val="6"/>
          </w:tcPr>
          <w:p>
            <w:pPr>
              <w:jc w:val="center"/>
              <w:ind w:left="16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100" w:type="dxa"/>
            <w:vAlign w:val="bottom"/>
            <w:tcBorders>
              <w:top w:val="single" w:sz="8" w:color="auto"/>
            </w:tcBorders>
          </w:tcPr>
          <w:p>
            <w:pPr>
              <w:jc w:val="center"/>
              <w:ind w:left="430"/>
              <w:spacing w:after="0" w:line="201"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5"/>
              </w:rPr>
              <w:t>of 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20" w:type="dxa"/>
            <w:vAlign w:val="bottom"/>
            <w:gridSpan w:val="10"/>
          </w:tcPr>
          <w:p>
            <w:pPr>
              <w:jc w:val="center"/>
              <w:ind w:right="2500"/>
              <w:spacing w:after="0"/>
              <w:rPr>
                <w:sz w:val="20"/>
                <w:szCs w:val="20"/>
                <w:color w:val="auto"/>
              </w:rPr>
            </w:pPr>
            <w:r>
              <w:rPr>
                <w:rFonts w:ascii="Arial" w:cs="Arial" w:eastAsia="Arial" w:hAnsi="Arial"/>
                <w:sz w:val="18"/>
                <w:szCs w:val="18"/>
                <w:color w:val="auto"/>
                <w:w w:val="90"/>
              </w:rPr>
              <w:t>400 Water Street, Suite 200, Rochester, MI</w:t>
            </w:r>
          </w:p>
        </w:tc>
        <w:tc>
          <w:tcPr>
            <w:tcW w:w="330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300" w:type="dxa"/>
            <w:vAlign w:val="bottom"/>
            <w:tcBorders>
              <w:top w:val="single" w:sz="8" w:color="auto"/>
            </w:tcBorders>
          </w:tcPr>
          <w:p>
            <w:pPr>
              <w:jc w:val="center"/>
              <w:ind w:right="22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289560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8, 2017, we issued a press release announcing the results of operations for the year ended December 31, 2016.</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8, 2017</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2017</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154940</wp:posOffset>
            </wp:positionV>
            <wp:extent cx="2787015"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70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 Reports Record Fourth Quarter and Full Year 2016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Drives Net Revenue Up 7% to $7.8 Million in 2016</w:t>
      </w:r>
    </w:p>
    <w:p>
      <w:pPr>
        <w:spacing w:after="0" w:line="22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Rochester, MI (March 8, 2017) </w:t>
      </w:r>
      <w:r>
        <w:rPr>
          <w:rFonts w:ascii="Arial" w:cs="Arial" w:eastAsia="Arial" w:hAnsi="Arial"/>
          <w:sz w:val="18"/>
          <w:szCs w:val="18"/>
          <w:color w:val="auto"/>
        </w:rPr>
        <w:t>OptimizeRx Corp. (OTCQB: OPRX), the leading aggregator of pharmaceutical-sponsored services in electronic health</w:t>
      </w:r>
      <w:r>
        <w:rPr>
          <w:rFonts w:ascii="Arial" w:cs="Arial" w:eastAsia="Arial" w:hAnsi="Arial"/>
          <w:sz w:val="18"/>
          <w:szCs w:val="18"/>
          <w:b w:val="1"/>
          <w:bCs w:val="1"/>
          <w:color w:val="auto"/>
        </w:rPr>
        <w:t xml:space="preserve"> </w:t>
      </w:r>
      <w:r>
        <w:rPr>
          <w:rFonts w:ascii="Arial" w:cs="Arial" w:eastAsia="Arial" w:hAnsi="Arial"/>
          <w:sz w:val="18"/>
          <w:szCs w:val="18"/>
          <w:color w:val="auto"/>
        </w:rPr>
        <w:t>record (EHR) platforms, reported results for the fourth quarter and full year ended December 31, 2016. All quarterly comparisons are to the same year-ago quarter.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2016 and Full Year 2016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was up 13% to a record $2.3 million in the fourth quarter and up 7% to $7.8 million for the full year of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messages, such as eCoupons, were distributed for 95 brands in 2016 versus 85 brands in 2015.</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Acquired all available messaging inventory in the Allscripts LogRx messaging platform for Q4 2016 and the full year of 2017, effectively providing OptimizeRx exclusive sales rights to the platform and the opportunity to substantially increase brand messaging revenue.</w:t>
      </w:r>
    </w:p>
    <w:p>
      <w:pPr>
        <w:spacing w:after="0" w:line="146" w:lineRule="exact"/>
        <w:rPr>
          <w:rFonts w:ascii="Arial" w:cs="Arial" w:eastAsia="Arial" w:hAnsi="Arial"/>
          <w:sz w:val="17"/>
          <w:szCs w:val="17"/>
          <w:color w:val="auto"/>
        </w:rPr>
      </w:pPr>
    </w:p>
    <w:p>
      <w:pPr>
        <w:ind w:left="660" w:right="10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Gross profit in the fourth quarter was $1.4 million or 62% of net revenue, up from $1.1 million or 54% of net revenue. The improvement was due to a favorable product mix shift to higher margin brand support and other partner revenue not subject to revenue share.</w:t>
      </w:r>
    </w:p>
    <w:p>
      <w:pPr>
        <w:spacing w:after="0" w:line="146" w:lineRule="exact"/>
        <w:rPr>
          <w:rFonts w:ascii="Arial" w:cs="Arial" w:eastAsia="Arial" w:hAnsi="Arial"/>
          <w:sz w:val="17"/>
          <w:szCs w:val="17"/>
          <w:color w:val="auto"/>
        </w:rPr>
      </w:pPr>
    </w:p>
    <w:p>
      <w:pPr>
        <w:jc w:val="both"/>
        <w:ind w:left="660" w:right="78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WPP, the largest marketing services company in the world, continued to integrate its pharmaceutical clients with OptimizeRx. As a result, OptimizeRx realized a significant increase in activity in Q4 2016 that was related to more than 25 brands. OptimizeRx expects its strategic relationship with WPP to help add additional manufacturers, brands and products to the OptimizeRx platform in 2017.</w:t>
      </w:r>
    </w:p>
    <w:p>
      <w:pPr>
        <w:spacing w:after="0" w:line="165"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new pharmaceutical manufacturers and brands for distribution through the company’s electronic health record (EHR) channel partners, including Allscripts, Practice Fusion, Care360, DrFirst and others.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independent research results demonstrating outstanding return on investment of up to 12:1 associated with the company’s pharmaceutical promotions of multiple pharmaceutical brands. The outstanding ROI differentiates OptimizeRx’s programs as one of the most effective digital strategies available to pharmaceutical firms.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Rebranded the company, including revamped website and marketing materials, to reflect its multiple services in and around point-of-care.</w:t>
      </w:r>
    </w:p>
    <w:p>
      <w:pPr>
        <w:spacing w:after="0" w:line="23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Doubled the company’s sales force from two to four in 2016 and added a fifth sales executive in January 2017 to accelerate revenue growth, brand expansion and new product sales.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OptimizeRx leadership and support teams during 2016, and established a strong base to position the company for accelerated growth in 2017 and beyond.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Q4 2016 Financial Summary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revenue in the fourth quarter of 2016 increased 13% to a record $2.3 million from $2.0 million in the same year-ago quarter. The increase was due to both increased distribution of pharmaceutical brands and expanded distribution channels.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in the fourth quarter of 2016 were $1.8 million, increasing from $1.5 million in the fourth quarter of 2015. The increase was primarily due to an increase in expenses related to growth initiatives, including investments in the company’s executive and sales team, as well as related marketing and travel. Since the fourth quarter of 2015, the company has appointed a new CEO, a senior VP of strategy and development, a SVP of marketing, two new VPs of sales, as well as additional support positions.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quarter was $353,000 or $(0.01) per basic share, improving from a net loss of $415,000 or $(0.01) per share in the fourth quarter of 2015.</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and cash equivalents totaled $7.0 million at December 31, 2016, as compared to $7.6 million at September 30, 2016. The company continued to operate debt-free.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 in 2016 increased 7% to a record $7.8 million versus $7.2 million in 2015.</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expenses increased to $5.9 million in 2016 as compared to $4.2 million in 2015. The increase was primarily due to the aforementioned growth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loss totaled $1.5 million or $(0.05) per share in 2016, as compared to a loss of $0.6 million or $(0.02) per share in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2016, our revenue was primarily driven by growth in our core product, which is financial messaging, such as eCoupons,” stated OptimizeRx CEO, William Febbo. “Our core product growth was attributed to our expanded point-of-prescribe EHR network that now includes more than 370 EHR's reaching more than 500,000 physicians. We also saw a considerable increase in brand messaging, as we had anticipated.”</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adding new brands and expanding our existing network, in 2017 we plan to intensively focus on growing both financial and brand messaging while working with our channel partners to increase utilization of our content with their respective networks of physicians.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signed an agreement in 2015 with Allscripts to become their exclusive provider of financial messaging and obtain access to their Touchworks EHR product, which is used primarily by large health systems. We expect financial messaging activity to commence within Touchworks, enabling us to reach more than 45,000 new physicians, this month and continue to ramp up throughout the year. We expect this launch to have a significant impact on our revenue growth in 2017 and beyond.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right="120"/>
        <w:spacing w:after="0" w:line="308" w:lineRule="auto"/>
        <w:rPr>
          <w:sz w:val="20"/>
          <w:szCs w:val="20"/>
          <w:color w:val="auto"/>
        </w:rPr>
      </w:pPr>
      <w:r>
        <w:rPr>
          <w:rFonts w:ascii="Arial" w:cs="Arial" w:eastAsia="Arial" w:hAnsi="Arial"/>
          <w:sz w:val="17"/>
          <w:szCs w:val="17"/>
          <w:color w:val="auto"/>
        </w:rPr>
        <w:t>“We are building a valuable platform with our increasingly broad reach into the physician community and our recently proven, very high ROIs generated for our pharma clients with our core products. 2017 is the year that this platform will accelerate value creation for our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a conference call today to discuss the fourth quarter of 2016,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March 8,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1-888-277-7060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1-913-312-0719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7160482</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29,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7160482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0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7,034,647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8,207,565</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3,060,396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2,847,450</w:t>
            </w: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70,623</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10,175,863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173,649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772,394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832,884</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351,804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340,470</w:t>
            </w: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1,129,247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11,478,759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12,314,280</w:t>
            </w:r>
          </w:p>
        </w:tc>
        <w:tc>
          <w:tcPr>
            <w:tcW w:w="0" w:type="dxa"/>
            <w:vAlign w:val="bottom"/>
          </w:tcPr>
          <w:p>
            <w:pPr>
              <w:spacing w:after="0"/>
              <w:rPr>
                <w:sz w:val="1"/>
                <w:szCs w:val="1"/>
                <w:color w:val="auto"/>
              </w:rPr>
            </w:pPr>
          </w:p>
        </w:tc>
      </w:tr>
      <w:tr>
        <w:trPr>
          <w:trHeight w:val="21"/>
        </w:trPr>
        <w:tc>
          <w:tcPr>
            <w:tcW w:w="8700" w:type="dxa"/>
            <w:vAlign w:val="bottom"/>
            <w:tcBorders>
              <w:top w:val="single" w:sz="8" w:color="CCEEFF"/>
              <w:bottom w:val="single" w:sz="8" w:color="CCEEFF"/>
            </w:tcBorders>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369,214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212,191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288,268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2,622,517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2,355,608</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386,581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227,002</w:t>
            </w:r>
          </w:p>
        </w:tc>
        <w:tc>
          <w:tcPr>
            <w:tcW w:w="0" w:type="dxa"/>
            <w:vAlign w:val="bottom"/>
          </w:tcPr>
          <w:p>
            <w:pPr>
              <w:spacing w:after="0"/>
              <w:rPr>
                <w:sz w:val="1"/>
                <w:szCs w:val="1"/>
                <w:color w:val="auto"/>
              </w:rPr>
            </w:pPr>
          </w:p>
        </w:tc>
      </w:tr>
      <w:tr>
        <w:trPr>
          <w:trHeight w:val="236"/>
        </w:trPr>
        <w:tc>
          <w:tcPr>
            <w:tcW w:w="8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3,666,580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stock, $.001 par value, 10,000,000 shares authorized, no issued and outstanding at December 31, 2016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$.001 par value, 500,000,000 shares authorized, 29,718,867 and 29,030,925 shares issued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outstanding at December 31, 2016 and 2015,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29,719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29,031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2,294,416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2,329,508</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33,747,137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32,185,499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1,132,148</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(28,259,093)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(26,719,890)</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7,812,179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8,942,496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11,478,759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12,314,280</w:t>
            </w:r>
          </w:p>
        </w:tc>
        <w:tc>
          <w:tcPr>
            <w:tcW w:w="0" w:type="dxa"/>
            <w:vAlign w:val="bottom"/>
          </w:tcPr>
          <w:p>
            <w:pPr>
              <w:spacing w:after="0"/>
              <w:rPr>
                <w:sz w:val="1"/>
                <w:szCs w:val="1"/>
                <w:color w:val="auto"/>
              </w:rPr>
            </w:pPr>
          </w:p>
        </w:tc>
      </w:tr>
      <w:tr>
        <w:trPr>
          <w:trHeight w:val="21"/>
        </w:trPr>
        <w:tc>
          <w:tcPr>
            <w:tcW w:w="8700" w:type="dxa"/>
            <w:vAlign w:val="bottom"/>
            <w:tcBorders>
              <w:top w:val="single" w:sz="8" w:color="CCEEFF"/>
              <w:bottom w:val="single" w:sz="8" w:color="CCEEFF"/>
            </w:tcBorders>
            <w:vMerge w:val="restart"/>
          </w:tcPr>
          <w:p>
            <w:pPr>
              <w:ind w:left="568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7,751,462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7,220,678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3,411,396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3,622,203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4,340,066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559,301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581,106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Lawsuit settlement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5,076,993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5,921,578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4,195,882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(1,581,512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(1,539,203)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(595,140)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(1,539,203</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(595,140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29,707,918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vMerge w:val="restart"/>
          </w:tcPr>
          <w:p>
            <w:pPr>
              <w:spacing w:after="0"/>
              <w:rPr>
                <w:sz w:val="20"/>
                <w:szCs w:val="20"/>
                <w:color w:val="auto"/>
              </w:rPr>
            </w:pPr>
            <w:r>
              <w:rPr>
                <w:rFonts w:ascii="Arial" w:cs="Arial" w:eastAsia="Arial" w:hAnsi="Arial"/>
                <w:sz w:val="18"/>
                <w:szCs w:val="18"/>
                <w:color w:val="auto"/>
                <w:w w:val="95"/>
              </w:rPr>
              <w:t>NET LOSS PER SHARE: BASIC (no separate per share amount shown for diluted because loss is antidilutive)</w:t>
            </w: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0" w:type="dxa"/>
            <w:vAlign w:val="bottom"/>
            <w:vMerge w:val="restart"/>
          </w:tcPr>
          <w:p>
            <w:pPr>
              <w:ind w:left="56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840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OptimizeRx’s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2019-12-07T09:52:27Z</dcterms:created>
  <dcterms:modified xsi:type="dcterms:W3CDTF">2019-12-07T09:52:27Z</dcterms:modified>
</cp:coreProperties>
</file>