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bdr w:val="single" w:sz="16" w:space="1" w:color="000000"/>
        </w:rPr>
      </w:pPr>
      <w:bookmarkStart w:id="0" w:name="ea178286-8k_optimizerx.htm"/>
      <w:bookmarkStart w:id="1" w:name="ksea1782868k_optimizerx"/>
      <w:bookmarkEnd w:id="0"/>
      <w:bookmarkEnd w:id="1"/>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30510__20"/>
      <w:bookmarkEnd w:id="2"/>
      <w:r>
        <w:rPr>
          <w:rFonts w:ascii="Times New Roman;Times;Serif" w:hAnsi="Times New Roman;Times;Serif"/>
          <w:b/>
          <w:i w:val="false"/>
          <w:caps w:val="false"/>
          <w:smallCaps w:val="false"/>
          <w:sz w:val="20"/>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May 10,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3"/>
      <w:bookmarkEnd w:id="4"/>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spacing w:before="0" w:after="0"/>
        <w:ind w:left="0" w:right="0" w:hanging="0"/>
        <w:rPr>
          <w:caps w:val="false"/>
          <w:smallCaps w:val="false"/>
        </w:rPr>
      </w:pPr>
      <w:r>
        <w:rPr>
          <w:caps w:val="false"/>
          <w:smallCaps w:val="false"/>
        </w:rPr>
        <w:t> </w:t>
      </w:r>
    </w:p>
    <w:tbl>
      <w:tblPr>
        <w:tblW w:w="6075" w:type="dxa"/>
        <w:jc w:val="left"/>
        <w:tblInd w:w="0" w:type="dxa"/>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shd w:fill="auto" w:val="clear"/>
            <w:vAlign w:val="center"/>
          </w:tcPr>
          <w:p>
            <w:pPr>
              <w:pStyle w:val="TableContents"/>
              <w:spacing w:before="0" w:after="283"/>
              <w:jc w:val="center"/>
              <w:rPr>
                <w:b/>
                <w:sz w:val="20"/>
              </w:rPr>
            </w:pPr>
            <w:bookmarkStart w:id="5" w:name="xdx_901_edei--EntityIncorporationStateCo"/>
            <w:bookmarkEnd w:id="5"/>
            <w:r>
              <w:rPr>
                <w:b/>
                <w:sz w:val="20"/>
              </w:rPr>
              <w:t>Nevada</w:t>
            </w:r>
          </w:p>
        </w:tc>
        <w:tc>
          <w:tcPr>
            <w:tcW w:w="60" w:type="dxa"/>
            <w:tcBorders/>
            <w:shd w:fill="auto" w:val="clear"/>
            <w:tcMar>
              <w:bottom w:w="0" w:type="dxa"/>
            </w:tcMar>
            <w:vAlign w:val="center"/>
          </w:tcPr>
          <w:p>
            <w:pPr>
              <w:pStyle w:val="TableContents"/>
              <w:spacing w:before="0" w:after="283"/>
              <w:jc w:val="center"/>
              <w:rPr/>
            </w:pPr>
            <w:r>
              <w:rPr/>
              <w:t> </w:t>
            </w:r>
          </w:p>
        </w:tc>
        <w:tc>
          <w:tcPr>
            <w:tcW w:w="2210" w:type="dxa"/>
            <w:tcBorders>
              <w:bottom w:val="single" w:sz="12" w:space="0" w:color="000000"/>
            </w:tcBorders>
            <w:shd w:fill="auto" w:val="clear"/>
            <w:vAlign w:val="center"/>
          </w:tcPr>
          <w:p>
            <w:pPr>
              <w:pStyle w:val="TableContents"/>
              <w:spacing w:before="0" w:after="283"/>
              <w:jc w:val="center"/>
              <w:rPr>
                <w:b/>
                <w:sz w:val="20"/>
              </w:rPr>
            </w:pPr>
            <w:bookmarkStart w:id="6" w:name="xdx_90F_edei--EntityFileNumber_c20230510"/>
            <w:bookmarkEnd w:id="6"/>
            <w:r>
              <w:rPr>
                <w:b/>
                <w:sz w:val="20"/>
              </w:rPr>
              <w:t>001-38543</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bottom w:val="single" w:sz="12" w:space="0" w:color="000000"/>
            </w:tcBorders>
            <w:shd w:fill="auto" w:val="clear"/>
            <w:vAlign w:val="center"/>
          </w:tcPr>
          <w:p>
            <w:pPr>
              <w:pStyle w:val="TableContents"/>
              <w:spacing w:before="0" w:after="283"/>
              <w:jc w:val="center"/>
              <w:rPr>
                <w:b/>
                <w:sz w:val="20"/>
              </w:rPr>
            </w:pPr>
            <w:bookmarkStart w:id="7" w:name="xdx_900_edei--EntityTaxIdentificationNum"/>
            <w:bookmarkEnd w:id="7"/>
            <w:r>
              <w:rPr>
                <w:b/>
                <w:sz w:val="20"/>
              </w:rPr>
              <w:t>26-1265381</w:t>
            </w:r>
          </w:p>
        </w:tc>
      </w:tr>
      <w:tr>
        <w:trPr/>
        <w:tc>
          <w:tcPr>
            <w:tcW w:w="2210" w:type="dxa"/>
            <w:tcBorders/>
            <w:shd w:fill="auto" w:val="clear"/>
            <w:tcMar>
              <w:bottom w:w="0" w:type="dxa"/>
            </w:tcMar>
            <w:vAlign w:val="center"/>
          </w:tcPr>
          <w:p>
            <w:pPr>
              <w:pStyle w:val="TableContents"/>
              <w:spacing w:before="0" w:after="283"/>
              <w:jc w:val="center"/>
              <w:rPr>
                <w:sz w:val="20"/>
              </w:rPr>
            </w:pPr>
            <w:r>
              <w:rPr>
                <w:sz w:val="20"/>
              </w:rPr>
              <w:t xml:space="preserve">(State or other jurisdiction </w:t>
              <w:br/>
              <w:t>of incorporation)</w:t>
            </w:r>
          </w:p>
        </w:tc>
        <w:tc>
          <w:tcPr>
            <w:tcW w:w="60" w:type="dxa"/>
            <w:tcBorders/>
            <w:shd w:fill="auto" w:val="clear"/>
            <w:tcMar>
              <w:bottom w:w="0" w:type="dxa"/>
            </w:tcMar>
            <w:vAlign w:val="center"/>
          </w:tcPr>
          <w:p>
            <w:pPr>
              <w:pStyle w:val="TableContents"/>
              <w:spacing w:before="0" w:after="283"/>
              <w:jc w:val="center"/>
              <w:rPr/>
            </w:pPr>
            <w:r>
              <w:rPr/>
              <w:t> </w:t>
            </w:r>
          </w:p>
        </w:tc>
        <w:tc>
          <w:tcPr>
            <w:tcW w:w="2210" w:type="dxa"/>
            <w:tcBorders/>
            <w:shd w:fill="auto" w:val="clear"/>
            <w:tcMar>
              <w:bottom w:w="0" w:type="dxa"/>
            </w:tcMar>
            <w:vAlign w:val="center"/>
          </w:tcPr>
          <w:p>
            <w:pPr>
              <w:pStyle w:val="TableContents"/>
              <w:spacing w:before="0" w:after="283"/>
              <w:jc w:val="center"/>
              <w:rPr>
                <w:sz w:val="20"/>
              </w:rPr>
            </w:pPr>
            <w:r>
              <w:rPr>
                <w:sz w:val="20"/>
              </w:rPr>
              <w:t>(Commission File Number)</w:t>
            </w:r>
          </w:p>
        </w:tc>
        <w:tc>
          <w:tcPr>
            <w:tcW w:w="60" w:type="dxa"/>
            <w:tcBorders/>
            <w:shd w:fill="auto" w:val="clear"/>
            <w:tcMar>
              <w:bottom w:w="0" w:type="dxa"/>
            </w:tcMar>
            <w:vAlign w:val="center"/>
          </w:tcPr>
          <w:p>
            <w:pPr>
              <w:pStyle w:val="TableContents"/>
              <w:spacing w:before="0" w:after="283"/>
              <w:jc w:val="center"/>
              <w:rPr/>
            </w:pPr>
            <w:r>
              <w:rPr/>
              <w:t> </w:t>
            </w:r>
          </w:p>
        </w:tc>
        <w:tc>
          <w:tcPr>
            <w:tcW w:w="1535" w:type="dxa"/>
            <w:tcBorders/>
            <w:shd w:fill="auto" w:val="clear"/>
            <w:tcMar>
              <w:bottom w:w="0" w:type="dxa"/>
            </w:tcMar>
            <w:vAlign w:val="center"/>
          </w:tcPr>
          <w:p>
            <w:pPr>
              <w:pStyle w:val="TableContents"/>
              <w:spacing w:before="0" w:after="283"/>
              <w:jc w:val="center"/>
              <w:rPr>
                <w:sz w:val="20"/>
              </w:rPr>
            </w:pPr>
            <w:r>
              <w:rPr>
                <w:sz w:val="20"/>
              </w:rPr>
              <w:t xml:space="preserve">(IRS Employer </w:t>
              <w:br/>
              <w:t>Identification No.)</w:t>
            </w:r>
          </w:p>
        </w:tc>
      </w:tr>
    </w:tbl>
    <w:p>
      <w:pPr>
        <w:pStyle w:val="TextBody"/>
        <w:spacing w:before="0" w:after="0"/>
        <w:ind w:left="0" w:right="0" w:hanging="0"/>
        <w:rPr>
          <w:caps w:val="false"/>
          <w:smallCaps w:val="false"/>
        </w:rPr>
      </w:pPr>
      <w:r>
        <w:rPr>
          <w:caps w:val="false"/>
          <w:smallCaps w:val="false"/>
        </w:rPr>
        <w:t> </w:t>
      </w:r>
    </w:p>
    <w:tbl>
      <w:tblPr>
        <w:tblW w:w="4600" w:type="dxa"/>
        <w:jc w:val="left"/>
        <w:tblInd w:w="0" w:type="dxa"/>
        <w:tblCellMar>
          <w:top w:w="0" w:type="dxa"/>
          <w:left w:w="0" w:type="dxa"/>
          <w:bottom w:w="28" w:type="dxa"/>
          <w:right w:w="0" w:type="dxa"/>
        </w:tblCellMar>
      </w:tblPr>
      <w:tblGrid>
        <w:gridCol w:w="3620"/>
        <w:gridCol w:w="60"/>
        <w:gridCol w:w="920"/>
      </w:tblGrid>
      <w:tr>
        <w:trPr/>
        <w:tc>
          <w:tcPr>
            <w:tcW w:w="3620" w:type="dxa"/>
            <w:tcBorders>
              <w:bottom w:val="single" w:sz="12" w:space="0" w:color="000000"/>
            </w:tcBorders>
            <w:shd w:fill="auto" w:val="clear"/>
            <w:vAlign w:val="center"/>
          </w:tcPr>
          <w:p>
            <w:pPr>
              <w:pStyle w:val="TableContents"/>
              <w:spacing w:before="0" w:after="283"/>
              <w:jc w:val="center"/>
              <w:rPr>
                <w:b/>
                <w:sz w:val="20"/>
              </w:rPr>
            </w:pPr>
            <w:bookmarkStart w:id="8" w:name="xdx_90B_edei--EntityAddressAddressLine1_"/>
            <w:bookmarkEnd w:id="8"/>
            <w:r>
              <w:rPr>
                <w:b/>
                <w:sz w:val="20"/>
              </w:rPr>
              <w:t xml:space="preserve">400 Water Street, </w:t>
            </w:r>
            <w:bookmarkStart w:id="9" w:name="xdx_90B_edei--EntityAddressAddressLine2_"/>
            <w:bookmarkEnd w:id="9"/>
            <w:r>
              <w:rPr>
                <w:b/>
                <w:sz w:val="20"/>
              </w:rPr>
              <w:t xml:space="preserve">Suite 200, </w:t>
            </w:r>
            <w:bookmarkStart w:id="10" w:name="xdx_909_edei--EntityAddressCityOrTown_c2"/>
            <w:bookmarkEnd w:id="10"/>
            <w:r>
              <w:rPr>
                <w:b/>
                <w:sz w:val="20"/>
              </w:rPr>
              <w:t xml:space="preserve">Rochester, </w:t>
            </w:r>
            <w:bookmarkStart w:id="11" w:name="xdx_901_edei--EntityAddressStateOrProvin"/>
            <w:bookmarkEnd w:id="11"/>
            <w:r>
              <w:rPr>
                <w:b/>
                <w:sz w:val="20"/>
              </w:rPr>
              <w:t>MI</w:t>
            </w:r>
          </w:p>
        </w:tc>
        <w:tc>
          <w:tcPr>
            <w:tcW w:w="60" w:type="dxa"/>
            <w:tcBorders/>
            <w:shd w:fill="auto" w:val="clear"/>
            <w:tcMar>
              <w:bottom w:w="0" w:type="dxa"/>
            </w:tcMar>
            <w:vAlign w:val="center"/>
          </w:tcPr>
          <w:p>
            <w:pPr>
              <w:pStyle w:val="TableContents"/>
              <w:spacing w:before="0" w:after="283"/>
              <w:jc w:val="center"/>
              <w:rPr/>
            </w:pPr>
            <w:r>
              <w:rPr/>
              <w:t> </w:t>
            </w:r>
          </w:p>
        </w:tc>
        <w:tc>
          <w:tcPr>
            <w:tcW w:w="920" w:type="dxa"/>
            <w:tcBorders>
              <w:bottom w:val="single" w:sz="12" w:space="0" w:color="000000"/>
            </w:tcBorders>
            <w:shd w:fill="auto" w:val="clear"/>
            <w:vAlign w:val="center"/>
          </w:tcPr>
          <w:p>
            <w:pPr>
              <w:pStyle w:val="TableContents"/>
              <w:spacing w:before="0" w:after="283"/>
              <w:jc w:val="center"/>
              <w:rPr>
                <w:b/>
                <w:sz w:val="20"/>
              </w:rPr>
            </w:pPr>
            <w:bookmarkStart w:id="12" w:name="xdx_90B_edei--EntityAddressPostalZipCode"/>
            <w:bookmarkEnd w:id="12"/>
            <w:r>
              <w:rPr>
                <w:b/>
                <w:sz w:val="20"/>
              </w:rPr>
              <w:t>48307</w:t>
            </w:r>
          </w:p>
        </w:tc>
      </w:tr>
      <w:tr>
        <w:trPr/>
        <w:tc>
          <w:tcPr>
            <w:tcW w:w="3620" w:type="dxa"/>
            <w:tcBorders/>
            <w:shd w:fill="auto" w:val="clear"/>
            <w:tcMar>
              <w:bottom w:w="0" w:type="dxa"/>
            </w:tcMar>
            <w:vAlign w:val="center"/>
          </w:tcPr>
          <w:p>
            <w:pPr>
              <w:pStyle w:val="TableContents"/>
              <w:spacing w:before="0" w:after="283"/>
              <w:jc w:val="center"/>
              <w:rPr>
                <w:sz w:val="20"/>
              </w:rPr>
            </w:pPr>
            <w:r>
              <w:rPr>
                <w:sz w:val="20"/>
              </w:rPr>
              <w:t>(Address of principal executive offices)</w:t>
            </w:r>
          </w:p>
        </w:tc>
        <w:tc>
          <w:tcPr>
            <w:tcW w:w="60" w:type="dxa"/>
            <w:tcBorders/>
            <w:shd w:fill="auto" w:val="clear"/>
            <w:tcMar>
              <w:bottom w:w="0" w:type="dxa"/>
            </w:tcMar>
            <w:vAlign w:val="center"/>
          </w:tcPr>
          <w:p>
            <w:pPr>
              <w:pStyle w:val="TableContents"/>
              <w:spacing w:before="0" w:after="283"/>
              <w:jc w:val="center"/>
              <w:rPr/>
            </w:pPr>
            <w:r>
              <w:rPr/>
              <w:t> </w:t>
            </w:r>
          </w:p>
        </w:tc>
        <w:tc>
          <w:tcPr>
            <w:tcW w:w="920" w:type="dxa"/>
            <w:tcBorders/>
            <w:shd w:fill="auto" w:val="clear"/>
            <w:tcMar>
              <w:bottom w:w="0" w:type="dxa"/>
            </w:tcMar>
            <w:vAlign w:val="center"/>
          </w:tcPr>
          <w:p>
            <w:pPr>
              <w:pStyle w:val="TableContents"/>
              <w:spacing w:before="0" w:after="283"/>
              <w:jc w:val="center"/>
              <w:rPr>
                <w:sz w:val="20"/>
              </w:rPr>
            </w:pPr>
            <w:r>
              <w:rPr>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7_edei--CityAreaCode_c20230510__20"/>
      <w:bookmarkEnd w:id="13"/>
      <w:r>
        <w:rPr>
          <w:rFonts w:ascii="Times New Roman;Times;Serif" w:hAnsi="Times New Roman;Times;Serif"/>
          <w:b/>
          <w:i w:val="false"/>
          <w:caps w:val="false"/>
          <w:smallCaps w:val="false"/>
          <w:sz w:val="20"/>
          <w:u w:val="single"/>
        </w:rPr>
        <w:t>248.</w:t>
      </w:r>
      <w:bookmarkStart w:id="14" w:name="xdx_90A_edei--LocalPhoneNumber_c20230510"/>
      <w:bookmarkEnd w:id="14"/>
      <w:r>
        <w:rPr>
          <w:rFonts w:ascii="Times New Roman;Times;Serif" w:hAnsi="Times New Roman;Times;Serif"/>
          <w:b/>
          <w:i w:val="false"/>
          <w:caps w:val="false"/>
          <w:smallCaps w:val="false"/>
          <w:sz w:val="20"/>
          <w:u w:val="single"/>
        </w:rPr>
        <w:t>651.6568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bookmarkStart w:id="15" w:name="xdx_90C_edei--WrittenCommunications_c202"/>
            <w:bookmarkEnd w:id="15"/>
            <w:r>
              <w:rPr/>
              <w:t>☐</w:t>
            </w:r>
          </w:p>
        </w:tc>
        <w:tc>
          <w:tcPr>
            <w:tcW w:w="9065" w:type="dxa"/>
            <w:tcBorders/>
            <w:shd w:fill="auto" w:val="clear"/>
            <w:vAlign w:val="center"/>
          </w:tcPr>
          <w:p>
            <w:pPr>
              <w:pStyle w:val="TableContents"/>
              <w:spacing w:before="0" w:after="283"/>
              <w:rPr>
                <w:sz w:val="20"/>
              </w:rPr>
            </w:pPr>
            <w:r>
              <w:rPr>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bookmarkStart w:id="16" w:name="xdx_901_edei--SolicitingMaterial_c202305"/>
            <w:bookmarkEnd w:id="16"/>
            <w:r>
              <w:rPr/>
              <w:t>☐</w:t>
            </w:r>
          </w:p>
        </w:tc>
        <w:tc>
          <w:tcPr>
            <w:tcW w:w="9065" w:type="dxa"/>
            <w:tcBorders/>
            <w:shd w:fill="auto" w:val="clear"/>
            <w:vAlign w:val="center"/>
          </w:tcPr>
          <w:p>
            <w:pPr>
              <w:pStyle w:val="TableContents"/>
              <w:spacing w:before="0" w:after="283"/>
              <w:rPr>
                <w:sz w:val="20"/>
              </w:rPr>
            </w:pPr>
            <w:r>
              <w:rPr>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bookmarkStart w:id="17" w:name="xdx_906_edei--PreCommencementTenderOffer"/>
            <w:bookmarkEnd w:id="17"/>
            <w:r>
              <w:rPr/>
              <w:t>☐</w:t>
            </w:r>
          </w:p>
        </w:tc>
        <w:tc>
          <w:tcPr>
            <w:tcW w:w="9065" w:type="dxa"/>
            <w:tcBorders/>
            <w:shd w:fill="auto" w:val="clear"/>
            <w:vAlign w:val="center"/>
          </w:tcPr>
          <w:p>
            <w:pPr>
              <w:pStyle w:val="TableContents"/>
              <w:spacing w:before="0" w:after="283"/>
              <w:rPr>
                <w:sz w:val="20"/>
              </w:rPr>
            </w:pPr>
            <w:r>
              <w:rPr>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283"/>
              <w:rPr/>
            </w:pPr>
            <w:r>
              <w:rPr/>
              <w:t> </w:t>
            </w:r>
          </w:p>
        </w:tc>
      </w:tr>
      <w:tr>
        <w:trPr/>
        <w:tc>
          <w:tcPr>
            <w:tcW w:w="245" w:type="dxa"/>
            <w:tcBorders/>
            <w:shd w:fill="auto" w:val="clear"/>
            <w:vAlign w:val="center"/>
          </w:tcPr>
          <w:p>
            <w:pPr>
              <w:pStyle w:val="TableContents"/>
              <w:spacing w:before="0" w:after="283"/>
              <w:rPr/>
            </w:pPr>
            <w:bookmarkStart w:id="18" w:name="xdx_904_edei--PreCommencementIssuerTende"/>
            <w:bookmarkEnd w:id="18"/>
            <w:r>
              <w:rPr/>
              <w:t>☐</w:t>
            </w:r>
          </w:p>
        </w:tc>
        <w:tc>
          <w:tcPr>
            <w:tcW w:w="9065" w:type="dxa"/>
            <w:tcBorders/>
            <w:shd w:fill="auto" w:val="clear"/>
            <w:vAlign w:val="center"/>
          </w:tcPr>
          <w:p>
            <w:pPr>
              <w:pStyle w:val="TableContents"/>
              <w:spacing w:before="0" w:after="283"/>
              <w:rPr>
                <w:sz w:val="20"/>
              </w:rPr>
            </w:pPr>
            <w:r>
              <w:rPr>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220" w:type="dxa"/>
        <w:jc w:val="left"/>
        <w:tblInd w:w="0" w:type="dxa"/>
        <w:tblCellMar>
          <w:top w:w="0" w:type="dxa"/>
          <w:left w:w="0" w:type="dxa"/>
          <w:bottom w:w="28" w:type="dxa"/>
          <w:right w:w="0" w:type="dxa"/>
        </w:tblCellMar>
      </w:tblPr>
      <w:tblGrid>
        <w:gridCol w:w="2780"/>
        <w:gridCol w:w="60"/>
        <w:gridCol w:w="1610"/>
        <w:gridCol w:w="60"/>
        <w:gridCol w:w="3710"/>
      </w:tblGrid>
      <w:tr>
        <w:trPr/>
        <w:tc>
          <w:tcPr>
            <w:tcW w:w="2780" w:type="dxa"/>
            <w:tcBorders>
              <w:bottom w:val="single" w:sz="12"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bottom w:val="single" w:sz="12"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710" w:type="dxa"/>
            <w:tcBorders>
              <w:bottom w:val="single" w:sz="12"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2780" w:type="dxa"/>
            <w:tcBorders/>
            <w:shd w:fill="CCEEFF" w:val="clear"/>
            <w:tcMar>
              <w:bottom w:w="0" w:type="dxa"/>
            </w:tcMar>
            <w:vAlign w:val="center"/>
          </w:tcPr>
          <w:p>
            <w:pPr>
              <w:pStyle w:val="TableContents"/>
              <w:spacing w:before="0" w:after="283"/>
              <w:jc w:val="center"/>
              <w:rPr>
                <w:sz w:val="20"/>
              </w:rPr>
            </w:pPr>
            <w:bookmarkStart w:id="19" w:name="xdx_90D_edei--Security12bTitle_c20230510"/>
            <w:bookmarkEnd w:id="19"/>
            <w:r>
              <w:rPr>
                <w:sz w:val="20"/>
              </w:rPr>
              <w:t>Common Stock, $0.001 Par Value</w:t>
            </w:r>
          </w:p>
        </w:tc>
        <w:tc>
          <w:tcPr>
            <w:tcW w:w="60" w:type="dxa"/>
            <w:tcBorders/>
            <w:shd w:fill="CCEEFF" w:val="clear"/>
            <w:tcMar>
              <w:bottom w:w="0" w:type="dxa"/>
            </w:tcMar>
            <w:vAlign w:val="center"/>
          </w:tcPr>
          <w:p>
            <w:pPr>
              <w:pStyle w:val="TableContents"/>
              <w:spacing w:before="0" w:after="283"/>
              <w:jc w:val="center"/>
              <w:rPr/>
            </w:pPr>
            <w:r>
              <w:rPr/>
              <w:t> </w:t>
            </w:r>
          </w:p>
        </w:tc>
        <w:tc>
          <w:tcPr>
            <w:tcW w:w="1610" w:type="dxa"/>
            <w:tcBorders/>
            <w:shd w:fill="CCEEFF" w:val="clear"/>
            <w:tcMar>
              <w:bottom w:w="0" w:type="dxa"/>
            </w:tcMar>
            <w:vAlign w:val="center"/>
          </w:tcPr>
          <w:p>
            <w:pPr>
              <w:pStyle w:val="TableContents"/>
              <w:spacing w:before="0" w:after="283"/>
              <w:jc w:val="center"/>
              <w:rPr>
                <w:sz w:val="20"/>
              </w:rPr>
            </w:pPr>
            <w:bookmarkStart w:id="20" w:name="xdx_90B_edei--TradingSymbol_c20230510__2"/>
            <w:bookmarkEnd w:id="20"/>
            <w:r>
              <w:rPr>
                <w:sz w:val="20"/>
              </w:rPr>
              <w:t>OPRX</w:t>
            </w:r>
          </w:p>
        </w:tc>
        <w:tc>
          <w:tcPr>
            <w:tcW w:w="60" w:type="dxa"/>
            <w:tcBorders/>
            <w:shd w:fill="CCEEFF" w:val="clear"/>
            <w:tcMar>
              <w:bottom w:w="0" w:type="dxa"/>
            </w:tcMar>
            <w:vAlign w:val="center"/>
          </w:tcPr>
          <w:p>
            <w:pPr>
              <w:pStyle w:val="TableContents"/>
              <w:spacing w:before="0" w:after="283"/>
              <w:jc w:val="center"/>
              <w:rPr/>
            </w:pPr>
            <w:r>
              <w:rPr/>
              <w:t> </w:t>
            </w:r>
          </w:p>
        </w:tc>
        <w:tc>
          <w:tcPr>
            <w:tcW w:w="3710" w:type="dxa"/>
            <w:tcBorders/>
            <w:shd w:fill="CCEEFF" w:val="clear"/>
            <w:tcMar>
              <w:bottom w:w="0" w:type="dxa"/>
            </w:tcMar>
            <w:vAlign w:val="center"/>
          </w:tcPr>
          <w:p>
            <w:pPr>
              <w:pStyle w:val="TableContents"/>
              <w:spacing w:before="0" w:after="283"/>
              <w:jc w:val="center"/>
              <w:rPr>
                <w:sz w:val="20"/>
              </w:rPr>
            </w:pPr>
            <w:r>
              <w:rPr>
                <w:sz w:val="20"/>
              </w:rPr>
              <w:t xml:space="preserve">The </w:t>
            </w:r>
            <w:bookmarkStart w:id="21" w:name="xdx_909_edei--SecurityExchangeName_c2023"/>
            <w:bookmarkEnd w:id="21"/>
            <w:r>
              <w:rPr>
                <w:sz w:val="20"/>
              </w:rPr>
              <w:t>Nasdaq Capital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2023, OptimizeRx Corporation issued a press release announcing its financial results for the first quarter ended March 31, 2023. A copy of the press release is furnished with this Current Report on Form 8-K as Exhibit 99.1 and is incorporated herein by reference.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tbl>
      <w:tblPr>
        <w:tblW w:w="7285" w:type="dxa"/>
        <w:jc w:val="left"/>
        <w:tblInd w:w="0" w:type="dxa"/>
        <w:tblCellMar>
          <w:top w:w="0" w:type="dxa"/>
          <w:left w:w="0" w:type="dxa"/>
          <w:bottom w:w="28" w:type="dxa"/>
          <w:right w:w="0" w:type="dxa"/>
        </w:tblCellMar>
      </w:tblPr>
      <w:tblGrid>
        <w:gridCol w:w="695"/>
        <w:gridCol w:w="60"/>
        <w:gridCol w:w="6530"/>
      </w:tblGrid>
      <w:tr>
        <w:trPr/>
        <w:tc>
          <w:tcPr>
            <w:tcW w:w="695" w:type="dxa"/>
            <w:tcBorders>
              <w:bottom w:val="single" w:sz="12" w:space="0" w:color="000000"/>
            </w:tcBorders>
            <w:shd w:fill="auto" w:val="clear"/>
            <w:vAlign w:val="center"/>
          </w:tcPr>
          <w:p>
            <w:pPr>
              <w:pStyle w:val="TableContents"/>
              <w:spacing w:before="0" w:after="283"/>
              <w:rPr>
                <w:sz w:val="20"/>
              </w:rPr>
            </w:pPr>
            <w:r>
              <w:rPr>
                <w:sz w:val="20"/>
              </w:rPr>
              <w:t xml:space="preserve">Exhibit </w:t>
              <w:br/>
              <w:t>Number</w:t>
            </w:r>
          </w:p>
        </w:tc>
        <w:tc>
          <w:tcPr>
            <w:tcW w:w="60" w:type="dxa"/>
            <w:tcBorders/>
            <w:shd w:fill="auto" w:val="clear"/>
            <w:tcMar>
              <w:bottom w:w="0" w:type="dxa"/>
            </w:tcMar>
            <w:vAlign w:val="center"/>
          </w:tcPr>
          <w:p>
            <w:pPr>
              <w:pStyle w:val="TableContents"/>
              <w:spacing w:before="0" w:after="283"/>
              <w:rPr/>
            </w:pPr>
            <w:r>
              <w:rPr/>
              <w:t> </w:t>
            </w:r>
          </w:p>
        </w:tc>
        <w:tc>
          <w:tcPr>
            <w:tcW w:w="6530" w:type="dxa"/>
            <w:tcBorders>
              <w:bottom w:val="single" w:sz="12" w:space="0" w:color="000000"/>
            </w:tcBorders>
            <w:shd w:fill="auto" w:val="clear"/>
            <w:vAlign w:val="center"/>
          </w:tcPr>
          <w:p>
            <w:pPr>
              <w:pStyle w:val="TableContents"/>
              <w:spacing w:before="0" w:after="283"/>
              <w:rPr>
                <w:sz w:val="20"/>
              </w:rPr>
            </w:pPr>
            <w:r>
              <w:rPr>
                <w:sz w:val="20"/>
              </w:rPr>
              <w:t>Description</w:t>
            </w:r>
          </w:p>
        </w:tc>
      </w:tr>
      <w:tr>
        <w:trPr/>
        <w:tc>
          <w:tcPr>
            <w:tcW w:w="695" w:type="dxa"/>
            <w:tcBorders/>
            <w:shd w:fill="CCEEFF" w:val="clear"/>
            <w:tcMar>
              <w:bottom w:w="0" w:type="dxa"/>
            </w:tcMar>
            <w:vAlign w:val="center"/>
          </w:tcPr>
          <w:p>
            <w:pPr>
              <w:pStyle w:val="TableContents"/>
              <w:spacing w:before="0" w:after="283"/>
              <w:rPr>
                <w:sz w:val="20"/>
              </w:rPr>
            </w:pPr>
            <w:r>
              <w:rPr>
                <w:sz w:val="20"/>
              </w:rPr>
              <w:t>99.1</w:t>
            </w:r>
          </w:p>
        </w:tc>
        <w:tc>
          <w:tcPr>
            <w:tcW w:w="60" w:type="dxa"/>
            <w:tcBorders/>
            <w:shd w:fill="CCEEFF" w:val="clear"/>
            <w:tcMar>
              <w:bottom w:w="0" w:type="dxa"/>
            </w:tcMar>
            <w:vAlign w:val="center"/>
          </w:tcPr>
          <w:p>
            <w:pPr>
              <w:pStyle w:val="TableContents"/>
              <w:spacing w:before="0" w:after="283"/>
              <w:rPr/>
            </w:pPr>
            <w:r>
              <w:rPr/>
              <w:t> </w:t>
            </w:r>
          </w:p>
        </w:tc>
        <w:tc>
          <w:tcPr>
            <w:tcW w:w="6530" w:type="dxa"/>
            <w:tcBorders/>
            <w:shd w:fill="CCEEFF" w:val="clear"/>
            <w:tcMar>
              <w:bottom w:w="0" w:type="dxa"/>
            </w:tcMar>
            <w:vAlign w:val="center"/>
          </w:tcPr>
          <w:p>
            <w:pPr>
              <w:pStyle w:val="TableContents"/>
              <w:spacing w:before="0" w:after="283"/>
              <w:rPr/>
            </w:pPr>
            <w:hyperlink w:anchor="ea178286ex99-1_optimizerx.htm">
              <w:r>
                <w:rPr>
                  <w:rStyle w:val="InternetLink"/>
                  <w:sz w:val="20"/>
                </w:rPr>
                <w:t>Press Release, dated May 10, 2023</w:t>
              </w:r>
            </w:hyperlink>
          </w:p>
        </w:tc>
      </w:tr>
      <w:tr>
        <w:trPr/>
        <w:tc>
          <w:tcPr>
            <w:tcW w:w="695" w:type="dxa"/>
            <w:tcBorders/>
            <w:shd w:fill="FFFFFF" w:val="clear"/>
            <w:tcMar>
              <w:bottom w:w="0" w:type="dxa"/>
            </w:tcMar>
            <w:vAlign w:val="center"/>
          </w:tcPr>
          <w:p>
            <w:pPr>
              <w:pStyle w:val="TableContents"/>
              <w:spacing w:before="0" w:after="283"/>
              <w:rPr>
                <w:sz w:val="20"/>
              </w:rPr>
            </w:pPr>
            <w:r>
              <w:rPr>
                <w:sz w:val="20"/>
              </w:rPr>
              <w:t>104</w:t>
            </w:r>
          </w:p>
        </w:tc>
        <w:tc>
          <w:tcPr>
            <w:tcW w:w="60" w:type="dxa"/>
            <w:tcBorders/>
            <w:shd w:fill="FFFFFF" w:val="clear"/>
            <w:tcMar>
              <w:bottom w:w="0" w:type="dxa"/>
            </w:tcMar>
            <w:vAlign w:val="center"/>
          </w:tcPr>
          <w:p>
            <w:pPr>
              <w:pStyle w:val="TableContents"/>
              <w:spacing w:before="0" w:after="283"/>
              <w:rPr/>
            </w:pPr>
            <w:r>
              <w:rPr/>
              <w:t> </w:t>
            </w:r>
          </w:p>
        </w:tc>
        <w:tc>
          <w:tcPr>
            <w:tcW w:w="6530" w:type="dxa"/>
            <w:tcBorders/>
            <w:shd w:fill="FFFFFF" w:val="clear"/>
            <w:tcMar>
              <w:bottom w:w="0" w:type="dxa"/>
            </w:tcMar>
            <w:vAlign w:val="center"/>
          </w:tcPr>
          <w:p>
            <w:pPr>
              <w:pStyle w:val="TableContents"/>
              <w:spacing w:before="0" w:after="283"/>
              <w:rPr>
                <w:sz w:val="20"/>
              </w:rPr>
            </w:pPr>
            <w:r>
              <w:rPr>
                <w:sz w:val="20"/>
              </w:rPr>
              <w:t>Cover Page Interactive Data File (embedded within the Inline XBRL document).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20"/>
        <w:jc w:val="both"/>
        <w:rPr>
          <w:caps w:val="false"/>
          <w:smallCaps w:val="false"/>
        </w:rPr>
      </w:pPr>
      <w:r>
        <w:rPr>
          <w:caps w:val="false"/>
          <w:smallCaps w:val="false"/>
        </w:rPr>
        <w:t> </w:t>
      </w:r>
    </w:p>
    <w:tbl>
      <w:tblPr>
        <w:tblW w:w="4464" w:type="dxa"/>
        <w:jc w:val="left"/>
        <w:tblInd w:w="0" w:type="dxa"/>
        <w:tblCellMar>
          <w:top w:w="0" w:type="dxa"/>
          <w:left w:w="0" w:type="dxa"/>
          <w:bottom w:w="0" w:type="dxa"/>
          <w:right w:w="0" w:type="dxa"/>
        </w:tblCellMar>
      </w:tblPr>
      <w:tblGrid>
        <w:gridCol w:w="1655"/>
        <w:gridCol w:w="705"/>
        <w:gridCol w:w="2104"/>
      </w:tblGrid>
      <w:tr>
        <w:trPr/>
        <w:tc>
          <w:tcPr>
            <w:tcW w:w="1655" w:type="dxa"/>
            <w:tcBorders/>
            <w:shd w:fill="auto" w:val="clear"/>
            <w:vAlign w:val="center"/>
          </w:tcPr>
          <w:p>
            <w:pPr>
              <w:pStyle w:val="TableContents"/>
              <w:spacing w:before="0" w:after="283"/>
              <w:rPr/>
            </w:pPr>
            <w:r>
              <w:rPr/>
              <w:t> </w:t>
            </w:r>
          </w:p>
        </w:tc>
        <w:tc>
          <w:tcPr>
            <w:tcW w:w="2809" w:type="dxa"/>
            <w:gridSpan w:val="2"/>
            <w:tcBorders/>
            <w:shd w:fill="auto" w:val="clear"/>
            <w:vAlign w:val="center"/>
          </w:tcPr>
          <w:p>
            <w:pPr>
              <w:pStyle w:val="TableContents"/>
              <w:spacing w:before="0" w:after="283"/>
              <w:rPr>
                <w:b/>
                <w:sz w:val="20"/>
              </w:rPr>
            </w:pPr>
            <w:r>
              <w:rPr>
                <w:b/>
                <w:sz w:val="20"/>
              </w:rPr>
              <w:t>OPTIMIZERX CORPORATION</w:t>
            </w:r>
          </w:p>
        </w:tc>
      </w:tr>
      <w:tr>
        <w:trPr/>
        <w:tc>
          <w:tcPr>
            <w:tcW w:w="1655"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rPr/>
            </w:pPr>
            <w:r>
              <w:rPr/>
              <w:t> </w:t>
            </w:r>
          </w:p>
        </w:tc>
        <w:tc>
          <w:tcPr>
            <w:tcW w:w="2104" w:type="dxa"/>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sz w:val="20"/>
              </w:rPr>
            </w:pPr>
            <w:r>
              <w:rPr>
                <w:sz w:val="20"/>
              </w:rPr>
              <w:t>Date: May 10, 2023</w:t>
            </w:r>
          </w:p>
        </w:tc>
        <w:tc>
          <w:tcPr>
            <w:tcW w:w="705" w:type="dxa"/>
            <w:tcBorders/>
            <w:shd w:fill="auto" w:val="clear"/>
            <w:vAlign w:val="center"/>
          </w:tcPr>
          <w:p>
            <w:pPr>
              <w:pStyle w:val="TableContents"/>
              <w:spacing w:before="0" w:after="283"/>
              <w:rPr>
                <w:sz w:val="20"/>
              </w:rPr>
            </w:pPr>
            <w:r>
              <w:rPr>
                <w:sz w:val="20"/>
              </w:rPr>
              <w:t xml:space="preserve">By: </w:t>
            </w:r>
          </w:p>
        </w:tc>
        <w:tc>
          <w:tcPr>
            <w:tcW w:w="2104"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Edward Stelmakh</w:t>
            </w:r>
          </w:p>
        </w:tc>
      </w:tr>
      <w:tr>
        <w:trPr/>
        <w:tc>
          <w:tcPr>
            <w:tcW w:w="1655" w:type="dxa"/>
            <w:tcBorders/>
            <w:shd w:fill="auto" w:val="clear"/>
            <w:vAlign w:val="center"/>
          </w:tcPr>
          <w:p>
            <w:pPr>
              <w:pStyle w:val="TableContents"/>
              <w:spacing w:before="0" w:after="283"/>
              <w:jc w:val="both"/>
              <w:rPr/>
            </w:pPr>
            <w:r>
              <w:rPr/>
              <w:t> </w:t>
            </w:r>
          </w:p>
        </w:tc>
        <w:tc>
          <w:tcPr>
            <w:tcW w:w="705" w:type="dxa"/>
            <w:tcBorders/>
            <w:shd w:fill="auto" w:val="clear"/>
            <w:vAlign w:val="center"/>
          </w:tcPr>
          <w:p>
            <w:pPr>
              <w:pStyle w:val="TableContents"/>
              <w:spacing w:before="0" w:after="283"/>
              <w:jc w:val="both"/>
              <w:rPr>
                <w:sz w:val="20"/>
              </w:rPr>
            </w:pPr>
            <w:r>
              <w:rPr>
                <w:sz w:val="20"/>
              </w:rPr>
              <w:t xml:space="preserve">Name:  </w:t>
            </w:r>
          </w:p>
        </w:tc>
        <w:tc>
          <w:tcPr>
            <w:tcW w:w="2104" w:type="dxa"/>
            <w:tcBorders/>
            <w:shd w:fill="auto" w:val="clear"/>
            <w:vAlign w:val="center"/>
          </w:tcPr>
          <w:p>
            <w:pPr>
              <w:pStyle w:val="TableContents"/>
              <w:spacing w:before="0" w:after="283"/>
              <w:jc w:val="both"/>
              <w:rPr>
                <w:sz w:val="20"/>
              </w:rPr>
            </w:pPr>
            <w:r>
              <w:rPr>
                <w:sz w:val="20"/>
              </w:rPr>
              <w:t>Edward Stelmakh</w:t>
            </w:r>
          </w:p>
        </w:tc>
      </w:tr>
      <w:tr>
        <w:trPr/>
        <w:tc>
          <w:tcPr>
            <w:tcW w:w="1655" w:type="dxa"/>
            <w:tcBorders/>
            <w:shd w:fill="auto" w:val="clear"/>
            <w:vAlign w:val="center"/>
          </w:tcPr>
          <w:p>
            <w:pPr>
              <w:pStyle w:val="TableContents"/>
              <w:spacing w:before="0" w:after="283"/>
              <w:rPr/>
            </w:pPr>
            <w:r>
              <w:rPr/>
              <w:t> </w:t>
            </w:r>
          </w:p>
        </w:tc>
        <w:tc>
          <w:tcPr>
            <w:tcW w:w="705" w:type="dxa"/>
            <w:tcBorders/>
            <w:shd w:fill="auto" w:val="clear"/>
            <w:vAlign w:val="center"/>
          </w:tcPr>
          <w:p>
            <w:pPr>
              <w:pStyle w:val="TableContents"/>
              <w:spacing w:before="0" w:after="283"/>
              <w:rPr>
                <w:sz w:val="20"/>
              </w:rPr>
            </w:pPr>
            <w:r>
              <w:rPr>
                <w:sz w:val="20"/>
              </w:rPr>
              <w:t xml:space="preserve">Title: </w:t>
            </w:r>
          </w:p>
        </w:tc>
        <w:tc>
          <w:tcPr>
            <w:tcW w:w="2104" w:type="dxa"/>
            <w:tcBorders/>
            <w:shd w:fill="auto" w:val="clear"/>
            <w:vAlign w:val="center"/>
          </w:tcPr>
          <w:p>
            <w:pPr>
              <w:pStyle w:val="TableContents"/>
              <w:spacing w:before="0" w:after="283"/>
              <w:rPr>
                <w:sz w:val="20"/>
              </w:rPr>
            </w:pPr>
            <w:r>
              <w:rPr>
                <w:sz w:val="20"/>
              </w:rPr>
              <w:t>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rPr>
          <w:bdr w:val="single" w:sz="12" w:space="1" w:color="000000"/>
        </w:rPr>
      </w:pPr>
      <w:r>
        <w:rPr>
          <w:bdr w:val="single" w:sz="12" w:space="1" w:color="000000"/>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3" w:name="ea178286ex99-1_optimizerx.htm"/>
      <w:bookmarkStart w:id="24" w:name="ksea178286ex991_optimizerx"/>
      <w:bookmarkEnd w:id="23"/>
      <w:bookmarkEnd w:id="24"/>
      <w:r>
        <w:rPr>
          <w:rFonts w:ascii="Times New Roman;Times;Serif" w:hAnsi="Times New Roman;Times;Serif"/>
          <w:b/>
          <w:i w:val="false"/>
          <w:caps w:val="false"/>
          <w:smallCaps w:val="false"/>
          <w:sz w:val="20"/>
        </w:rPr>
        <w:t>Exhibit 99.1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29051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05125" cy="523875"/>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OptimizeRx Reports First Quarter 2023 Financial Results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Total revenue of $13.0 million</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GAAP net loss per share of $(0.37)</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Non-GAAP net loss per share of $(0.09)</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highlight w:val="white"/>
        </w:rPr>
        <w:t>ROCHESTER,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Mich. – May 10, 2023 </w:t>
      </w:r>
      <w:r>
        <w:rPr>
          <w:rFonts w:ascii="Times New Roman;Times;Serif" w:hAnsi="Times New Roman;Times;Serif"/>
          <w:b/>
          <w:i w:val="false"/>
          <w:caps w:val="false"/>
          <w:smallCaps w:val="false"/>
          <w:sz w:val="20"/>
          <w:highlight w:val="white"/>
        </w:rPr>
        <w:t>–</w:t>
      </w:r>
      <w:r>
        <w:rPr>
          <w:rFonts w:ascii="Times New Roman;Times;Serif" w:hAnsi="Times New Roman;Times;Serif"/>
          <w:b w:val="false"/>
          <w:i w:val="false"/>
          <w:caps w:val="false"/>
          <w:smallCaps w:val="false"/>
          <w:sz w:val="20"/>
          <w:highlight w:val="white"/>
        </w:rPr>
        <w:t xml:space="preserve"> OptimizeRx Corp. (the “Company”) (Nasdaq: OPRX), a leading provider of point-of-care technology solutions helping patients start and stay on therapy, reported results for the three months ended March 31, 2023. Quarterly comparisons are to the same year-ago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highlight w:val="white"/>
        </w:rPr>
      </w:pPr>
      <w:r>
        <w:rPr>
          <w:rFonts w:ascii="Times New Roman;Times;Serif" w:hAnsi="Times New Roman;Times;Serif"/>
          <w:b/>
          <w:i w:val="false"/>
          <w:caps w:val="false"/>
          <w:smallCaps w:val="false"/>
          <w:sz w:val="20"/>
          <w:highlight w:val="white"/>
        </w:rPr>
        <w:t>Financial Highlights</w:t>
      </w:r>
    </w:p>
    <w:p>
      <w:pPr>
        <w:pStyle w:val="TextBody"/>
        <w:rPr/>
      </w:pPr>
      <w:r>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Revenue in the first quarter of 2023 decreased 5% to $13.0 million, as compared to $13.7 million in the same year ago period.</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Gross profit in the first quarter of 2023 decreased 8% year-over-year to $7.4 million, from $8.1 million during the first quarter of 2022.</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GAAP net loss totaled $(6.4) million or $(0.37) per basic and diluted shares outstanding in the first quarter, as compared to $(3.8) million or $(0.21) during the first quarter of 2022.</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pPr>
            <w:r>
              <w:rPr/>
              <w:t>Non-GAAP net loss in the first quarter totaled $(1.6) million or $(0.09) per fully diluted shares outstanding, as compared to $(0.1) million or $(0.01) per fully diluted shares outstanding during the first quarter of 2022 (see definition of this non-GAAP measure and reconciliation to GAAP, below).</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pPr>
            <w:r>
              <w:rPr/>
              <w:t>●</w:t>
            </w:r>
          </w:p>
        </w:tc>
        <w:tc>
          <w:tcPr>
            <w:tcW w:w="999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Cash, cash equivalents and short-term investments totaled $73.7 million as of March 31, 2023 as compared to $74.1 million as of December 31, 2022.</w:t>
            </w:r>
          </w:p>
        </w:tc>
      </w:tr>
    </w:tbl>
    <w:p>
      <w:pPr>
        <w:pStyle w:val="TextBody"/>
        <w:spacing w:before="0" w:after="0"/>
        <w:ind w:left="0" w:right="0" w:firstLine="9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Febbo, OptimizeRx CEO commented, “We’ve had a solid start to the new year and our execution remains on pace to meeting our 2023 financial and operational objectives. These goals are firmly underpinned by our best in class platform and the ability to access, distribute and use the next generation of real-world, data-enabled insights across our growing network. Our full offering is highly differentiated and we believe our reach, proprietary Real-World Data Artificial Intelligence (RWD.AI) solution set, focus on accessing physicians across multiple landing pads, and ability to efficiently scale while being able to report back data, provides us with a significant competitive edge. We look forward to transforming the marketplace and making a positive impact across our pharma, prescriber and patient stakeholder base.”</w:t>
      </w:r>
    </w:p>
    <w:p>
      <w:pPr>
        <w:pStyle w:val="TextBody"/>
        <w:spacing w:before="0" w:after="0"/>
        <w:ind w:left="0" w:right="0" w:hanging="0"/>
        <w:rPr>
          <w:caps w:val="false"/>
          <w:smallCaps w:val="false"/>
        </w:rPr>
      </w:pPr>
      <w:r>
        <w:rPr>
          <w:caps w:val="false"/>
          <w:smallCaps w:val="false"/>
        </w:rPr>
        <w:t> </w:t>
      </w:r>
    </w:p>
    <w:tbl>
      <w:tblPr>
        <w:tblW w:w="9965" w:type="dxa"/>
        <w:jc w:val="left"/>
        <w:tblInd w:w="0" w:type="dxa"/>
        <w:tblCellMar>
          <w:top w:w="0" w:type="dxa"/>
          <w:left w:w="0" w:type="dxa"/>
          <w:bottom w:w="0" w:type="dxa"/>
          <w:right w:w="0" w:type="dxa"/>
        </w:tblCellMar>
      </w:tblPr>
      <w:tblGrid>
        <w:gridCol w:w="7160"/>
        <w:gridCol w:w="60"/>
        <w:gridCol w:w="140"/>
        <w:gridCol w:w="980"/>
        <w:gridCol w:w="215"/>
        <w:gridCol w:w="60"/>
        <w:gridCol w:w="140"/>
        <w:gridCol w:w="980"/>
        <w:gridCol w:w="230"/>
      </w:tblGrid>
      <w:tr>
        <w:trPr/>
        <w:tc>
          <w:tcPr>
            <w:tcW w:w="71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1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Rolling Twelve Months</w:t>
              <w:br/>
              <w:t>Ended March 31,</w:t>
            </w:r>
          </w:p>
        </w:tc>
        <w:tc>
          <w:tcPr>
            <w:tcW w:w="230" w:type="dxa"/>
            <w:tcBorders/>
            <w:shd w:fill="auto" w:val="clear"/>
            <w:vAlign w:val="center"/>
          </w:tcPr>
          <w:p>
            <w:pPr>
              <w:pStyle w:val="TableContents"/>
              <w:spacing w:before="0" w:after="283"/>
              <w:rPr/>
            </w:pPr>
            <w:r>
              <w:rPr/>
              <w:t> </w:t>
            </w:r>
          </w:p>
        </w:tc>
      </w:tr>
      <w:tr>
        <w:trPr/>
        <w:tc>
          <w:tcPr>
            <w:tcW w:w="7160" w:type="dxa"/>
            <w:tcBorders>
              <w:bottom w:val="single" w:sz="12" w:space="0" w:color="000000"/>
            </w:tcBorders>
            <w:shd w:fill="auto" w:val="clear"/>
            <w:tcMar>
              <w:bottom w:w="28" w:type="dxa"/>
            </w:tcMar>
            <w:vAlign w:val="center"/>
          </w:tcPr>
          <w:p>
            <w:pPr>
              <w:pStyle w:val="TableContents"/>
              <w:spacing w:before="0" w:after="283"/>
              <w:rPr>
                <w:b/>
              </w:rPr>
            </w:pPr>
            <w:r>
              <w:rPr>
                <w:b/>
              </w:rPr>
              <w:t>Key Performance Indicators (KPIs)*</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2023</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230" w:type="dxa"/>
            <w:tcBorders/>
            <w:shd w:fill="auto" w:val="clear"/>
            <w:vAlign w:val="center"/>
          </w:tcPr>
          <w:p>
            <w:pPr>
              <w:pStyle w:val="TableContents"/>
              <w:spacing w:before="0" w:after="283"/>
              <w:rPr/>
            </w:pPr>
            <w:r>
              <w:rPr/>
              <w:t> </w:t>
            </w:r>
          </w:p>
        </w:tc>
      </w:tr>
      <w:tr>
        <w:trPr/>
        <w:tc>
          <w:tcPr>
            <w:tcW w:w="7160" w:type="dxa"/>
            <w:tcBorders/>
            <w:shd w:fill="CCEEFF" w:val="clear"/>
            <w:vAlign w:val="center"/>
          </w:tcPr>
          <w:p>
            <w:pPr>
              <w:pStyle w:val="TableContents"/>
              <w:spacing w:before="0" w:after="283"/>
              <w:jc w:val="left"/>
              <w:rPr/>
            </w:pPr>
            <w:r>
              <w:rPr/>
              <w:t>Average revenue per top 20 pharmaceutical manufacturer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1,993,755</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2,614,054</w:t>
            </w:r>
          </w:p>
        </w:tc>
        <w:tc>
          <w:tcPr>
            <w:tcW w:w="230" w:type="dxa"/>
            <w:tcBorders/>
            <w:shd w:fill="CCEEFF" w:val="clear"/>
            <w:vAlign w:val="center"/>
          </w:tcPr>
          <w:p>
            <w:pPr>
              <w:pStyle w:val="TableContents"/>
              <w:spacing w:before="0" w:after="283"/>
              <w:jc w:val="left"/>
              <w:rPr/>
            </w:pPr>
            <w:r>
              <w:rPr/>
              <w:t> </w:t>
            </w:r>
          </w:p>
        </w:tc>
      </w:tr>
      <w:tr>
        <w:trPr/>
        <w:tc>
          <w:tcPr>
            <w:tcW w:w="7160" w:type="dxa"/>
            <w:tcBorders/>
            <w:shd w:fill="FFFFFF" w:val="clear"/>
            <w:vAlign w:val="center"/>
          </w:tcPr>
          <w:p>
            <w:pPr>
              <w:pStyle w:val="TableContents"/>
              <w:spacing w:before="0" w:after="283"/>
              <w:jc w:val="left"/>
              <w:rPr/>
            </w:pPr>
            <w:r>
              <w:rPr/>
              <w:t>Percent of top 20 pharmaceutical manufacturers that are customers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90</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90</w:t>
            </w:r>
          </w:p>
        </w:tc>
        <w:tc>
          <w:tcPr>
            <w:tcW w:w="230" w:type="dxa"/>
            <w:tcBorders/>
            <w:shd w:fill="FFFFFF" w:val="clear"/>
            <w:vAlign w:val="center"/>
          </w:tcPr>
          <w:p>
            <w:pPr>
              <w:pStyle w:val="TableContents"/>
              <w:spacing w:before="0" w:after="283"/>
              <w:jc w:val="left"/>
              <w:rPr/>
            </w:pPr>
            <w:r>
              <w:rPr/>
              <w:t>%</w:t>
            </w:r>
          </w:p>
        </w:tc>
      </w:tr>
      <w:tr>
        <w:trPr/>
        <w:tc>
          <w:tcPr>
            <w:tcW w:w="7160" w:type="dxa"/>
            <w:tcBorders/>
            <w:shd w:fill="CCEEFF" w:val="clear"/>
            <w:vAlign w:val="center"/>
          </w:tcPr>
          <w:p>
            <w:pPr>
              <w:pStyle w:val="TableContents"/>
              <w:spacing w:before="0" w:after="283"/>
              <w:jc w:val="left"/>
              <w:rPr/>
            </w:pPr>
            <w:r>
              <w:rPr/>
              <w:t>Percent of total revenue attributable to top 20 pharmaceutical manufacturers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58</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74</w:t>
            </w:r>
          </w:p>
        </w:tc>
        <w:tc>
          <w:tcPr>
            <w:tcW w:w="230" w:type="dxa"/>
            <w:tcBorders/>
            <w:shd w:fill="CCEEFF" w:val="clear"/>
            <w:vAlign w:val="center"/>
          </w:tcPr>
          <w:p>
            <w:pPr>
              <w:pStyle w:val="TableContents"/>
              <w:spacing w:before="0" w:after="283"/>
              <w:jc w:val="left"/>
              <w:rPr/>
            </w:pPr>
            <w:r>
              <w:rPr/>
              <w:t>%</w:t>
            </w:r>
          </w:p>
        </w:tc>
      </w:tr>
      <w:tr>
        <w:trPr/>
        <w:tc>
          <w:tcPr>
            <w:tcW w:w="7160" w:type="dxa"/>
            <w:tcBorders/>
            <w:shd w:fill="FFFFFF" w:val="clear"/>
            <w:vAlign w:val="center"/>
          </w:tcPr>
          <w:p>
            <w:pPr>
              <w:pStyle w:val="TableContents"/>
              <w:spacing w:before="0" w:after="283"/>
              <w:jc w:val="left"/>
              <w:rPr/>
            </w:pPr>
            <w:r>
              <w:rPr/>
              <w:t>Net revenue retention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86</w:t>
            </w:r>
          </w:p>
        </w:tc>
        <w:tc>
          <w:tcPr>
            <w:tcW w:w="21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980" w:type="dxa"/>
            <w:tcBorders/>
            <w:shd w:fill="FFFFFF" w:val="clear"/>
            <w:vAlign w:val="center"/>
          </w:tcPr>
          <w:p>
            <w:pPr>
              <w:pStyle w:val="TableContents"/>
              <w:spacing w:before="0" w:after="283"/>
              <w:jc w:val="right"/>
              <w:rPr/>
            </w:pPr>
            <w:r>
              <w:rPr/>
              <w:t>124</w:t>
            </w:r>
          </w:p>
        </w:tc>
        <w:tc>
          <w:tcPr>
            <w:tcW w:w="230" w:type="dxa"/>
            <w:tcBorders/>
            <w:shd w:fill="FFFFFF" w:val="clear"/>
            <w:vAlign w:val="center"/>
          </w:tcPr>
          <w:p>
            <w:pPr>
              <w:pStyle w:val="TableContents"/>
              <w:spacing w:before="0" w:after="283"/>
              <w:jc w:val="left"/>
              <w:rPr/>
            </w:pPr>
            <w:r>
              <w:rPr/>
              <w:t>%</w:t>
            </w:r>
          </w:p>
        </w:tc>
      </w:tr>
      <w:tr>
        <w:trPr/>
        <w:tc>
          <w:tcPr>
            <w:tcW w:w="7160" w:type="dxa"/>
            <w:tcBorders/>
            <w:shd w:fill="CCEEFF" w:val="clear"/>
            <w:vAlign w:val="center"/>
          </w:tcPr>
          <w:p>
            <w:pPr>
              <w:pStyle w:val="TableContents"/>
              <w:spacing w:before="0" w:after="283"/>
              <w:rPr/>
            </w:pPr>
            <w:r>
              <w:rPr/>
              <w:t>Revenue per average full-time employee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605,113</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733,275</w:t>
            </w:r>
          </w:p>
        </w:tc>
        <w:tc>
          <w:tcPr>
            <w:tcW w:w="230"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Financial Outlook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reaffirming its full year financial outlook for fiscal 2023 for net revenue to increase at least 10% year-over-year, and gross margins to be between 58% and 62%.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management will host the presentation, followed by a question-and-answer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Wednesday, May 10,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Time:</w:t>
      </w:r>
      <w:r>
        <w:rPr>
          <w:rFonts w:ascii="Times New Roman;Times;Serif" w:hAnsi="Times New Roman;Times;Serif"/>
          <w:b w:val="false"/>
          <w:i w:val="false"/>
          <w:caps w:val="false"/>
          <w:smallCaps w:val="false"/>
          <w:sz w:val="20"/>
        </w:rPr>
        <w:t xml:space="preserve"> 4:30 p.m. Eastern time (1:30 p.m. Pacific time)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Toll-free dial-in number:</w:t>
      </w:r>
      <w:r>
        <w:rPr>
          <w:rFonts w:ascii="Times New Roman;Times;Serif" w:hAnsi="Times New Roman;Times;Serif"/>
          <w:b w:val="false"/>
          <w:i w:val="false"/>
          <w:caps w:val="false"/>
          <w:smallCaps w:val="false"/>
          <w:sz w:val="20"/>
        </w:rPr>
        <w:t xml:space="preserve"> 1-888-886-7786</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International dial-in number:</w:t>
      </w:r>
      <w:r>
        <w:rPr>
          <w:rFonts w:ascii="Times New Roman;Times;Serif" w:hAnsi="Times New Roman;Times;Serif"/>
          <w:b w:val="false"/>
          <w:i w:val="false"/>
          <w:caps w:val="false"/>
          <w:smallCaps w:val="false"/>
          <w:sz w:val="20"/>
        </w:rPr>
        <w:t xml:space="preserve"> 1-416-764-8658</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Conference ID:</w:t>
      </w:r>
      <w:r>
        <w:rPr>
          <w:rFonts w:ascii="Times New Roman;Times;Serif" w:hAnsi="Times New Roman;Times;Serif"/>
          <w:b w:val="false"/>
          <w:i w:val="false"/>
          <w:caps w:val="false"/>
          <w:smallCaps w:val="false"/>
          <w:sz w:val="20"/>
        </w:rPr>
        <w:t xml:space="preserve"> 54210852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Call Me Link:</w:t>
      </w:r>
      <w:r>
        <w:rPr>
          <w:rFonts w:ascii="Times New Roman;Times;Serif" w:hAnsi="Times New Roman;Times;Serif"/>
          <w:b w:val="false"/>
          <w:i w:val="false"/>
          <w:caps w:val="false"/>
          <w:smallCaps w:val="false"/>
          <w:sz w:val="20"/>
        </w:rPr>
        <w:t xml:space="preserve"> https://emportal.ink/41EWFJO</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Webcast Link</w:t>
      </w:r>
      <w:r>
        <w:rPr>
          <w:rFonts w:ascii="Times New Roman;Times;Serif" w:hAnsi="Times New Roman;Times;Serif"/>
          <w:b w:val="false"/>
          <w:i w:val="false"/>
          <w:caps w:val="false"/>
          <w:smallCaps w:val="false"/>
          <w:sz w:val="20"/>
        </w:rPr>
        <w:t>: https://viavid.webcasts.com/starthere.jsp?ei=1612255&amp;tp_key=f4c15a1272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call the conference telephone number five minutes prior to the start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remain available for 12 months via the Investors section of the OptimizeRx website at www.optimizerx.com/investors.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Use of Non-GAAP Financial Measures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includes a presentation of non-GAAP net loss and non-GAAP net loss per diluted share or non-GAAP EPS, both of which are non-GAAP financial measures.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non-GAAP net loss as GAAP net loss with an adjustment to add back depreciation, amortization, stock-based compensation, acquisition expenses, income or loss related to the fair value of contingent consideration, and deferred income taxes. Non-GAAP EPS is defined as non-GAAP net loss divided by the number of weighted average shares outstanding on a diluted basis. The Company has provided non-GAAP financial measures to aid investors in better understanding its performance. Management believes that these non-GAAP financial measures provide additional insight into the operations and cash flow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net loss and non-GAAP EPS measures may not provide information that is directly comparable to that provided by other companies in the Company’s industry, as other companies in the industry may calculate such non-GAAP financial results differently. The Company’s non-GAAP net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“Reconciliation of non-GAAP to GAAP Financial Measures,” included below, provides a reconciliation of non-GAAP net loss and non-GAAP EPS for the three months ended March 31, 2023 and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Definition of Key Performance Indicators*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Top 20 pharmaceutical manufacturers: </w:t>
      </w:r>
      <w:r>
        <w:rPr>
          <w:rFonts w:ascii="Times New Roman;Times;Serif" w:hAnsi="Times New Roman;Times;Serif"/>
          <w:b w:val="false"/>
          <w:i w:val="false"/>
          <w:caps w:val="false"/>
          <w:smallCaps w:val="false"/>
          <w:sz w:val="20"/>
        </w:rPr>
        <w:t>We have updated the definition of “top 20 pharmaceutical manufacturers” in our key performance indicators to be based upon Fierce Pharma’s most updated list of “The top 20 pharma companies by 2022 revenue”. We previously used “The top 20 pharma companies by 2020 revenue”. As a result of this change, prior periods have been restated for comparative purposes.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 retention</w:t>
      </w:r>
      <w:r>
        <w:rPr>
          <w:rFonts w:ascii="Times New Roman;Times;Serif" w:hAnsi="Times New Roman;Times;Serif"/>
          <w:b w:val="false"/>
          <w:i w:val="false"/>
          <w:caps w:val="false"/>
          <w:smallCaps w:val="false"/>
          <w:sz w:val="20"/>
        </w:rPr>
        <w:t>: Net revenue retention is a comparison of revenue generated from all clients in the previous period to total revenue generated from the same clients in the following year (i.e., excludes new client relationships for the most recent year).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per average Full Time Employee:</w:t>
      </w:r>
      <w:r>
        <w:rPr>
          <w:rFonts w:ascii="Times New Roman;Times;Serif" w:hAnsi="Times New Roman;Times;Serif"/>
          <w:b w:val="false"/>
          <w:i w:val="false"/>
          <w:caps w:val="false"/>
          <w:smallCaps w:val="false"/>
          <w:sz w:val="20"/>
        </w:rPr>
        <w:t xml:space="preserve"> We define revenue per average full-time employee (FTE) as total revenue over the last 12 months (LTM) divided by the average number of employees over the LTM, which is calculated by taking our total number of FTEs at the end of the prior year period by our total FTE headcount at the end of the most recent.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OptimizeRx</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provides best-in-class health technology that enables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digital point-of-care network, OptimizeRx helps patients start and stay on their medications. </w:t>
      </w:r>
    </w:p>
    <w:p>
      <w:pPr>
        <w:pStyle w:val="TextBody"/>
        <w:spacing w:before="0" w:after="0"/>
        <w:ind w:left="720" w:right="0" w:hanging="27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follow the Company on Twitter, LinkedIn or visit www.optimizerx.com.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Cautions Regarding Forward-Looking Statements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2022, its subsequent Quarterly Reports on Form 10-Q, and its other filings with the Securities and Exchange Commission.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Contact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D’Silva, SVP Corporate Finance</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adsilva@optimizerx.com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Ashley Robinson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arr@lifesciadvisors.com</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BALANCE SHEETS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05"/>
        <w:gridCol w:w="60"/>
        <w:gridCol w:w="140"/>
        <w:gridCol w:w="1220"/>
        <w:gridCol w:w="95"/>
        <w:gridCol w:w="60"/>
        <w:gridCol w:w="145"/>
        <w:gridCol w:w="1270"/>
        <w:gridCol w:w="110"/>
      </w:tblGrid>
      <w:tr>
        <w:trPr/>
        <w:tc>
          <w:tcPr>
            <w:tcW w:w="7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br/>
              <w:t>2022</w:t>
            </w:r>
          </w:p>
        </w:tc>
        <w:tc>
          <w:tcPr>
            <w:tcW w:w="110" w:type="dxa"/>
            <w:tcBorders/>
            <w:shd w:fill="auto" w:val="clear"/>
            <w:vAlign w:val="center"/>
          </w:tcPr>
          <w:p>
            <w:pPr>
              <w:pStyle w:val="TableContents"/>
              <w:spacing w:before="0" w:after="283"/>
              <w:rPr/>
            </w:pPr>
            <w:r>
              <w:rPr/>
              <w:t> </w:t>
            </w:r>
          </w:p>
        </w:tc>
      </w:tr>
      <w:tr>
        <w:trPr/>
        <w:tc>
          <w:tcPr>
            <w:tcW w:w="7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7105" w:type="dxa"/>
            <w:tcBorders/>
            <w:shd w:fill="auto" w:val="clear"/>
            <w:vAlign w:val="center"/>
          </w:tcPr>
          <w:p>
            <w:pPr>
              <w:pStyle w:val="TableContents"/>
              <w:spacing w:before="0" w:after="283"/>
              <w:jc w:val="center"/>
              <w:rPr>
                <w:b/>
              </w:rPr>
            </w:pPr>
            <w:r>
              <w:rPr>
                <w:b/>
              </w:rPr>
              <w:t>ASSETS</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7105" w:type="dxa"/>
            <w:tcBorders/>
            <w:shd w:fill="auto" w:val="clear"/>
            <w:vAlign w:val="center"/>
          </w:tcPr>
          <w:p>
            <w:pPr>
              <w:pStyle w:val="TableContents"/>
              <w:spacing w:before="0" w:after="283"/>
              <w:rPr/>
            </w:pPr>
            <w:r>
              <w:rPr/>
              <w:t>Current assets</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7105" w:type="dxa"/>
            <w:tcBorders/>
            <w:shd w:fill="CCEEFF" w:val="clear"/>
            <w:vAlign w:val="center"/>
          </w:tcPr>
          <w:p>
            <w:pPr>
              <w:pStyle w:val="TableContents"/>
              <w:spacing w:before="0" w:after="283"/>
              <w:jc w:val="left"/>
              <w:rPr/>
            </w:pPr>
            <w:r>
              <w:rPr/>
              <w:t>Cash and cash equivalents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16,443,666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w:t>
            </w:r>
          </w:p>
        </w:tc>
        <w:tc>
          <w:tcPr>
            <w:tcW w:w="1270" w:type="dxa"/>
            <w:tcBorders/>
            <w:shd w:fill="CCEEFF" w:val="clear"/>
            <w:vAlign w:val="center"/>
          </w:tcPr>
          <w:p>
            <w:pPr>
              <w:pStyle w:val="TableContents"/>
              <w:spacing w:before="0" w:after="283"/>
              <w:jc w:val="right"/>
              <w:rPr/>
            </w:pPr>
            <w:r>
              <w:rPr/>
              <w:t>18,208,685</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Short-term investments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57,258,234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270" w:type="dxa"/>
            <w:tcBorders/>
            <w:shd w:fill="FFFFFF" w:val="clear"/>
            <w:vAlign w:val="center"/>
          </w:tcPr>
          <w:p>
            <w:pPr>
              <w:pStyle w:val="TableContents"/>
              <w:spacing w:before="0" w:after="283"/>
              <w:jc w:val="right"/>
              <w:rPr/>
            </w:pPr>
            <w:r>
              <w:rPr/>
              <w:t>55,931,821</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Accounts receivable,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18,164,687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22,155,301</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Prepaid expenses and other</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pPr>
            <w:r>
              <w:rPr/>
              <w:t>4,014,853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FFFFFF" w:val="clear"/>
            <w:tcMar>
              <w:bottom w:w="28" w:type="dxa"/>
            </w:tcMar>
            <w:vAlign w:val="center"/>
          </w:tcPr>
          <w:p>
            <w:pPr>
              <w:pStyle w:val="TableContents"/>
              <w:spacing w:before="0" w:after="283"/>
              <w:jc w:val="right"/>
              <w:rPr/>
            </w:pPr>
            <w:r>
              <w:rPr/>
              <w:t>2,280,828</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Total current assets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95,881,440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spacing w:before="0" w:after="283"/>
              <w:jc w:val="right"/>
              <w:rPr/>
            </w:pPr>
            <w:r>
              <w:rPr/>
              <w:t>98,576,635</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Property and equipment, net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pPr>
            <w:r>
              <w:rPr/>
              <w:t>143,924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FFFFFF" w:val="clear"/>
            <w:tcMar>
              <w:bottom w:w="28" w:type="dxa"/>
            </w:tcMar>
            <w:vAlign w:val="center"/>
          </w:tcPr>
          <w:p>
            <w:pPr>
              <w:pStyle w:val="TableContents"/>
              <w:spacing w:before="0" w:after="283"/>
              <w:jc w:val="right"/>
              <w:rPr/>
            </w:pPr>
            <w:r>
              <w:rPr/>
              <w:t>137,448</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Other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rPr/>
            </w:pPr>
            <w:r>
              <w:rPr/>
              <w:t>Goodwill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22,673,820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270" w:type="dxa"/>
            <w:tcBorders/>
            <w:shd w:fill="FFFFFF" w:val="clear"/>
            <w:vAlign w:val="center"/>
          </w:tcPr>
          <w:p>
            <w:pPr>
              <w:pStyle w:val="TableContents"/>
              <w:spacing w:before="0" w:after="283"/>
              <w:jc w:val="right"/>
              <w:rPr/>
            </w:pPr>
            <w:r>
              <w:rPr/>
              <w:t>22,673,820</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Technology assets,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7,591,461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7,702,895</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Patent rights,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1,886,008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270" w:type="dxa"/>
            <w:tcBorders/>
            <w:shd w:fill="FFFFFF" w:val="clear"/>
            <w:vAlign w:val="center"/>
          </w:tcPr>
          <w:p>
            <w:pPr>
              <w:pStyle w:val="TableContents"/>
              <w:spacing w:before="0" w:after="283"/>
              <w:jc w:val="right"/>
              <w:rPr/>
            </w:pPr>
            <w:r>
              <w:rPr/>
              <w:t>1,940,178</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Right of use assets,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213,324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235,320</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Other intangible assets, net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pPr>
            <w:r>
              <w:rPr/>
              <w:t>3,302,563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FFFFFF" w:val="clear"/>
            <w:tcMar>
              <w:bottom w:w="28" w:type="dxa"/>
            </w:tcMar>
            <w:vAlign w:val="center"/>
          </w:tcPr>
          <w:p>
            <w:pPr>
              <w:pStyle w:val="TableContents"/>
              <w:spacing w:before="0" w:after="283"/>
              <w:jc w:val="right"/>
              <w:rPr/>
            </w:pPr>
            <w:r>
              <w:rPr/>
              <w:t>3,384,889</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Total other assets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35,667,176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spacing w:before="0" w:after="283"/>
              <w:jc w:val="right"/>
              <w:rPr/>
            </w:pPr>
            <w:r>
              <w:rPr/>
              <w:t>35,937,102</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TOTAL ASSETS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spacing w:before="0" w:after="283"/>
              <w:jc w:val="right"/>
              <w:rPr/>
            </w:pPr>
            <w:r>
              <w:rPr/>
              <w:t>131,692,540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270" w:type="dxa"/>
            <w:tcBorders>
              <w:bottom w:val="double" w:sz="10" w:space="0" w:color="000000"/>
            </w:tcBorders>
            <w:shd w:fill="FFFFFF" w:val="clear"/>
            <w:tcMar>
              <w:bottom w:w="28" w:type="dxa"/>
            </w:tcMar>
            <w:vAlign w:val="center"/>
          </w:tcPr>
          <w:p>
            <w:pPr>
              <w:pStyle w:val="TableContents"/>
              <w:spacing w:before="0" w:after="283"/>
              <w:jc w:val="right"/>
              <w:rPr/>
            </w:pPr>
            <w:r>
              <w:rPr/>
              <w:t>134,651,185</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center"/>
              <w:rPr>
                <w:b/>
              </w:rPr>
            </w:pPr>
            <w:r>
              <w:rPr>
                <w:b/>
              </w:rPr>
              <w:t>LIABILITIES AND STOCKHOLDERS’ EQUITY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27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Current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Accounts payable – trade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220" w:type="dxa"/>
            <w:tcBorders/>
            <w:shd w:fill="FFFFFF" w:val="clear"/>
            <w:vAlign w:val="center"/>
          </w:tcPr>
          <w:p>
            <w:pPr>
              <w:pStyle w:val="TableContents"/>
              <w:spacing w:before="0" w:after="283"/>
              <w:jc w:val="right"/>
              <w:rPr/>
            </w:pPr>
            <w:r>
              <w:rPr/>
              <w:t>1,288,854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w:t>
            </w:r>
          </w:p>
        </w:tc>
        <w:tc>
          <w:tcPr>
            <w:tcW w:w="1270" w:type="dxa"/>
            <w:tcBorders/>
            <w:shd w:fill="FFFFFF" w:val="clear"/>
            <w:vAlign w:val="center"/>
          </w:tcPr>
          <w:p>
            <w:pPr>
              <w:pStyle w:val="TableContents"/>
              <w:spacing w:before="0" w:after="283"/>
              <w:jc w:val="right"/>
              <w:rPr/>
            </w:pPr>
            <w:r>
              <w:rPr/>
              <w:t>1,549,979</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Accrued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2,124,777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2,601,246</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rPr/>
            </w:pPr>
            <w:r>
              <w:rPr/>
              <w:t>Revenue share payable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3,367,483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270" w:type="dxa"/>
            <w:tcBorders/>
            <w:shd w:fill="FFFFFF" w:val="clear"/>
            <w:vAlign w:val="center"/>
          </w:tcPr>
          <w:p>
            <w:pPr>
              <w:pStyle w:val="TableContents"/>
              <w:spacing w:before="0" w:after="283"/>
              <w:jc w:val="right"/>
              <w:rPr/>
            </w:pPr>
            <w:r>
              <w:rPr/>
              <w:t>3,990,440</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Current portion of lease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89,287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89,902</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Deferred revenue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pPr>
            <w:r>
              <w:rPr/>
              <w:t>735,140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FFFFFF" w:val="clear"/>
            <w:tcMar>
              <w:bottom w:w="28" w:type="dxa"/>
            </w:tcMar>
            <w:vAlign w:val="center"/>
          </w:tcPr>
          <w:p>
            <w:pPr>
              <w:pStyle w:val="TableContents"/>
              <w:spacing w:before="0" w:after="283"/>
              <w:jc w:val="right"/>
              <w:rPr/>
            </w:pPr>
            <w:r>
              <w:rPr/>
              <w:t>164,309</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Total current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7,605,541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spacing w:before="0" w:after="283"/>
              <w:jc w:val="right"/>
              <w:rPr/>
            </w:pPr>
            <w:r>
              <w:rPr/>
              <w:t>8,395,876</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Non-current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27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Lease liabilities, net of current portion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123,227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spacing w:before="0" w:after="283"/>
              <w:jc w:val="right"/>
              <w:rPr/>
            </w:pPr>
            <w:r>
              <w:rPr/>
              <w:t>144,532</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Total liabilities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pPr>
            <w:r>
              <w:rPr/>
              <w:t>7,728,768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FFFFFF" w:val="clear"/>
            <w:tcMar>
              <w:bottom w:w="28" w:type="dxa"/>
            </w:tcMar>
            <w:vAlign w:val="center"/>
          </w:tcPr>
          <w:p>
            <w:pPr>
              <w:pStyle w:val="TableContents"/>
              <w:spacing w:before="0" w:after="283"/>
              <w:jc w:val="right"/>
              <w:rPr/>
            </w:pPr>
            <w:r>
              <w:rPr/>
              <w:t>8,540,408</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Commitments and contingencies (See note 9)</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105" w:type="dxa"/>
            <w:tcBorders/>
            <w:shd w:fill="FFFFFF" w:val="clear"/>
            <w:vAlign w:val="center"/>
          </w:tcPr>
          <w:p>
            <w:pPr>
              <w:pStyle w:val="TableContents"/>
              <w:spacing w:before="0" w:after="283"/>
              <w:jc w:val="left"/>
              <w:rPr/>
            </w:pPr>
            <w:r>
              <w:rPr/>
              <w:t>Stockholders’ equity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27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180"/>
              <w:jc w:val="left"/>
              <w:rPr/>
            </w:pPr>
            <w:r>
              <w:rPr/>
              <w:t> </w:t>
            </w:r>
          </w:p>
        </w:tc>
      </w:tr>
      <w:tr>
        <w:trPr/>
        <w:tc>
          <w:tcPr>
            <w:tcW w:w="7105" w:type="dxa"/>
            <w:tcBorders/>
            <w:shd w:fill="CCEEFF" w:val="clear"/>
            <w:vAlign w:val="center"/>
          </w:tcPr>
          <w:p>
            <w:pPr>
              <w:pStyle w:val="TableContents"/>
              <w:spacing w:before="0" w:after="283"/>
              <w:jc w:val="left"/>
              <w:rPr/>
            </w:pPr>
            <w:r>
              <w:rPr/>
              <w:t>Preferred stock, $0.001 par value, 10,000,000 shares authorized, none issued and outstanding at March 31, 2023 or December 31, 2022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ind w:left="0" w:right="0" w:hanging="180"/>
              <w:jc w:val="left"/>
              <w:rPr/>
            </w:pPr>
            <w:r>
              <w:rPr/>
              <w:t> </w:t>
            </w:r>
          </w:p>
        </w:tc>
      </w:tr>
      <w:tr>
        <w:trPr/>
        <w:tc>
          <w:tcPr>
            <w:tcW w:w="7105" w:type="dxa"/>
            <w:tcBorders/>
            <w:shd w:fill="FFFFFF" w:val="clear"/>
            <w:vAlign w:val="center"/>
          </w:tcPr>
          <w:p>
            <w:pPr>
              <w:pStyle w:val="TableContents"/>
              <w:spacing w:before="0" w:after="283"/>
              <w:rPr/>
            </w:pPr>
            <w:r>
              <w:rPr/>
              <w:t>Common stock, $0.001 par value, 166,666,667 shares authorized, 18,331,511 and 18,288,571 shares issued at March 31, 2023 and December 31, 2022, respectively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18,332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270" w:type="dxa"/>
            <w:tcBorders/>
            <w:shd w:fill="FFFFFF" w:val="clear"/>
            <w:vAlign w:val="center"/>
          </w:tcPr>
          <w:p>
            <w:pPr>
              <w:pStyle w:val="TableContents"/>
              <w:spacing w:before="0" w:after="283"/>
              <w:jc w:val="right"/>
              <w:rPr/>
            </w:pPr>
            <w:r>
              <w:rPr/>
              <w:t>18,289</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rPr/>
            </w:pPr>
            <w:r>
              <w:rPr/>
              <w:t>Treasury stock, $0.001 par value, 1,214,398 shares held at March 31, 2023 and December 31, 2022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(1,214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(1,214</w:t>
            </w:r>
          </w:p>
        </w:tc>
        <w:tc>
          <w:tcPr>
            <w:tcW w:w="110" w:type="dxa"/>
            <w:tcBorders/>
            <w:shd w:fill="CCEEFF" w:val="clear"/>
            <w:vAlign w:val="center"/>
          </w:tcPr>
          <w:p>
            <w:pPr>
              <w:pStyle w:val="TableContents"/>
              <w:spacing w:before="0" w:after="283"/>
              <w:jc w:val="left"/>
              <w:rPr/>
            </w:pPr>
            <w:r>
              <w:rPr/>
              <w:t>)</w:t>
            </w:r>
          </w:p>
        </w:tc>
      </w:tr>
      <w:tr>
        <w:trPr/>
        <w:tc>
          <w:tcPr>
            <w:tcW w:w="7105" w:type="dxa"/>
            <w:tcBorders/>
            <w:shd w:fill="FFFFFF" w:val="clear"/>
            <w:vAlign w:val="center"/>
          </w:tcPr>
          <w:p>
            <w:pPr>
              <w:pStyle w:val="TableContents"/>
              <w:spacing w:before="0" w:after="283"/>
              <w:jc w:val="left"/>
              <w:rPr/>
            </w:pPr>
            <w:r>
              <w:rPr/>
              <w:t>Additional paid-in-capital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220" w:type="dxa"/>
            <w:tcBorders/>
            <w:shd w:fill="FFFFFF" w:val="clear"/>
            <w:vAlign w:val="center"/>
          </w:tcPr>
          <w:p>
            <w:pPr>
              <w:pStyle w:val="TableContents"/>
              <w:spacing w:before="0" w:after="283"/>
              <w:jc w:val="right"/>
              <w:rPr/>
            </w:pPr>
            <w:r>
              <w:rPr/>
              <w:t>177,036,466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270" w:type="dxa"/>
            <w:tcBorders/>
            <w:shd w:fill="FFFFFF" w:val="clear"/>
            <w:vAlign w:val="center"/>
          </w:tcPr>
          <w:p>
            <w:pPr>
              <w:pStyle w:val="TableContents"/>
              <w:spacing w:before="0" w:after="283"/>
              <w:jc w:val="right"/>
              <w:rPr/>
            </w:pPr>
            <w:r>
              <w:rPr/>
              <w:t>172,785,800</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Accumulated deficit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(53,089,812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spacing w:before="0" w:after="283"/>
              <w:jc w:val="right"/>
              <w:rPr/>
            </w:pPr>
            <w:r>
              <w:rPr/>
              <w:t>(46,692,098</w:t>
            </w:r>
          </w:p>
        </w:tc>
        <w:tc>
          <w:tcPr>
            <w:tcW w:w="110" w:type="dxa"/>
            <w:tcBorders/>
            <w:shd w:fill="CCEEFF" w:val="clear"/>
            <w:vAlign w:val="center"/>
          </w:tcPr>
          <w:p>
            <w:pPr>
              <w:pStyle w:val="TableContents"/>
              <w:spacing w:before="0" w:after="283"/>
              <w:jc w:val="left"/>
              <w:rPr/>
            </w:pPr>
            <w:r>
              <w:rPr/>
              <w:t>)</w:t>
            </w:r>
          </w:p>
        </w:tc>
      </w:tr>
      <w:tr>
        <w:trPr/>
        <w:tc>
          <w:tcPr>
            <w:tcW w:w="7105" w:type="dxa"/>
            <w:tcBorders/>
            <w:shd w:fill="FFFFFF" w:val="clear"/>
            <w:vAlign w:val="center"/>
          </w:tcPr>
          <w:p>
            <w:pPr>
              <w:pStyle w:val="TableContents"/>
              <w:spacing w:before="0" w:after="283"/>
              <w:jc w:val="left"/>
              <w:rPr/>
            </w:pPr>
            <w:r>
              <w:rPr/>
              <w:t>Total stockholders’ equity</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220" w:type="dxa"/>
            <w:tcBorders>
              <w:bottom w:val="single" w:sz="12" w:space="0" w:color="000000"/>
            </w:tcBorders>
            <w:shd w:fill="FFFFFF" w:val="clear"/>
            <w:tcMar>
              <w:bottom w:w="28" w:type="dxa"/>
            </w:tcMar>
            <w:vAlign w:val="center"/>
          </w:tcPr>
          <w:p>
            <w:pPr>
              <w:pStyle w:val="TableContents"/>
              <w:spacing w:before="0" w:after="283"/>
              <w:jc w:val="right"/>
              <w:rPr/>
            </w:pPr>
            <w:r>
              <w:rPr/>
              <w:t>123,963,772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270" w:type="dxa"/>
            <w:tcBorders>
              <w:bottom w:val="single" w:sz="12" w:space="0" w:color="000000"/>
            </w:tcBorders>
            <w:shd w:fill="FFFFFF" w:val="clear"/>
            <w:tcMar>
              <w:bottom w:w="28" w:type="dxa"/>
            </w:tcMar>
            <w:vAlign w:val="center"/>
          </w:tcPr>
          <w:p>
            <w:pPr>
              <w:pStyle w:val="TableContents"/>
              <w:spacing w:before="0" w:after="283"/>
              <w:jc w:val="right"/>
              <w:rPr/>
            </w:pPr>
            <w:r>
              <w:rPr/>
              <w:t>126,110,777</w:t>
            </w:r>
          </w:p>
        </w:tc>
        <w:tc>
          <w:tcPr>
            <w:tcW w:w="110" w:type="dxa"/>
            <w:tcBorders/>
            <w:shd w:fill="FFFFFF" w:val="clear"/>
            <w:vAlign w:val="center"/>
          </w:tcPr>
          <w:p>
            <w:pPr>
              <w:pStyle w:val="TableContents"/>
              <w:spacing w:before="0" w:after="283"/>
              <w:jc w:val="left"/>
              <w:rPr/>
            </w:pPr>
            <w:r>
              <w:rPr/>
              <w:t> </w:t>
            </w:r>
          </w:p>
        </w:tc>
      </w:tr>
      <w:tr>
        <w:trPr/>
        <w:tc>
          <w:tcPr>
            <w:tcW w:w="7105" w:type="dxa"/>
            <w:tcBorders/>
            <w:shd w:fill="CCEEFF" w:val="clear"/>
            <w:vAlign w:val="center"/>
          </w:tcPr>
          <w:p>
            <w:pPr>
              <w:pStyle w:val="TableContents"/>
              <w:spacing w:before="0" w:after="283"/>
              <w:jc w:val="left"/>
              <w:rPr/>
            </w:pPr>
            <w:r>
              <w:rPr/>
              <w:t>TOTAL LIABILITIES AND STOCKHOLDERS’ EQUITY</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pPr>
            <w:r>
              <w:rPr/>
              <w:t>131,692,540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70" w:type="dxa"/>
            <w:tcBorders>
              <w:bottom w:val="double" w:sz="10" w:space="0" w:color="000000"/>
            </w:tcBorders>
            <w:shd w:fill="CCEEFF" w:val="clear"/>
            <w:tcMar>
              <w:bottom w:w="28" w:type="dxa"/>
            </w:tcMar>
            <w:vAlign w:val="center"/>
          </w:tcPr>
          <w:p>
            <w:pPr>
              <w:pStyle w:val="TableContents"/>
              <w:spacing w:before="0" w:after="283"/>
              <w:jc w:val="right"/>
              <w:rPr/>
            </w:pPr>
            <w:r>
              <w:rPr/>
              <w:t>134,651,185</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OPERATIONS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shd w:fill="auto" w:val="clear"/>
            <w:vAlign w:val="center"/>
          </w:tcPr>
          <w:p>
            <w:pPr>
              <w:pStyle w:val="TableContents"/>
              <w:spacing w:before="0" w:after="283"/>
              <w:ind w:left="0" w:right="0" w:hanging="180"/>
              <w:rPr/>
            </w:pPr>
            <w:r>
              <w:rPr/>
              <w:t> </w:t>
            </w:r>
          </w:p>
        </w:tc>
        <w:tc>
          <w:tcPr>
            <w:tcW w:w="60" w:type="dxa"/>
            <w:tcBorders/>
            <w:shd w:fill="auto" w:val="clear"/>
            <w:vAlign w:val="center"/>
          </w:tcPr>
          <w:p>
            <w:pPr>
              <w:pStyle w:val="TableContents"/>
              <w:spacing w:before="0" w:after="283"/>
              <w:rPr/>
            </w:pPr>
            <w:r>
              <w:rPr/>
              <w:t> </w:t>
            </w:r>
          </w:p>
        </w:tc>
        <w:tc>
          <w:tcPr>
            <w:tcW w:w="263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 Three Months</w:t>
              <w:br/>
              <w:t>Ended March 31,</w:t>
            </w:r>
          </w:p>
        </w:tc>
        <w:tc>
          <w:tcPr>
            <w:tcW w:w="110" w:type="dxa"/>
            <w:tcBorders/>
            <w:shd w:fill="auto" w:val="clear"/>
            <w:vAlign w:val="center"/>
          </w:tcPr>
          <w:p>
            <w:pPr>
              <w:pStyle w:val="TableContents"/>
              <w:spacing w:before="0" w:after="283"/>
              <w:ind w:left="0" w:right="0" w:hanging="180"/>
              <w:rPr/>
            </w:pPr>
            <w:r>
              <w:rPr/>
              <w:t> </w:t>
            </w:r>
          </w:p>
        </w:tc>
      </w:tr>
      <w:tr>
        <w:trPr/>
        <w:tc>
          <w:tcPr>
            <w:tcW w:w="7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10" w:type="dxa"/>
            <w:tcBorders/>
            <w:shd w:fill="auto" w:val="clear"/>
            <w:vAlign w:val="center"/>
          </w:tcPr>
          <w:p>
            <w:pPr>
              <w:pStyle w:val="TableContents"/>
              <w:spacing w:before="0" w:after="283"/>
              <w:ind w:left="0" w:right="0" w:hanging="180"/>
              <w:rPr/>
            </w:pPr>
            <w:r>
              <w:rPr/>
              <w:t> </w:t>
            </w:r>
          </w:p>
        </w:tc>
      </w:tr>
      <w:tr>
        <w:trPr/>
        <w:tc>
          <w:tcPr>
            <w:tcW w:w="74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ind w:left="0" w:right="0" w:hanging="180"/>
              <w:rPr/>
            </w:pPr>
            <w:r>
              <w:rPr/>
              <w:t> </w:t>
            </w:r>
          </w:p>
        </w:tc>
      </w:tr>
      <w:tr>
        <w:trPr/>
        <w:tc>
          <w:tcPr>
            <w:tcW w:w="7400" w:type="dxa"/>
            <w:tcBorders/>
            <w:shd w:fill="CCEEFF" w:val="clear"/>
            <w:vAlign w:val="center"/>
          </w:tcPr>
          <w:p>
            <w:pPr>
              <w:pStyle w:val="TableContents"/>
              <w:spacing w:before="0" w:after="283"/>
              <w:jc w:val="left"/>
              <w:rPr/>
            </w:pPr>
            <w:r>
              <w:rPr/>
              <w:t>Net revenue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13,002,910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13,731,530</w:t>
            </w:r>
          </w:p>
        </w:tc>
        <w:tc>
          <w:tcPr>
            <w:tcW w:w="110" w:type="dxa"/>
            <w:tcBorders/>
            <w:shd w:fill="CCEEFF" w:val="clear"/>
            <w:vAlign w:val="center"/>
          </w:tcPr>
          <w:p>
            <w:pPr>
              <w:pStyle w:val="TableContents"/>
              <w:spacing w:before="0" w:after="283"/>
              <w:ind w:left="0" w:right="0" w:hanging="180"/>
              <w:jc w:val="left"/>
              <w:rPr/>
            </w:pPr>
            <w:r>
              <w:rPr/>
              <w:t> </w:t>
            </w:r>
          </w:p>
        </w:tc>
      </w:tr>
      <w:tr>
        <w:trPr/>
        <w:tc>
          <w:tcPr>
            <w:tcW w:w="7400" w:type="dxa"/>
            <w:tcBorders/>
            <w:shd w:fill="FFFFFF" w:val="clear"/>
            <w:vAlign w:val="center"/>
          </w:tcPr>
          <w:p>
            <w:pPr>
              <w:pStyle w:val="TableContents"/>
              <w:spacing w:before="0" w:after="283"/>
              <w:jc w:val="left"/>
              <w:rPr/>
            </w:pPr>
            <w:r>
              <w:rPr/>
              <w:t>Cost of revenues, exclusive of depreciation and amortization presented separately below</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5,569,621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5,629,858</w:t>
            </w:r>
          </w:p>
        </w:tc>
        <w:tc>
          <w:tcPr>
            <w:tcW w:w="110" w:type="dxa"/>
            <w:tcBorders/>
            <w:shd w:fill="FFFFFF" w:val="clear"/>
            <w:vAlign w:val="center"/>
          </w:tcPr>
          <w:p>
            <w:pPr>
              <w:pStyle w:val="TableContents"/>
              <w:spacing w:before="0" w:after="283"/>
              <w:ind w:left="0" w:right="0" w:hanging="180"/>
              <w:jc w:val="left"/>
              <w:rPr/>
            </w:pPr>
            <w:r>
              <w:rPr/>
              <w:t> </w:t>
            </w:r>
          </w:p>
        </w:tc>
      </w:tr>
      <w:tr>
        <w:trPr/>
        <w:tc>
          <w:tcPr>
            <w:tcW w:w="7400" w:type="dxa"/>
            <w:tcBorders/>
            <w:shd w:fill="CCEEFF" w:val="clear"/>
            <w:vAlign w:val="center"/>
          </w:tcPr>
          <w:p>
            <w:pPr>
              <w:pStyle w:val="TableContents"/>
              <w:spacing w:before="0" w:after="283"/>
              <w:jc w:val="left"/>
              <w:rPr/>
            </w:pPr>
            <w:r>
              <w:rPr/>
              <w:t>Gross profit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7,433,289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8,101,672</w:t>
            </w:r>
          </w:p>
        </w:tc>
        <w:tc>
          <w:tcPr>
            <w:tcW w:w="110" w:type="dxa"/>
            <w:tcBorders/>
            <w:shd w:fill="CCEEFF" w:val="clear"/>
            <w:vAlign w:val="center"/>
          </w:tcPr>
          <w:p>
            <w:pPr>
              <w:pStyle w:val="TableContents"/>
              <w:spacing w:before="0" w:after="283"/>
              <w:ind w:left="0" w:right="0" w:hanging="180"/>
              <w:jc w:val="left"/>
              <w:rPr/>
            </w:pPr>
            <w:r>
              <w:rPr/>
              <w:t> </w:t>
            </w:r>
          </w:p>
        </w:tc>
      </w:tr>
      <w:tr>
        <w:trPr/>
        <w:tc>
          <w:tcPr>
            <w:tcW w:w="740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180"/>
              <w:jc w:val="left"/>
              <w:rPr/>
            </w:pPr>
            <w:r>
              <w:rPr/>
              <w:t> </w:t>
            </w:r>
          </w:p>
        </w:tc>
      </w:tr>
      <w:tr>
        <w:trPr/>
        <w:tc>
          <w:tcPr>
            <w:tcW w:w="7400" w:type="dxa"/>
            <w:tcBorders/>
            <w:shd w:fill="CCEEFF" w:val="clear"/>
            <w:vAlign w:val="center"/>
          </w:tcPr>
          <w:p>
            <w:pPr>
              <w:pStyle w:val="TableContents"/>
              <w:spacing w:before="0" w:after="283"/>
              <w:jc w:val="left"/>
              <w:rPr/>
            </w:pPr>
            <w:r>
              <w:rPr/>
              <w:t>Operating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ind w:left="0" w:right="0" w:hanging="180"/>
              <w:jc w:val="left"/>
              <w:rPr/>
            </w:pPr>
            <w:r>
              <w:rPr/>
              <w:t> </w:t>
            </w:r>
          </w:p>
        </w:tc>
      </w:tr>
      <w:tr>
        <w:trPr/>
        <w:tc>
          <w:tcPr>
            <w:tcW w:w="7400" w:type="dxa"/>
            <w:tcBorders/>
            <w:shd w:fill="FFFFFF" w:val="clear"/>
            <w:vAlign w:val="center"/>
          </w:tcPr>
          <w:p>
            <w:pPr>
              <w:pStyle w:val="TableContents"/>
              <w:spacing w:before="0" w:after="283"/>
              <w:jc w:val="left"/>
              <w:rPr/>
            </w:pPr>
            <w:r>
              <w:rPr/>
              <w:t>General and administrative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14,032,542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1100" w:type="dxa"/>
            <w:tcBorders/>
            <w:shd w:fill="FFFFFF" w:val="clear"/>
            <w:vAlign w:val="center"/>
          </w:tcPr>
          <w:p>
            <w:pPr>
              <w:pStyle w:val="TableContents"/>
              <w:spacing w:before="0" w:after="283"/>
              <w:jc w:val="right"/>
              <w:rPr/>
            </w:pPr>
            <w:r>
              <w:rPr/>
              <w:t>11,391,233</w:t>
            </w:r>
          </w:p>
        </w:tc>
        <w:tc>
          <w:tcPr>
            <w:tcW w:w="110" w:type="dxa"/>
            <w:tcBorders/>
            <w:shd w:fill="FFFFFF" w:val="clear"/>
            <w:vAlign w:val="center"/>
          </w:tcPr>
          <w:p>
            <w:pPr>
              <w:pStyle w:val="TableContents"/>
              <w:spacing w:before="0" w:after="283"/>
              <w:ind w:left="0" w:right="0" w:hanging="180"/>
              <w:jc w:val="left"/>
              <w:rPr/>
            </w:pPr>
            <w:r>
              <w:rPr/>
              <w:t> </w:t>
            </w:r>
          </w:p>
        </w:tc>
      </w:tr>
      <w:tr>
        <w:trPr/>
        <w:tc>
          <w:tcPr>
            <w:tcW w:w="7400" w:type="dxa"/>
            <w:tcBorders/>
            <w:shd w:fill="CCEEFF" w:val="clear"/>
            <w:vAlign w:val="center"/>
          </w:tcPr>
          <w:p>
            <w:pPr>
              <w:pStyle w:val="TableContents"/>
              <w:spacing w:before="0" w:after="283"/>
              <w:jc w:val="left"/>
              <w:rPr/>
            </w:pPr>
            <w:r>
              <w:rPr/>
              <w:t>Depreciation, amortization and noncash lease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463,933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471,540</w:t>
            </w:r>
          </w:p>
        </w:tc>
        <w:tc>
          <w:tcPr>
            <w:tcW w:w="110" w:type="dxa"/>
            <w:tcBorders/>
            <w:shd w:fill="CCEEFF" w:val="clear"/>
            <w:vAlign w:val="center"/>
          </w:tcPr>
          <w:p>
            <w:pPr>
              <w:pStyle w:val="TableContents"/>
              <w:spacing w:before="0" w:after="283"/>
              <w:ind w:left="0" w:right="0" w:hanging="180"/>
              <w:jc w:val="left"/>
              <w:rPr/>
            </w:pPr>
            <w:r>
              <w:rPr/>
              <w:t> </w:t>
            </w:r>
          </w:p>
        </w:tc>
      </w:tr>
      <w:tr>
        <w:trPr/>
        <w:tc>
          <w:tcPr>
            <w:tcW w:w="7400" w:type="dxa"/>
            <w:tcBorders/>
            <w:shd w:fill="FFFFFF" w:val="clear"/>
            <w:vAlign w:val="center"/>
          </w:tcPr>
          <w:p>
            <w:pPr>
              <w:pStyle w:val="TableContents"/>
              <w:spacing w:before="0" w:after="283"/>
              <w:jc w:val="left"/>
              <w:rPr/>
            </w:pPr>
            <w:r>
              <w:rPr/>
              <w:t>Total operating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14,496,475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11,862,773</w:t>
            </w:r>
          </w:p>
        </w:tc>
        <w:tc>
          <w:tcPr>
            <w:tcW w:w="110" w:type="dxa"/>
            <w:tcBorders/>
            <w:shd w:fill="FFFFFF" w:val="clear"/>
            <w:vAlign w:val="center"/>
          </w:tcPr>
          <w:p>
            <w:pPr>
              <w:pStyle w:val="TableContents"/>
              <w:spacing w:before="0" w:after="283"/>
              <w:ind w:left="0" w:right="0" w:hanging="180"/>
              <w:jc w:val="left"/>
              <w:rPr/>
            </w:pPr>
            <w:r>
              <w:rPr/>
              <w:t> </w:t>
            </w:r>
          </w:p>
        </w:tc>
      </w:tr>
      <w:tr>
        <w:trPr/>
        <w:tc>
          <w:tcPr>
            <w:tcW w:w="7400" w:type="dxa"/>
            <w:tcBorders/>
            <w:shd w:fill="CCEEFF" w:val="clear"/>
            <w:vAlign w:val="center"/>
          </w:tcPr>
          <w:p>
            <w:pPr>
              <w:pStyle w:val="TableContents"/>
              <w:spacing w:before="0" w:after="283"/>
              <w:jc w:val="left"/>
              <w:rPr/>
            </w:pPr>
            <w:r>
              <w:rPr/>
              <w:t>Loss from operations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(7,063,186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(3,761,101</w:t>
            </w:r>
          </w:p>
        </w:tc>
        <w:tc>
          <w:tcPr>
            <w:tcW w:w="110" w:type="dxa"/>
            <w:tcBorders/>
            <w:shd w:fill="CCEEFF" w:val="clear"/>
            <w:vAlign w:val="center"/>
          </w:tcPr>
          <w:p>
            <w:pPr>
              <w:pStyle w:val="TableContents"/>
              <w:spacing w:before="0" w:after="283"/>
              <w:ind w:left="0" w:right="0" w:hanging="180"/>
              <w:jc w:val="left"/>
              <w:rPr/>
            </w:pPr>
            <w:r>
              <w:rPr/>
              <w:t>)</w:t>
            </w:r>
          </w:p>
        </w:tc>
      </w:tr>
      <w:tr>
        <w:trPr/>
        <w:tc>
          <w:tcPr>
            <w:tcW w:w="7400" w:type="dxa"/>
            <w:tcBorders/>
            <w:shd w:fill="FFFFFF" w:val="clear"/>
            <w:vAlign w:val="center"/>
          </w:tcPr>
          <w:p>
            <w:pPr>
              <w:pStyle w:val="TableContents"/>
              <w:spacing w:before="0" w:after="283"/>
              <w:jc w:val="left"/>
              <w:rPr/>
            </w:pPr>
            <w:r>
              <w:rPr/>
              <w:t>Other income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ind w:left="0" w:right="0" w:hanging="180"/>
              <w:jc w:val="left"/>
              <w:rPr/>
            </w:pPr>
            <w:r>
              <w:rPr/>
              <w:t> </w:t>
            </w:r>
          </w:p>
        </w:tc>
      </w:tr>
      <w:tr>
        <w:trPr/>
        <w:tc>
          <w:tcPr>
            <w:tcW w:w="7400" w:type="dxa"/>
            <w:tcBorders/>
            <w:shd w:fill="CCEEFF" w:val="clear"/>
            <w:vAlign w:val="center"/>
          </w:tcPr>
          <w:p>
            <w:pPr>
              <w:pStyle w:val="TableContents"/>
              <w:spacing w:before="0" w:after="283"/>
              <w:jc w:val="left"/>
              <w:rPr/>
            </w:pPr>
            <w:r>
              <w:rPr/>
              <w:t>Interest income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665,472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3</w:t>
            </w:r>
          </w:p>
        </w:tc>
        <w:tc>
          <w:tcPr>
            <w:tcW w:w="110" w:type="dxa"/>
            <w:tcBorders/>
            <w:shd w:fill="CCEEFF" w:val="clear"/>
            <w:vAlign w:val="center"/>
          </w:tcPr>
          <w:p>
            <w:pPr>
              <w:pStyle w:val="TableContents"/>
              <w:spacing w:before="0" w:after="283"/>
              <w:ind w:left="0" w:right="0" w:hanging="180"/>
              <w:jc w:val="left"/>
              <w:rPr/>
            </w:pPr>
            <w:r>
              <w:rPr/>
              <w:t> </w:t>
            </w:r>
          </w:p>
        </w:tc>
      </w:tr>
      <w:tr>
        <w:trPr/>
        <w:tc>
          <w:tcPr>
            <w:tcW w:w="7400" w:type="dxa"/>
            <w:tcBorders/>
            <w:shd w:fill="FFFFFF" w:val="clear"/>
            <w:vAlign w:val="center"/>
          </w:tcPr>
          <w:p>
            <w:pPr>
              <w:pStyle w:val="TableContents"/>
              <w:spacing w:before="0" w:after="283"/>
              <w:jc w:val="left"/>
              <w:rPr/>
            </w:pPr>
            <w:r>
              <w:rPr/>
              <w:t>Loss before provision for income taxes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(6,397,714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(3,761,098</w:t>
            </w:r>
          </w:p>
        </w:tc>
        <w:tc>
          <w:tcPr>
            <w:tcW w:w="110" w:type="dxa"/>
            <w:tcBorders/>
            <w:shd w:fill="FFFFFF" w:val="clear"/>
            <w:vAlign w:val="center"/>
          </w:tcPr>
          <w:p>
            <w:pPr>
              <w:pStyle w:val="TableContents"/>
              <w:spacing w:before="0" w:after="283"/>
              <w:ind w:left="0" w:right="0" w:hanging="180"/>
              <w:jc w:val="left"/>
              <w:rPr/>
            </w:pPr>
            <w:r>
              <w:rPr/>
              <w:t>)</w:t>
            </w:r>
          </w:p>
        </w:tc>
      </w:tr>
      <w:tr>
        <w:trPr/>
        <w:tc>
          <w:tcPr>
            <w:tcW w:w="7400" w:type="dxa"/>
            <w:tcBorders/>
            <w:shd w:fill="CCEEFF" w:val="clear"/>
            <w:vAlign w:val="center"/>
          </w:tcPr>
          <w:p>
            <w:pPr>
              <w:pStyle w:val="TableContents"/>
              <w:spacing w:before="0" w:after="283"/>
              <w:jc w:val="left"/>
              <w:rPr/>
            </w:pPr>
            <w:r>
              <w:rPr/>
              <w:t>Income tax benefit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ind w:left="0" w:right="0" w:hanging="180"/>
              <w:jc w:val="left"/>
              <w:rPr/>
            </w:pPr>
            <w:r>
              <w:rPr/>
              <w:t> </w:t>
            </w:r>
          </w:p>
        </w:tc>
      </w:tr>
      <w:tr>
        <w:trPr/>
        <w:tc>
          <w:tcPr>
            <w:tcW w:w="7400" w:type="dxa"/>
            <w:tcBorders/>
            <w:shd w:fill="FFFFFF" w:val="clear"/>
            <w:vAlign w:val="center"/>
          </w:tcPr>
          <w:p>
            <w:pPr>
              <w:pStyle w:val="TableContents"/>
              <w:spacing w:before="0" w:after="283"/>
              <w:jc w:val="left"/>
              <w:rPr/>
            </w:pPr>
            <w:r>
              <w:rPr/>
              <w:t>Net loss</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(6,397,714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(3,761,098</w:t>
            </w:r>
          </w:p>
        </w:tc>
        <w:tc>
          <w:tcPr>
            <w:tcW w:w="110" w:type="dxa"/>
            <w:tcBorders/>
            <w:shd w:fill="FFFFFF" w:val="clear"/>
            <w:vAlign w:val="center"/>
          </w:tcPr>
          <w:p>
            <w:pPr>
              <w:pStyle w:val="TableContents"/>
              <w:spacing w:before="0" w:after="283"/>
              <w:ind w:left="0" w:right="0" w:hanging="180"/>
              <w:jc w:val="left"/>
              <w:rPr/>
            </w:pPr>
            <w:r>
              <w:rPr/>
              <w:t>)</w:t>
            </w:r>
          </w:p>
        </w:tc>
      </w:tr>
      <w:tr>
        <w:trPr/>
        <w:tc>
          <w:tcPr>
            <w:tcW w:w="7400" w:type="dxa"/>
            <w:tcBorders/>
            <w:shd w:fill="CCEEFF" w:val="clear"/>
            <w:vAlign w:val="center"/>
          </w:tcPr>
          <w:p>
            <w:pPr>
              <w:pStyle w:val="TableContents"/>
              <w:spacing w:before="0" w:after="283"/>
              <w:rPr/>
            </w:pPr>
            <w:r>
              <w:rPr/>
              <w:t>Weighted average number of shares outstanding – basic</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17,094,676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17,878,068</w:t>
            </w:r>
          </w:p>
        </w:tc>
        <w:tc>
          <w:tcPr>
            <w:tcW w:w="110" w:type="dxa"/>
            <w:tcBorders/>
            <w:shd w:fill="CCEEFF" w:val="clear"/>
            <w:vAlign w:val="center"/>
          </w:tcPr>
          <w:p>
            <w:pPr>
              <w:pStyle w:val="TableContents"/>
              <w:spacing w:before="0" w:after="283"/>
              <w:ind w:left="0" w:right="0" w:hanging="180"/>
              <w:jc w:val="left"/>
              <w:rPr/>
            </w:pPr>
            <w:r>
              <w:rPr/>
              <w:t> </w:t>
            </w:r>
          </w:p>
        </w:tc>
      </w:tr>
      <w:tr>
        <w:trPr/>
        <w:tc>
          <w:tcPr>
            <w:tcW w:w="7400" w:type="dxa"/>
            <w:tcBorders/>
            <w:shd w:fill="FFFFFF" w:val="clear"/>
            <w:vAlign w:val="center"/>
          </w:tcPr>
          <w:p>
            <w:pPr>
              <w:pStyle w:val="TableContents"/>
              <w:spacing w:before="0" w:after="283"/>
              <w:rPr/>
            </w:pPr>
            <w:r>
              <w:rPr/>
              <w:t>Weighted average number of shares outstanding – diluted</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17,094,676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17,878,068</w:t>
            </w:r>
          </w:p>
        </w:tc>
        <w:tc>
          <w:tcPr>
            <w:tcW w:w="110" w:type="dxa"/>
            <w:tcBorders/>
            <w:shd w:fill="FFFFFF" w:val="clear"/>
            <w:vAlign w:val="center"/>
          </w:tcPr>
          <w:p>
            <w:pPr>
              <w:pStyle w:val="TableContents"/>
              <w:spacing w:before="0" w:after="283"/>
              <w:ind w:left="0" w:right="0" w:hanging="180"/>
              <w:jc w:val="left"/>
              <w:rPr/>
            </w:pPr>
            <w:r>
              <w:rPr/>
              <w:t> </w:t>
            </w:r>
          </w:p>
        </w:tc>
      </w:tr>
      <w:tr>
        <w:trPr/>
        <w:tc>
          <w:tcPr>
            <w:tcW w:w="7400" w:type="dxa"/>
            <w:tcBorders/>
            <w:shd w:fill="CCEEFF" w:val="clear"/>
            <w:vAlign w:val="center"/>
          </w:tcPr>
          <w:p>
            <w:pPr>
              <w:pStyle w:val="TableContents"/>
              <w:spacing w:before="0" w:after="283"/>
              <w:rPr/>
            </w:pPr>
            <w:r>
              <w:rPr/>
              <w:t>Loss per share – basic</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(0.37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(0.21</w:t>
            </w:r>
          </w:p>
        </w:tc>
        <w:tc>
          <w:tcPr>
            <w:tcW w:w="110" w:type="dxa"/>
            <w:tcBorders/>
            <w:shd w:fill="CCEEFF" w:val="clear"/>
            <w:vAlign w:val="center"/>
          </w:tcPr>
          <w:p>
            <w:pPr>
              <w:pStyle w:val="TableContents"/>
              <w:spacing w:before="0" w:after="283"/>
              <w:ind w:left="0" w:right="0" w:hanging="180"/>
              <w:jc w:val="left"/>
              <w:rPr/>
            </w:pPr>
            <w:r>
              <w:rPr/>
              <w:t>)</w:t>
            </w:r>
          </w:p>
        </w:tc>
      </w:tr>
      <w:tr>
        <w:trPr/>
        <w:tc>
          <w:tcPr>
            <w:tcW w:w="7400" w:type="dxa"/>
            <w:tcBorders/>
            <w:shd w:fill="FFFFFF" w:val="clear"/>
            <w:vAlign w:val="center"/>
          </w:tcPr>
          <w:p>
            <w:pPr>
              <w:pStyle w:val="TableContents"/>
              <w:spacing w:before="0" w:after="283"/>
              <w:rPr/>
            </w:pPr>
            <w:r>
              <w:rPr/>
              <w:t>Loss per share – diluted</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(0.37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(0.21</w:t>
            </w:r>
          </w:p>
        </w:tc>
        <w:tc>
          <w:tcPr>
            <w:tcW w:w="110" w:type="dxa"/>
            <w:tcBorders/>
            <w:shd w:fill="FFFFFF" w:val="clear"/>
            <w:vAlign w:val="center"/>
          </w:tcPr>
          <w:p>
            <w:pPr>
              <w:pStyle w:val="TableContents"/>
              <w:spacing w:before="0" w:after="283"/>
              <w:jc w:val="left"/>
              <w:rPr/>
            </w:pPr>
            <w:r>
              <w:rPr/>
              <w: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10205" w:type="dxa"/>
        <w:jc w:val="left"/>
        <w:tblInd w:w="0" w:type="dxa"/>
        <w:tblCellMar>
          <w:top w:w="0" w:type="dxa"/>
          <w:left w:w="0" w:type="dxa"/>
          <w:bottom w:w="0" w:type="dxa"/>
          <w:right w:w="0" w:type="dxa"/>
        </w:tblCellMar>
      </w:tblPr>
      <w:tblGrid>
        <w:gridCol w:w="7325"/>
        <w:gridCol w:w="60"/>
        <w:gridCol w:w="140"/>
        <w:gridCol w:w="1175"/>
        <w:gridCol w:w="95"/>
        <w:gridCol w:w="60"/>
        <w:gridCol w:w="140"/>
        <w:gridCol w:w="1100"/>
        <w:gridCol w:w="110"/>
      </w:tblGrid>
      <w:tr>
        <w:trPr/>
        <w:tc>
          <w:tcPr>
            <w:tcW w:w="73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1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 Three Months</w:t>
              <w:br/>
              <w:t>Ended March 31,</w:t>
            </w:r>
          </w:p>
        </w:tc>
        <w:tc>
          <w:tcPr>
            <w:tcW w:w="110" w:type="dxa"/>
            <w:tcBorders/>
            <w:shd w:fill="auto" w:val="clear"/>
            <w:vAlign w:val="center"/>
          </w:tcPr>
          <w:p>
            <w:pPr>
              <w:pStyle w:val="TableContents"/>
              <w:spacing w:before="0" w:after="283"/>
              <w:rPr/>
            </w:pPr>
            <w:r>
              <w:rPr/>
              <w:t> </w:t>
            </w:r>
          </w:p>
        </w:tc>
      </w:tr>
      <w:tr>
        <w:trPr/>
        <w:tc>
          <w:tcPr>
            <w:tcW w:w="73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10" w:type="dxa"/>
            <w:tcBorders/>
            <w:shd w:fill="auto" w:val="clear"/>
            <w:vAlign w:val="center"/>
          </w:tcPr>
          <w:p>
            <w:pPr>
              <w:pStyle w:val="TableContents"/>
              <w:spacing w:before="0" w:after="283"/>
              <w:rPr/>
            </w:pPr>
            <w:r>
              <w:rPr/>
              <w:t> </w:t>
            </w:r>
          </w:p>
        </w:tc>
      </w:tr>
      <w:tr>
        <w:trPr/>
        <w:tc>
          <w:tcPr>
            <w:tcW w:w="7325" w:type="dxa"/>
            <w:tcBorders/>
            <w:shd w:fill="auto" w:val="clear"/>
            <w:vAlign w:val="center"/>
          </w:tcPr>
          <w:p>
            <w:pPr>
              <w:pStyle w:val="TableContents"/>
              <w:spacing w:before="0" w:after="283"/>
              <w:rPr>
                <w:b/>
              </w:rPr>
            </w:pPr>
            <w:r>
              <w:rPr>
                <w:b/>
              </w:rPr>
              <w:t>CASH FLOWS FROM OPERATING ACTIVITIES:</w:t>
            </w:r>
          </w:p>
        </w:tc>
        <w:tc>
          <w:tcPr>
            <w:tcW w:w="60" w:type="dxa"/>
            <w:tcBorders/>
            <w:shd w:fill="auto" w:val="clear"/>
            <w:vAlign w:val="center"/>
          </w:tcPr>
          <w:p>
            <w:pPr>
              <w:pStyle w:val="TableContents"/>
              <w:spacing w:before="0" w:after="283"/>
              <w:rPr/>
            </w:pPr>
            <w:r>
              <w:rPr/>
              <w:t> </w:t>
            </w:r>
          </w:p>
        </w:tc>
        <w:tc>
          <w:tcPr>
            <w:tcW w:w="131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732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75" w:type="dxa"/>
            <w:tcBorders/>
            <w:shd w:fill="CCEEFF" w:val="clear"/>
            <w:vAlign w:val="center"/>
          </w:tcPr>
          <w:p>
            <w:pPr>
              <w:pStyle w:val="TableContents"/>
              <w:spacing w:before="0" w:after="283"/>
              <w:jc w:val="right"/>
              <w:rPr/>
            </w:pPr>
            <w:r>
              <w:rPr/>
              <w:t>(6,397,714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(3,761,098</w:t>
            </w:r>
          </w:p>
        </w:tc>
        <w:tc>
          <w:tcPr>
            <w:tcW w:w="110" w:type="dxa"/>
            <w:tcBorders/>
            <w:shd w:fill="CCEEFF" w:val="clear"/>
            <w:vAlign w:val="center"/>
          </w:tcPr>
          <w:p>
            <w:pPr>
              <w:pStyle w:val="TableContents"/>
              <w:spacing w:before="0" w:after="283"/>
              <w:jc w:val="left"/>
              <w:rPr/>
            </w:pPr>
            <w:r>
              <w:rPr/>
              <w:t>)</w:t>
            </w:r>
          </w:p>
        </w:tc>
      </w:tr>
      <w:tr>
        <w:trPr/>
        <w:tc>
          <w:tcPr>
            <w:tcW w:w="7325" w:type="dxa"/>
            <w:tcBorders/>
            <w:shd w:fill="FFFFFF" w:val="clear"/>
            <w:vAlign w:val="center"/>
          </w:tcPr>
          <w:p>
            <w:pPr>
              <w:pStyle w:val="TableContents"/>
              <w:spacing w:before="0" w:after="283"/>
              <w:jc w:val="left"/>
              <w:rPr/>
            </w:pPr>
            <w:r>
              <w:rPr/>
              <w:t>Adjustments to reconcile net loss to net cash (used in) provided by operating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pPr>
            <w:r>
              <w:rPr/>
              <w:t>Depreciation and amortization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463,933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471,540</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jc w:val="left"/>
              <w:rPr/>
            </w:pPr>
            <w:r>
              <w:rPr/>
              <w:t>Stock-based compensation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4,380,503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3,174,098</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pPr>
            <w:r>
              <w:rPr/>
              <w:t>Increase in bad debt reserve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128,178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21,000</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jc w:val="left"/>
              <w:rPr/>
            </w:pPr>
            <w:r>
              <w:rPr/>
              <w:t>Changes in: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pPr>
            <w:r>
              <w:rPr/>
              <w:t>Accounts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3,862,436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5,643,761</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jc w:val="left"/>
              <w:rPr/>
            </w:pPr>
            <w:r>
              <w:rPr/>
              <w:t>Prepaid expenses and other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(1,734,024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1,021,166</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pPr>
            <w:r>
              <w:rPr/>
              <w:t>Accounts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(261,125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(6,079</w:t>
            </w:r>
          </w:p>
        </w:tc>
        <w:tc>
          <w:tcPr>
            <w:tcW w:w="110" w:type="dxa"/>
            <w:tcBorders/>
            <w:shd w:fill="CCEEFF" w:val="clear"/>
            <w:vAlign w:val="center"/>
          </w:tcPr>
          <w:p>
            <w:pPr>
              <w:pStyle w:val="TableContents"/>
              <w:spacing w:before="0" w:after="283"/>
              <w:jc w:val="left"/>
              <w:rPr/>
            </w:pPr>
            <w:r>
              <w:rPr/>
              <w:t>)</w:t>
            </w:r>
          </w:p>
        </w:tc>
      </w:tr>
      <w:tr>
        <w:trPr/>
        <w:tc>
          <w:tcPr>
            <w:tcW w:w="7325" w:type="dxa"/>
            <w:tcBorders/>
            <w:shd w:fill="FFFFFF" w:val="clear"/>
            <w:vAlign w:val="center"/>
          </w:tcPr>
          <w:p>
            <w:pPr>
              <w:pStyle w:val="TableContents"/>
              <w:spacing w:before="0" w:after="283"/>
              <w:rPr/>
            </w:pPr>
            <w:r>
              <w:rPr/>
              <w:t>Revenue share payable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(622,956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(1,202,497</w:t>
            </w:r>
          </w:p>
        </w:tc>
        <w:tc>
          <w:tcPr>
            <w:tcW w:w="110" w:type="dxa"/>
            <w:tcBorders/>
            <w:shd w:fill="FFFFFF" w:val="clear"/>
            <w:vAlign w:val="center"/>
          </w:tcPr>
          <w:p>
            <w:pPr>
              <w:pStyle w:val="TableContents"/>
              <w:spacing w:before="0" w:after="283"/>
              <w:jc w:val="left"/>
              <w:rPr/>
            </w:pPr>
            <w:r>
              <w:rPr/>
              <w:t>)</w:t>
            </w:r>
          </w:p>
        </w:tc>
      </w:tr>
      <w:tr>
        <w:trPr/>
        <w:tc>
          <w:tcPr>
            <w:tcW w:w="7325" w:type="dxa"/>
            <w:tcBorders/>
            <w:shd w:fill="CCEEFF" w:val="clear"/>
            <w:vAlign w:val="center"/>
          </w:tcPr>
          <w:p>
            <w:pPr>
              <w:pStyle w:val="TableContents"/>
              <w:spacing w:before="0" w:after="283"/>
              <w:jc w:val="left"/>
              <w:rPr/>
            </w:pPr>
            <w:r>
              <w:rPr/>
              <w:t>Accrued expenses and other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(476,392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(1,184,784</w:t>
            </w:r>
          </w:p>
        </w:tc>
        <w:tc>
          <w:tcPr>
            <w:tcW w:w="110" w:type="dxa"/>
            <w:tcBorders/>
            <w:shd w:fill="CCEEFF" w:val="clear"/>
            <w:vAlign w:val="center"/>
          </w:tcPr>
          <w:p>
            <w:pPr>
              <w:pStyle w:val="TableContents"/>
              <w:spacing w:before="0" w:after="283"/>
              <w:jc w:val="left"/>
              <w:rPr/>
            </w:pPr>
            <w:r>
              <w:rPr/>
              <w:t>)</w:t>
            </w:r>
          </w:p>
        </w:tc>
      </w:tr>
      <w:tr>
        <w:trPr/>
        <w:tc>
          <w:tcPr>
            <w:tcW w:w="7325" w:type="dxa"/>
            <w:tcBorders/>
            <w:shd w:fill="FFFFFF" w:val="clear"/>
            <w:vAlign w:val="center"/>
          </w:tcPr>
          <w:p>
            <w:pPr>
              <w:pStyle w:val="TableContents"/>
              <w:spacing w:before="0" w:after="283"/>
              <w:jc w:val="left"/>
              <w:rPr/>
            </w:pPr>
            <w:r>
              <w:rPr/>
              <w:t>Deferred revenue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570,831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(96,863</w:t>
            </w:r>
          </w:p>
        </w:tc>
        <w:tc>
          <w:tcPr>
            <w:tcW w:w="110" w:type="dxa"/>
            <w:tcBorders/>
            <w:shd w:fill="FFFFFF" w:val="clear"/>
            <w:vAlign w:val="center"/>
          </w:tcPr>
          <w:p>
            <w:pPr>
              <w:pStyle w:val="TableContents"/>
              <w:spacing w:before="0" w:after="283"/>
              <w:jc w:val="left"/>
              <w:rPr/>
            </w:pPr>
            <w:r>
              <w:rPr/>
              <w:t>)</w:t>
            </w:r>
          </w:p>
        </w:tc>
      </w:tr>
      <w:tr>
        <w:trPr/>
        <w:tc>
          <w:tcPr>
            <w:tcW w:w="7325" w:type="dxa"/>
            <w:tcBorders/>
            <w:shd w:fill="CCEEFF" w:val="clear"/>
            <w:vAlign w:val="center"/>
          </w:tcPr>
          <w:p>
            <w:pPr>
              <w:pStyle w:val="TableContents"/>
              <w:spacing w:before="0" w:after="283"/>
              <w:jc w:val="left"/>
              <w:rPr>
                <w:b/>
              </w:rPr>
            </w:pPr>
            <w:r>
              <w:rPr>
                <w:b/>
              </w:rPr>
              <w:t>NET CASH (USED IN) PROVIDED BY OPERATING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(86,330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4,080,244</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b/>
              </w:rPr>
            </w:pPr>
            <w:r>
              <w:rPr>
                <w:b/>
              </w:rPr>
              <w:t>CASH FLOWS USED IN INVESTING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jc w:val="left"/>
              <w:rPr/>
            </w:pPr>
            <w:r>
              <w:rPr/>
              <w:t>Purchase of property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(28,580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(14,480</w:t>
            </w:r>
          </w:p>
        </w:tc>
        <w:tc>
          <w:tcPr>
            <w:tcW w:w="110" w:type="dxa"/>
            <w:tcBorders/>
            <w:shd w:fill="FFFFFF" w:val="clear"/>
            <w:vAlign w:val="center"/>
          </w:tcPr>
          <w:p>
            <w:pPr>
              <w:pStyle w:val="TableContents"/>
              <w:spacing w:before="0" w:after="283"/>
              <w:jc w:val="left"/>
              <w:rPr/>
            </w:pPr>
            <w:r>
              <w:rPr/>
              <w:t>)</w:t>
            </w:r>
          </w:p>
        </w:tc>
      </w:tr>
      <w:tr>
        <w:trPr/>
        <w:tc>
          <w:tcPr>
            <w:tcW w:w="7325" w:type="dxa"/>
            <w:tcBorders/>
            <w:shd w:fill="CCEEFF" w:val="clear"/>
            <w:vAlign w:val="center"/>
          </w:tcPr>
          <w:p>
            <w:pPr>
              <w:pStyle w:val="TableContents"/>
              <w:spacing w:before="0" w:after="283"/>
              <w:jc w:val="left"/>
              <w:rPr/>
            </w:pPr>
            <w:r>
              <w:rPr/>
              <w:t>Purchases of held-to-maturity investments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(56,926,611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jc w:val="left"/>
              <w:rPr/>
            </w:pPr>
            <w:r>
              <w:rPr/>
              <w:t>Redemptions of held-to-maturity investments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55,600,198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pPr>
            <w:r>
              <w:rPr/>
              <w:t>Acquisition of intangible assets, including intellectual property rights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(51,271</w:t>
            </w:r>
          </w:p>
        </w:tc>
        <w:tc>
          <w:tcPr>
            <w:tcW w:w="110" w:type="dxa"/>
            <w:tcBorders/>
            <w:shd w:fill="CCEEFF" w:val="clear"/>
            <w:vAlign w:val="center"/>
          </w:tcPr>
          <w:p>
            <w:pPr>
              <w:pStyle w:val="TableContents"/>
              <w:spacing w:before="0" w:after="283"/>
              <w:jc w:val="left"/>
              <w:rPr/>
            </w:pPr>
            <w:r>
              <w:rPr/>
              <w:t>)</w:t>
            </w:r>
          </w:p>
        </w:tc>
      </w:tr>
      <w:tr>
        <w:trPr/>
        <w:tc>
          <w:tcPr>
            <w:tcW w:w="7325" w:type="dxa"/>
            <w:tcBorders/>
            <w:shd w:fill="FFFFFF" w:val="clear"/>
            <w:vAlign w:val="center"/>
          </w:tcPr>
          <w:p>
            <w:pPr>
              <w:pStyle w:val="TableContents"/>
              <w:spacing w:before="0" w:after="283"/>
              <w:jc w:val="left"/>
              <w:rPr/>
            </w:pPr>
            <w:r>
              <w:rPr/>
              <w:t>Capitalized software development costs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(193,901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b/>
              </w:rPr>
            </w:pPr>
            <w:r>
              <w:rPr>
                <w:b/>
              </w:rPr>
              <w:t>NET CASH USED IN INVESTING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(1,548,894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(65,751</w:t>
            </w:r>
          </w:p>
        </w:tc>
        <w:tc>
          <w:tcPr>
            <w:tcW w:w="110" w:type="dxa"/>
            <w:tcBorders/>
            <w:shd w:fill="CCEEFF" w:val="clear"/>
            <w:vAlign w:val="center"/>
          </w:tcPr>
          <w:p>
            <w:pPr>
              <w:pStyle w:val="TableContents"/>
              <w:spacing w:before="0" w:after="283"/>
              <w:jc w:val="left"/>
              <w:rPr/>
            </w:pPr>
            <w:r>
              <w:rPr/>
              <w:t>)</w:t>
            </w:r>
          </w:p>
        </w:tc>
      </w:tr>
      <w:tr>
        <w:trPr/>
        <w:tc>
          <w:tcPr>
            <w:tcW w:w="73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b/>
              </w:rPr>
            </w:pPr>
            <w:r>
              <w:rPr>
                <w:b/>
              </w:rPr>
              <w:t>CASH FLOWS (USED IN) PROVIDED BY FINANCING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jc w:val="left"/>
              <w:rPr/>
            </w:pPr>
            <w:r>
              <w:rPr/>
              <w:t>Cash paid for employee withholding taxes related to the vesting of restricted stock units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(170,400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pPr>
            <w:r>
              <w:rPr/>
              <w:t>Proceeds from exercise of stock options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40,606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258,128</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jc w:val="left"/>
              <w:rPr>
                <w:b/>
              </w:rPr>
            </w:pPr>
            <w:r>
              <w:rPr>
                <w:b/>
              </w:rPr>
              <w:t>NET CASH (USED IN) PROVIDED BY FINANCING ACTIVITIES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(129,794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258,128</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b/>
              </w:rPr>
            </w:pPr>
            <w:r>
              <w:rPr>
                <w:b/>
              </w:rPr>
              <w:t>NET (DECREASE) INCREASE IN CASH AND CASH EQUIVALENTS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(1,765,018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4,272,621</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jc w:val="left"/>
              <w:rPr>
                <w:b/>
              </w:rPr>
            </w:pPr>
            <w:r>
              <w:rPr>
                <w:b/>
              </w:rPr>
              <w:t>CASH AND CASH EQUIVALENTS - BEGINNING OF PERIOD</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spacing w:before="0" w:after="283"/>
              <w:jc w:val="right"/>
              <w:rPr/>
            </w:pPr>
            <w:r>
              <w:rPr/>
              <w:t>18,208,685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84,681,770</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b/>
              </w:rPr>
            </w:pPr>
            <w:r>
              <w:rPr>
                <w:b/>
              </w:rPr>
              <w:t>CASH AND CASH EQUIVALENTS - END OF PERIOD</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16,443,667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88,954,391</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b/>
              </w:rPr>
            </w:pPr>
            <w:r>
              <w:rPr>
                <w:b/>
              </w:rPr>
              <w:t>SUPPLEMENTAL CASH FLOW INFORMATION: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325" w:type="dxa"/>
            <w:tcBorders/>
            <w:shd w:fill="FFFFFF" w:val="clear"/>
            <w:vAlign w:val="center"/>
          </w:tcPr>
          <w:p>
            <w:pPr>
              <w:pStyle w:val="TableContents"/>
              <w:spacing w:before="0" w:after="283"/>
              <w:jc w:val="left"/>
              <w:rPr/>
            </w:pPr>
            <w:r>
              <w:rPr/>
              <w:t>Cash paid for interest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325" w:type="dxa"/>
            <w:tcBorders/>
            <w:shd w:fill="CCEEFF" w:val="clear"/>
            <w:vAlign w:val="center"/>
          </w:tcPr>
          <w:p>
            <w:pPr>
              <w:pStyle w:val="TableContents"/>
              <w:spacing w:before="0" w:after="283"/>
              <w:jc w:val="left"/>
              <w:rPr/>
            </w:pPr>
            <w:r>
              <w:rPr/>
              <w:t>Cash paid for income taxes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to GAAP FINANCIAL MEASURES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6410" w:type="dxa"/>
        <w:jc w:val="left"/>
        <w:tblInd w:w="0" w:type="dxa"/>
        <w:tblCellMar>
          <w:top w:w="0" w:type="dxa"/>
          <w:left w:w="0" w:type="dxa"/>
          <w:bottom w:w="0" w:type="dxa"/>
          <w:right w:w="0" w:type="dxa"/>
        </w:tblCellMar>
      </w:tblPr>
      <w:tblGrid>
        <w:gridCol w:w="3605"/>
        <w:gridCol w:w="60"/>
        <w:gridCol w:w="140"/>
        <w:gridCol w:w="1100"/>
        <w:gridCol w:w="95"/>
        <w:gridCol w:w="60"/>
        <w:gridCol w:w="140"/>
        <w:gridCol w:w="1100"/>
        <w:gridCol w:w="110"/>
      </w:tblGrid>
      <w:tr>
        <w:trPr/>
        <w:tc>
          <w:tcPr>
            <w:tcW w:w="3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3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For the Three Months</w:t>
              <w:br/>
              <w:t>Ended March 31,</w:t>
            </w:r>
          </w:p>
        </w:tc>
        <w:tc>
          <w:tcPr>
            <w:tcW w:w="110" w:type="dxa"/>
            <w:tcBorders/>
            <w:shd w:fill="auto" w:val="clear"/>
            <w:vAlign w:val="center"/>
          </w:tcPr>
          <w:p>
            <w:pPr>
              <w:pStyle w:val="TableContents"/>
              <w:spacing w:before="0" w:after="283"/>
              <w:rPr/>
            </w:pPr>
            <w:r>
              <w:rPr/>
              <w:t> </w:t>
            </w:r>
          </w:p>
        </w:tc>
      </w:tr>
      <w:tr>
        <w:trPr/>
        <w:tc>
          <w:tcPr>
            <w:tcW w:w="36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10" w:type="dxa"/>
            <w:tcBorders/>
            <w:shd w:fill="auto" w:val="clear"/>
            <w:vAlign w:val="center"/>
          </w:tcPr>
          <w:p>
            <w:pPr>
              <w:pStyle w:val="TableContents"/>
              <w:spacing w:before="0" w:after="283"/>
              <w:rPr/>
            </w:pPr>
            <w:r>
              <w:rPr/>
              <w:t> </w:t>
            </w:r>
          </w:p>
        </w:tc>
      </w:tr>
      <w:tr>
        <w:trPr/>
        <w:tc>
          <w:tcPr>
            <w:tcW w:w="360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(6,397,714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(3,761,098</w:t>
            </w:r>
          </w:p>
        </w:tc>
        <w:tc>
          <w:tcPr>
            <w:tcW w:w="110" w:type="dxa"/>
            <w:tcBorders/>
            <w:shd w:fill="CCEEFF" w:val="clear"/>
            <w:vAlign w:val="center"/>
          </w:tcPr>
          <w:p>
            <w:pPr>
              <w:pStyle w:val="TableContents"/>
              <w:spacing w:before="0" w:after="283"/>
              <w:jc w:val="left"/>
              <w:rPr/>
            </w:pPr>
            <w:r>
              <w:rPr/>
              <w:t>)</w:t>
            </w:r>
          </w:p>
        </w:tc>
      </w:tr>
      <w:tr>
        <w:trPr/>
        <w:tc>
          <w:tcPr>
            <w:tcW w:w="3605" w:type="dxa"/>
            <w:tcBorders/>
            <w:shd w:fill="FFFFFF" w:val="clear"/>
            <w:vAlign w:val="center"/>
          </w:tcPr>
          <w:p>
            <w:pPr>
              <w:pStyle w:val="TableContents"/>
              <w:spacing w:before="0" w:after="283"/>
              <w:jc w:val="left"/>
              <w:rPr/>
            </w:pPr>
            <w:r>
              <w:rPr/>
              <w:t>Depreciation and amortization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463,933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471,539</w:t>
            </w:r>
          </w:p>
        </w:tc>
        <w:tc>
          <w:tcPr>
            <w:tcW w:w="110" w:type="dxa"/>
            <w:tcBorders/>
            <w:shd w:fill="FFFFFF" w:val="clear"/>
            <w:vAlign w:val="center"/>
          </w:tcPr>
          <w:p>
            <w:pPr>
              <w:pStyle w:val="TableContents"/>
              <w:spacing w:before="0" w:after="283"/>
              <w:jc w:val="left"/>
              <w:rPr/>
            </w:pPr>
            <w:r>
              <w:rPr/>
              <w:t> </w:t>
            </w:r>
          </w:p>
        </w:tc>
      </w:tr>
      <w:tr>
        <w:trPr/>
        <w:tc>
          <w:tcPr>
            <w:tcW w:w="3605" w:type="dxa"/>
            <w:tcBorders/>
            <w:shd w:fill="CCEEFF" w:val="clear"/>
            <w:vAlign w:val="center"/>
          </w:tcPr>
          <w:p>
            <w:pPr>
              <w:pStyle w:val="TableContents"/>
              <w:spacing w:before="0" w:after="283"/>
              <w:jc w:val="left"/>
              <w:rPr/>
            </w:pPr>
            <w:r>
              <w:rPr/>
              <w:t>Stock-based compensation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4,380,503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3,174,098</w:t>
            </w:r>
          </w:p>
        </w:tc>
        <w:tc>
          <w:tcPr>
            <w:tcW w:w="110" w:type="dxa"/>
            <w:tcBorders/>
            <w:shd w:fill="CCEEFF" w:val="clear"/>
            <w:vAlign w:val="center"/>
          </w:tcPr>
          <w:p>
            <w:pPr>
              <w:pStyle w:val="TableContents"/>
              <w:spacing w:before="0" w:after="283"/>
              <w:jc w:val="left"/>
              <w:rPr/>
            </w:pPr>
            <w:r>
              <w:rPr/>
              <w:t> </w:t>
            </w:r>
          </w:p>
        </w:tc>
      </w:tr>
      <w:tr>
        <w:trPr/>
        <w:tc>
          <w:tcPr>
            <w:tcW w:w="3605" w:type="dxa"/>
            <w:tcBorders/>
            <w:shd w:fill="FFFFFF" w:val="clear"/>
            <w:vAlign w:val="center"/>
          </w:tcPr>
          <w:p>
            <w:pPr>
              <w:pStyle w:val="TableContents"/>
              <w:spacing w:before="0" w:after="283"/>
              <w:jc w:val="left"/>
              <w:rPr/>
            </w:pPr>
            <w:r>
              <w:rPr/>
              <w:t>Acquisition expense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17,160</w:t>
            </w:r>
          </w:p>
        </w:tc>
        <w:tc>
          <w:tcPr>
            <w:tcW w:w="110" w:type="dxa"/>
            <w:tcBorders/>
            <w:shd w:fill="FFFFFF" w:val="clear"/>
            <w:vAlign w:val="center"/>
          </w:tcPr>
          <w:p>
            <w:pPr>
              <w:pStyle w:val="TableContents"/>
              <w:spacing w:before="0" w:after="283"/>
              <w:jc w:val="left"/>
              <w:rPr/>
            </w:pPr>
            <w:r>
              <w:rPr/>
              <w:t> </w:t>
            </w:r>
          </w:p>
        </w:tc>
      </w:tr>
      <w:tr>
        <w:trPr/>
        <w:tc>
          <w:tcPr>
            <w:tcW w:w="3605" w:type="dxa"/>
            <w:tcBorders/>
            <w:shd w:fill="CCEEFF" w:val="clear"/>
            <w:vAlign w:val="center"/>
          </w:tcPr>
          <w:p>
            <w:pPr>
              <w:pStyle w:val="TableContents"/>
              <w:spacing w:before="0" w:after="283"/>
              <w:jc w:val="left"/>
              <w:rPr/>
            </w:pPr>
            <w:r>
              <w:rPr/>
              <w:t>Non-GAAP net loss</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(1,553,278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(98,301</w:t>
            </w:r>
          </w:p>
        </w:tc>
        <w:tc>
          <w:tcPr>
            <w:tcW w:w="110" w:type="dxa"/>
            <w:tcBorders/>
            <w:shd w:fill="CCEEFF" w:val="clear"/>
            <w:vAlign w:val="center"/>
          </w:tcPr>
          <w:p>
            <w:pPr>
              <w:pStyle w:val="TableContents"/>
              <w:spacing w:before="0" w:after="283"/>
              <w:jc w:val="left"/>
              <w:rPr/>
            </w:pPr>
            <w:r>
              <w:rPr/>
              <w:t>)</w:t>
            </w:r>
          </w:p>
        </w:tc>
      </w:tr>
      <w:tr>
        <w:trPr/>
        <w:tc>
          <w:tcPr>
            <w:tcW w:w="36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3605" w:type="dxa"/>
            <w:tcBorders/>
            <w:shd w:fill="CCEEFF" w:val="clear"/>
            <w:vAlign w:val="center"/>
          </w:tcPr>
          <w:p>
            <w:pPr>
              <w:pStyle w:val="TableContents"/>
              <w:spacing w:before="0" w:after="283"/>
              <w:rPr/>
            </w:pPr>
            <w:r>
              <w:rPr/>
              <w:t>Non-GAAP net loss per share</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605" w:type="dxa"/>
            <w:tcBorders/>
            <w:shd w:fill="FFFFFF" w:val="clear"/>
            <w:vAlign w:val="center"/>
          </w:tcPr>
          <w:p>
            <w:pPr>
              <w:pStyle w:val="TableContents"/>
              <w:spacing w:before="0" w:after="283"/>
              <w:rPr/>
            </w:pPr>
            <w:r>
              <w:rPr/>
              <w:t>Diluted</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(0.09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(0.01</w:t>
            </w:r>
          </w:p>
        </w:tc>
        <w:tc>
          <w:tcPr>
            <w:tcW w:w="110" w:type="dxa"/>
            <w:tcBorders/>
            <w:shd w:fill="FFFFFF" w:val="clear"/>
            <w:vAlign w:val="center"/>
          </w:tcPr>
          <w:p>
            <w:pPr>
              <w:pStyle w:val="TableContents"/>
              <w:spacing w:before="0" w:after="283"/>
              <w:jc w:val="left"/>
              <w:rPr/>
            </w:pPr>
            <w:r>
              <w:rPr/>
              <w:t>)</w:t>
            </w:r>
          </w:p>
        </w:tc>
      </w:tr>
      <w:tr>
        <w:trPr/>
        <w:tc>
          <w:tcPr>
            <w:tcW w:w="3605" w:type="dxa"/>
            <w:tcBorders/>
            <w:shd w:fill="CCEEFF" w:val="clear"/>
            <w:vAlign w:val="center"/>
          </w:tcPr>
          <w:p>
            <w:pPr>
              <w:pStyle w:val="TableContents"/>
              <w:spacing w:before="0" w:after="283"/>
              <w:rPr/>
            </w:pPr>
            <w:r>
              <w:rPr/>
              <w:t>Weighted average shares outstanding: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3605" w:type="dxa"/>
            <w:tcBorders/>
            <w:shd w:fill="FFFFFF" w:val="clear"/>
            <w:vAlign w:val="center"/>
          </w:tcPr>
          <w:p>
            <w:pPr>
              <w:pStyle w:val="TableContents"/>
              <w:spacing w:before="0" w:after="283"/>
              <w:rPr/>
            </w:pPr>
            <w:r>
              <w:rPr/>
              <w:t>Diluted</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17,094,676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10"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spacing w:before="0" w:after="283"/>
              <w:jc w:val="right"/>
              <w:rPr/>
            </w:pPr>
            <w:r>
              <w:rPr/>
              <w:t>17,878,068</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spacing w:before="0" w:after="283"/>
        <w:rPr>
          <w:bdr w:val="single" w:sz="12" w:space="1" w:color="000000"/>
        </w:rPr>
      </w:pPr>
      <w:r>
        <w:rPr>
          <w:bdr w:val="single" w:sz="12" w:space="1"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2628</Words>
  <CharactersWithSpaces>18425</CharactersWithSpaces>
  <Paragraphs>1262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