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223520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140" w:type="dxa"/>
            <w:vAlign w:val="bottom"/>
            <w:gridSpan w:val="8"/>
          </w:tcPr>
          <w:p>
            <w:pPr>
              <w:jc w:val="center"/>
              <w:ind w:left="3190"/>
              <w:spacing w:after="0"/>
              <w:rPr>
                <w:sz w:val="20"/>
                <w:szCs w:val="20"/>
                <w:color w:val="auto"/>
              </w:rPr>
            </w:pPr>
            <w:r>
              <w:rPr>
                <w:rFonts w:ascii="Arial" w:cs="Arial" w:eastAsia="Arial" w:hAnsi="Arial"/>
                <w:sz w:val="18"/>
                <w:szCs w:val="18"/>
                <w:color w:val="auto"/>
                <w:w w:val="91"/>
              </w:rPr>
              <w:t>Date of Report (Date of earliest event reported): March 20, 2019</w:t>
            </w:r>
          </w:p>
        </w:tc>
        <w:tc>
          <w:tcPr>
            <w:tcW w:w="3280" w:type="dxa"/>
            <w:vAlign w:val="bottom"/>
          </w:tcPr>
          <w:p>
            <w:pPr>
              <w:spacing w:after="0"/>
              <w:rPr>
                <w:sz w:val="20"/>
                <w:szCs w:val="20"/>
                <w:color w:val="auto"/>
              </w:rPr>
            </w:pPr>
          </w:p>
        </w:tc>
      </w:tr>
      <w:tr>
        <w:trPr>
          <w:trHeight w:val="3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520" w:type="dxa"/>
            <w:vAlign w:val="bottom"/>
            <w:gridSpan w:val="4"/>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780" w:type="dxa"/>
            <w:vAlign w:val="bottom"/>
          </w:tcPr>
          <w:p>
            <w:pPr>
              <w:spacing w:after="0"/>
              <w:rPr>
                <w:sz w:val="20"/>
                <w:szCs w:val="20"/>
                <w:color w:val="auto"/>
              </w:rPr>
            </w:pPr>
          </w:p>
        </w:tc>
        <w:tc>
          <w:tcPr>
            <w:tcW w:w="4360" w:type="dxa"/>
            <w:vAlign w:val="bottom"/>
            <w:gridSpan w:val="7"/>
          </w:tcPr>
          <w:p>
            <w:pPr>
              <w:jc w:val="center"/>
              <w:ind w:right="48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39"/>
        </w:trPr>
        <w:tc>
          <w:tcPr>
            <w:tcW w:w="378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84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8140" w:type="dxa"/>
            <w:vAlign w:val="bottom"/>
            <w:gridSpan w:val="8"/>
          </w:tcPr>
          <w:p>
            <w:pPr>
              <w:jc w:val="center"/>
              <w:ind w:right="600"/>
              <w:spacing w:after="0"/>
              <w:rPr>
                <w:sz w:val="20"/>
                <w:szCs w:val="20"/>
                <w:color w:val="auto"/>
              </w:rPr>
            </w:pPr>
            <w:r>
              <w:rPr>
                <w:rFonts w:ascii="Arial" w:cs="Arial" w:eastAsia="Arial" w:hAnsi="Arial"/>
                <w:sz w:val="18"/>
                <w:szCs w:val="18"/>
                <w:color w:val="auto"/>
                <w:w w:val="90"/>
              </w:rPr>
              <w:t>400 Water Street, Suite 200, Rochester, MI</w:t>
            </w:r>
          </w:p>
        </w:tc>
        <w:tc>
          <w:tcPr>
            <w:tcW w:w="328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March 20, 2019, we issued a press release announcing results and findings from our Drug Cost Survey.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20, 2019</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180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2019</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302895</wp:posOffset>
            </wp:positionV>
            <wp:extent cx="4116705" cy="969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670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Survey Shows Providers Want to Engage with Patients on Drug Costs for Adherence and Improved Care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More than 600 providers polled, showing awareness of patients’ increasing drug costs but missed opportunity to support patient financial savings</w:t>
      </w:r>
    </w:p>
    <w:p>
      <w:pPr>
        <w:spacing w:after="0" w:line="233"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 xml:space="preserve">ROCHESTER, Mich., (March 20, 2019) — </w:t>
      </w:r>
      <w:r>
        <w:rPr>
          <w:rFonts w:ascii="Arial" w:cs="Arial" w:eastAsia="Arial" w:hAnsi="Arial"/>
          <w:sz w:val="18"/>
          <w:szCs w:val="18"/>
          <w:color w:val="auto"/>
        </w:rPr>
        <w:t>OptimizeRx Corp. (NASDAQ: OPRX), a leading digital health messaging platform for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released its full results and findings from its Drug Cost Survey. The survey focused on prescription drug costs, yielding insights into physician perspectives on the affordability of prescription drugs and patient adherence to prescription regimens.</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Released in partnership with Jane Sarasohn-Kahn, a health economist, advisor and industry influencer from THINK-Health LLC and Health Populi, the full survey findings concluded that: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cost of prescription drugs is on the mind of physicians and patients alike.</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vast majority of patients raise the issue of the cost of prescription drugs with their doctors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Most physicians (86 percent) are comfortable discussing health care costs with patients and over 90 percent believe they have a role to play in discussing healthcare costs with patients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73 percent of physicians feel patient’s responsibility for cost is important when making a prescribing decision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Physicians believe a variety of factors that lead to unfilled prescriptions, including:</w:t>
      </w:r>
    </w:p>
    <w:p>
      <w:pPr>
        <w:spacing w:after="0" w:line="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costs of prescribed medicines (70 percent)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Intolerable or unpleasant side effects (45 percent)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patient’s desire not to take pills (34 percent)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Patients already taking too many pills (31 percent)</w:t>
      </w:r>
    </w:p>
    <w:p>
      <w:pPr>
        <w:spacing w:after="0" w:line="20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While doctors believe they understand the reasons for patients not filling prescriptions, too few physicians track when patients haven’t filled that script: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Only 5 percent of doctors “always” track an unfilled prescription and 18 percent “usually” do so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Taken together, that means that three-quarters of doctors are </w:t>
      </w:r>
      <w:r>
        <w:rPr>
          <w:rFonts w:ascii="Arial" w:cs="Arial" w:eastAsia="Arial" w:hAnsi="Arial"/>
          <w:sz w:val="18"/>
          <w:szCs w:val="18"/>
          <w:i w:val="1"/>
          <w:iCs w:val="1"/>
          <w:color w:val="auto"/>
        </w:rPr>
        <w:t>not</w:t>
      </w:r>
      <w:r>
        <w:rPr>
          <w:rFonts w:ascii="Arial" w:cs="Arial" w:eastAsia="Arial" w:hAnsi="Arial"/>
          <w:sz w:val="18"/>
          <w:szCs w:val="18"/>
          <w:color w:val="auto"/>
        </w:rPr>
        <w:t xml:space="preserve"> tracking unfilled prescriptions</w:t>
      </w:r>
    </w:p>
    <w:p>
      <w:pPr>
        <w:spacing w:after="0" w:line="21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“According to a recent study, lack of medication adherence costs the U.S. health system as much as $528 billion in the context of possible consequences, illnesses, and deaths that result from non-optimized medication therapy,” said Sarasohn-Kahn. “Patients are at-risk of contributing to this public health challenge when they avoid filling prescriptions. There are strategies that can help to risk-manage this in order to lower care costs and improve peoples’ outcomes. We need to address this through an ecosystem-wide, holistic 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64" w:lineRule="auto"/>
        <w:rPr>
          <w:sz w:val="20"/>
          <w:szCs w:val="20"/>
          <w:color w:val="auto"/>
        </w:rPr>
      </w:pPr>
      <w:r>
        <w:rPr>
          <w:rFonts w:ascii="Arial" w:cs="Arial" w:eastAsia="Arial" w:hAnsi="Arial"/>
          <w:sz w:val="18"/>
          <w:szCs w:val="18"/>
          <w:color w:val="auto"/>
        </w:rPr>
        <w:t>Added Miriam Paramore, president of OptimizeRx: “Shared decision-making between patients and prescribers will be more important than ever, and the cost-conversations and discussions around access will be central in the patient-prescriber relationship. We’re working tirelessly to fill this communication gap so that providers can successfully address cost challenges to support consumer loyalty and trust.”</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survey was the first to be executed through OptimizeMDs, a multi-specialty physician panel created by OptimizeRx to improve the effectiveness of digital communication between pharma/life sciences and physicians at the point-of-care. Initial results were released at the Healthcare Information Management Systems Society (HIMSS) 2019 conference. OptimizeRx plans to facilitate a corollary consumer survey to gauge their perspectives on financial discussions, prescription affordability and medication adherence.</w:t>
      </w:r>
    </w:p>
    <w:p>
      <w:pPr>
        <w:spacing w:after="0" w:line="187"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The full position paper and survey results can be downloaded at info.optimizerx.com/survey-results. For more information on OptimizeRx, visit www.optimizerx.com.</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Conducted between January 9 and 14, 2019, the survey included responses from 642 physicians across a variety of specialties, practice and/or hospital sizes and locations across the United States. It was the first to be executed through OptimizeMDs, a multi-specialty physician panel created by OptimizeRx to improve the effectiveness of digital communication between pharma/life sciences and physicians at the point-of-care. OptimizeMDs is one of the brand support services available to pharmaceutical manufacturers.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industry, OptimizeRx provides a direct channel for pharma companies to communicate with healthcare providers right within their workflow and also directly to patients.</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80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2019-12-28T14:29:34Z</dcterms:created>
  <dcterms:modified xsi:type="dcterms:W3CDTF">2019-12-28T14:29:34Z</dcterms:modified>
</cp:coreProperties>
</file>