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142240</wp:posOffset>
            </wp:positionV>
            <wp:extent cx="21697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158115</wp:posOffset>
            </wp:positionV>
            <wp:extent cx="21697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(g)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142875</wp:posOffset>
            </wp:positionV>
            <wp:extent cx="21697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OptimizeRx Corporation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142240</wp:posOffset>
            </wp:positionV>
            <wp:extent cx="216979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Nevada</w:t>
            </w:r>
          </w:p>
        </w:tc>
        <w:tc>
          <w:tcPr>
            <w:tcW w:w="5600" w:type="dxa"/>
            <w:vAlign w:val="bottom"/>
          </w:tcPr>
          <w:p>
            <w:pPr>
              <w:jc w:val="right"/>
              <w:ind w:right="227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5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(State of incorporation</w:t>
            </w:r>
          </w:p>
        </w:tc>
        <w:tc>
          <w:tcPr>
            <w:tcW w:w="200" w:type="dxa"/>
            <w:vAlign w:val="bottom"/>
          </w:tcPr>
          <w:p>
            <w:pPr>
              <w:spacing w:after="0"/>
              <w:rPr>
                <w:sz w:val="17"/>
                <w:szCs w:val="17"/>
                <w:color w:val="auto"/>
              </w:rPr>
            </w:pPr>
          </w:p>
        </w:tc>
        <w:tc>
          <w:tcPr>
            <w:tcW w:w="5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or organization)</w:t>
            </w:r>
          </w:p>
        </w:tc>
        <w:tc>
          <w:tcPr>
            <w:tcW w:w="560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407 Sixth Street, Rochester, MI</w:t>
            </w:r>
          </w:p>
        </w:tc>
        <w:tc>
          <w:tcPr>
            <w:tcW w:w="5600" w:type="dxa"/>
            <w:vAlign w:val="bottom"/>
          </w:tcPr>
          <w:p>
            <w:pPr>
              <w:jc w:val="right"/>
              <w:ind w:right="2490"/>
              <w:spacing w:after="0"/>
              <w:rPr>
                <w:sz w:val="20"/>
                <w:szCs w:val="20"/>
                <w:color w:val="auto"/>
              </w:rPr>
            </w:pPr>
            <w:r>
              <w:rPr>
                <w:rFonts w:ascii="Arial" w:cs="Arial" w:eastAsia="Arial" w:hAnsi="Arial"/>
                <w:sz w:val="18"/>
                <w:szCs w:val="18"/>
                <w:b w:val="1"/>
                <w:bCs w:val="1"/>
                <w:color w:val="auto"/>
              </w:rPr>
              <w:t>48307</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11420" w:type="dxa"/>
            <w:vAlign w:val="bottom"/>
            <w:gridSpan w:val="3"/>
          </w:tcPr>
          <w:p>
            <w:pPr>
              <w:ind w:left="3440"/>
              <w:spacing w:after="0"/>
              <w:rPr>
                <w:sz w:val="20"/>
                <w:szCs w:val="20"/>
                <w:color w:val="auto"/>
              </w:rPr>
            </w:pPr>
            <w:r>
              <w:rPr>
                <w:rFonts w:ascii="Arial" w:cs="Arial" w:eastAsia="Arial" w:hAnsi="Arial"/>
                <w:sz w:val="18"/>
                <w:szCs w:val="18"/>
                <w:color w:val="auto"/>
              </w:rPr>
              <w:t>Securities to be registered pursuant to Section 12(b) of the Act:</w:t>
            </w:r>
          </w:p>
        </w:tc>
      </w:tr>
      <w:tr>
        <w:trPr>
          <w:trHeight w:val="41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Title of each class</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to be so registered</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5"/>
              </w:rPr>
              <w:t>each class is to be registered</w:t>
            </w:r>
          </w:p>
        </w:tc>
      </w:tr>
      <w:tr>
        <w:trPr>
          <w:trHeight w:val="34"/>
        </w:trPr>
        <w:tc>
          <w:tcPr>
            <w:tcW w:w="5820" w:type="dxa"/>
            <w:vAlign w:val="bottom"/>
            <w:gridSpan w:val="2"/>
          </w:tcPr>
          <w:p>
            <w:pPr>
              <w:spacing w:after="0"/>
              <w:rPr>
                <w:sz w:val="2"/>
                <w:szCs w:val="2"/>
                <w:color w:val="auto"/>
              </w:rPr>
            </w:pPr>
          </w:p>
        </w:tc>
        <w:tc>
          <w:tcPr>
            <w:tcW w:w="5600" w:type="dxa"/>
            <w:vAlign w:val="bottom"/>
          </w:tcPr>
          <w:p>
            <w:pPr>
              <w:spacing w:after="0"/>
              <w:rPr>
                <w:sz w:val="2"/>
                <w:szCs w:val="2"/>
                <w:color w:val="auto"/>
              </w:rPr>
            </w:pPr>
          </w:p>
        </w:tc>
      </w:tr>
      <w:tr>
        <w:trPr>
          <w:trHeight w:val="23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00" w:type="dxa"/>
            <w:vAlign w:val="bottom"/>
          </w:tcPr>
          <w:p>
            <w:pPr>
              <w:spacing w:after="0"/>
              <w:rPr>
                <w:sz w:val="20"/>
                <w:szCs w:val="20"/>
                <w:color w:val="auto"/>
              </w:rPr>
            </w:pPr>
          </w:p>
        </w:tc>
        <w:tc>
          <w:tcPr>
            <w:tcW w:w="5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125730</wp:posOffset>
            </wp:positionV>
            <wp:extent cx="216979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or (e),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or (e), check the following box.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Securities Act registration statement or Regulation A offering statement file number to which this form relates: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Securities to be registered pursuant to Section 12(g) of the Act: </w:t>
      </w:r>
      <w:r>
        <w:rPr>
          <w:rFonts w:ascii="Arial" w:cs="Arial" w:eastAsia="Arial" w:hAnsi="Arial"/>
          <w:sz w:val="18"/>
          <w:szCs w:val="18"/>
          <w:b w:val="1"/>
          <w:bCs w:val="1"/>
          <w:color w:val="auto"/>
        </w:rPr>
        <w:t>None</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600710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Description of Registrant’s Securities to be Registered.</w:t>
      </w:r>
    </w:p>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description of the common stock, par value $0.001 per share (the “Common Stock”), of OptimizeRx Corporation (the “Company”), to be registered hereunder is contained in the section entitled “Description of Securities” in the prospectus forming a part of the Company’s Registration Statement on Form S-1 (Registration No. 333-225095), initially filed with the Securities and Exchange Commission (the “Commission”) on May 22, 2018, as subsequently amended from time to time (the “Registration Statement”), and is incorporated herein by reference. Any form of prospectus that constitutes part of the Registration Statement and is subsequently filed by the Company pursuant to Rule 424(b) under the Securities Act of 1933, as amended, shall be deemed to be incorporated by reference herein.</w:t>
      </w:r>
    </w:p>
    <w:p>
      <w:pPr>
        <w:spacing w:after="0" w:line="18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Instructions as to Exhibits for Form 8-A, no exhibits are required to be filed because no other securities of the Company are registered on The Nasdaq Stock Market LLC and the securities registered hereby are not being registered pursuant to Section 12(g) of the Securities Exchange Act of 1934, as amended.</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864" w:right="31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June 19, 2018</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14605</wp:posOffset>
            </wp:positionV>
            <wp:extent cx="26073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280"/>
      </w:cols>
      <w:pgMar w:left="240" w:top="86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2019-12-07T15:08:39Z</dcterms:created>
  <dcterms:modified xsi:type="dcterms:W3CDTF">2019-12-07T15:08:39Z</dcterms:modified>
</cp:coreProperties>
</file>