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[X]</w:t>
        <w:tab/>
        <w:t>Quarterly Report pursuant to Section 13 or 15(d) of the Securities Exchange Act of 1934</w:t>
      </w:r>
    </w:p>
    <w:p>
      <w:pPr>
        <w:spacing w:after="0" w:line="221" w:lineRule="exact"/>
        <w:rPr>
          <w:sz w:val="24"/>
          <w:szCs w:val="24"/>
          <w:color w:val="auto"/>
        </w:rPr>
      </w:pPr>
    </w:p>
    <w:p>
      <w:pPr>
        <w:ind w:left="7000"/>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u w:val="single" w:color="auto"/>
          <w:color w:val="auto"/>
        </w:rPr>
        <w:t>June 30, 2013</w:t>
      </w:r>
    </w:p>
    <w:p>
      <w:pPr>
        <w:spacing w:after="0" w:line="229"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tab/>
        <w:t>Transition Report pursuant to 13 or 15(d) of the Securities Exchange Act of 1934</w:t>
      </w:r>
    </w:p>
    <w:p>
      <w:pPr>
        <w:spacing w:after="0" w:line="225"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21" w:lineRule="exact"/>
        <w:rPr>
          <w:sz w:val="24"/>
          <w:szCs w:val="24"/>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000-53605</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Corporation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080" w:type="dxa"/>
            <w:vAlign w:val="bottom"/>
            <w:gridSpan w:val="5"/>
          </w:tcPr>
          <w:p>
            <w:pPr>
              <w:spacing w:after="0"/>
              <w:rPr>
                <w:sz w:val="17"/>
                <w:szCs w:val="17"/>
                <w:color w:val="auto"/>
              </w:rPr>
            </w:pPr>
          </w:p>
        </w:tc>
        <w:tc>
          <w:tcPr>
            <w:tcW w:w="25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20"/>
        </w:trPr>
        <w:tc>
          <w:tcPr>
            <w:tcW w:w="1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6520" w:type="dxa"/>
            <w:vAlign w:val="bottom"/>
            <w:gridSpan w:val="7"/>
          </w:tcPr>
          <w:p>
            <w:pPr>
              <w:jc w:val="center"/>
              <w:ind w:right="22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5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407 6th Street</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1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40" w:type="dxa"/>
            <w:vAlign w:val="bottom"/>
            <w:gridSpan w:val="4"/>
          </w:tcPr>
          <w:p>
            <w:pPr>
              <w:jc w:val="center"/>
              <w:ind w:right="7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Rochester, MI, 48307</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5"/>
          </w:tcPr>
          <w:p>
            <w:pPr>
              <w:jc w:val="center"/>
              <w:ind w:left="9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4480" w:type="dxa"/>
            <w:vAlign w:val="bottom"/>
            <w:gridSpan w:val="4"/>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248-651-6568</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5"/>
          </w:tcPr>
          <w:p>
            <w:pPr>
              <w:jc w:val="center"/>
              <w:ind w:left="930"/>
              <w:spacing w:after="0"/>
              <w:rPr>
                <w:sz w:val="20"/>
                <w:szCs w:val="20"/>
                <w:color w:val="auto"/>
              </w:rPr>
            </w:pPr>
            <w:r>
              <w:rPr>
                <w:rFonts w:ascii="Times New Roman" w:cs="Times New Roman" w:eastAsia="Times New Roman" w:hAnsi="Times New Roman"/>
                <w:sz w:val="18"/>
                <w:szCs w:val="18"/>
                <w:color w:val="auto"/>
                <w:w w:val="99"/>
              </w:rPr>
              <w:t>(Registrant's telephone number)</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98"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 Yes [ ] No</w:t>
      </w:r>
    </w:p>
    <w:p>
      <w:pPr>
        <w:spacing w:after="0" w:line="207"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[X] No [ ]</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00"/>
          </w:cols>
          <w:pgMar w:left="240" w:top="229" w:right="259" w:bottom="1440" w:gutter="0" w:footer="0" w:header="0"/>
        </w:sectPr>
      </w:pPr>
    </w:p>
    <w:p>
      <w:pPr>
        <w:spacing w:after="0" w:line="225" w:lineRule="exact"/>
        <w:rPr>
          <w:sz w:val="24"/>
          <w:szCs w:val="24"/>
          <w:color w:val="auto"/>
        </w:rPr>
      </w:pPr>
    </w:p>
    <w:p>
      <w:pPr>
        <w:ind w:right="1920"/>
        <w:spacing w:after="0" w:line="282" w:lineRule="auto"/>
        <w:rPr>
          <w:sz w:val="20"/>
          <w:szCs w:val="20"/>
          <w:color w:val="auto"/>
        </w:rPr>
      </w:pPr>
      <w:r>
        <w:rPr>
          <w:rFonts w:ascii="Times New Roman" w:cs="Times New Roman" w:eastAsia="Times New Roman" w:hAnsi="Times New Roman"/>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 Non-accelerated filer</w:t>
      </w:r>
    </w:p>
    <w:p>
      <w:pPr>
        <w:spacing w:after="0" w:line="441" w:lineRule="exact"/>
        <w:rPr>
          <w:sz w:val="24"/>
          <w:szCs w:val="24"/>
          <w:color w:val="auto"/>
        </w:rPr>
      </w:pPr>
    </w:p>
    <w:p>
      <w:pPr>
        <w:sectPr>
          <w:pgSz w:w="11900" w:h="16838" w:orient="portrait"/>
          <w:cols w:equalWidth="0" w:num="2">
            <w:col w:w="5000" w:space="720"/>
            <w:col w:w="5680"/>
          </w:cols>
          <w:pgMar w:left="240" w:top="229"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14,252,496 common shares as of June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7"/>
              </w:rPr>
              <w:t>Page</w:t>
            </w:r>
          </w:p>
        </w:tc>
        <w:tc>
          <w:tcPr>
            <w:tcW w:w="1720" w:type="dxa"/>
            <w:vAlign w:val="bottom"/>
          </w:tcPr>
          <w:p>
            <w:pPr>
              <w:spacing w:after="0"/>
              <w:rPr>
                <w:sz w:val="17"/>
                <w:szCs w:val="17"/>
                <w:color w:val="auto"/>
              </w:rPr>
            </w:pPr>
          </w:p>
        </w:tc>
      </w:tr>
      <w:tr>
        <w:trPr>
          <w:trHeight w:val="412"/>
        </w:trPr>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60" w:type="dxa"/>
            <w:vAlign w:val="bottom"/>
            <w:gridSpan w:val="9"/>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7"/>
        </w:trPr>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96"/>
        </w:trPr>
        <w:tc>
          <w:tcPr>
            <w:tcW w:w="1720" w:type="dxa"/>
            <w:vAlign w:val="bottom"/>
          </w:tcPr>
          <w:p>
            <w:pPr>
              <w:spacing w:after="0"/>
              <w:rPr>
                <w:sz w:val="17"/>
                <w:szCs w:val="17"/>
                <w:color w:val="auto"/>
              </w:rPr>
            </w:pPr>
          </w:p>
        </w:tc>
        <w:tc>
          <w:tcPr>
            <w:tcW w:w="920" w:type="dxa"/>
            <w:vAlign w:val="bottom"/>
            <w:tcBorders>
              <w:bottom w:val="single" w:sz="8" w:color="CCEECC"/>
            </w:tcBorders>
            <w:shd w:val="clear" w:color="auto" w:fill="CCEECC"/>
          </w:tcPr>
          <w:p>
            <w:pPr>
              <w:ind w:left="10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6"/>
            <w:shd w:val="clear" w:color="auto" w:fill="CCEECC"/>
          </w:tcPr>
          <w:p>
            <w:pPr>
              <w:spacing w:after="0" w:line="17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4560" w:type="dxa"/>
            <w:vAlign w:val="bottom"/>
            <w:tcBorders>
              <w:bottom w:val="single" w:sz="8" w:color="CCEECC"/>
            </w:tcBorders>
            <w:gridSpan w:val="9"/>
            <w:shd w:val="clear" w:color="auto" w:fill="CCEECC"/>
          </w:tcPr>
          <w:p>
            <w:pPr>
              <w:spacing w:after="0"/>
              <w:rPr>
                <w:sz w:val="17"/>
                <w:szCs w:val="17"/>
                <w:color w:val="auto"/>
              </w:rPr>
            </w:pPr>
          </w:p>
        </w:tc>
        <w:tc>
          <w:tcPr>
            <w:tcW w:w="780" w:type="dxa"/>
            <w:vAlign w:val="bottom"/>
            <w:tcBorders>
              <w:bottom w:val="single" w:sz="8" w:color="CCEECC"/>
            </w:tcBorders>
            <w:gridSpan w:val="2"/>
            <w:shd w:val="clear" w:color="auto" w:fill="CCEECC"/>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176"/>
        </w:trPr>
        <w:tc>
          <w:tcPr>
            <w:tcW w:w="1720" w:type="dxa"/>
            <w:vAlign w:val="bottom"/>
          </w:tcPr>
          <w:p>
            <w:pPr>
              <w:spacing w:after="0"/>
              <w:rPr>
                <w:sz w:val="15"/>
                <w:szCs w:val="15"/>
                <w:color w:val="auto"/>
              </w:rPr>
            </w:pPr>
          </w:p>
        </w:tc>
        <w:tc>
          <w:tcPr>
            <w:tcW w:w="6980" w:type="dxa"/>
            <w:vAlign w:val="bottom"/>
            <w:gridSpan w:val="16"/>
          </w:tcPr>
          <w:p>
            <w:pPr>
              <w:ind w:left="10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18">
              <w:r>
                <w:rPr>
                  <w:rFonts w:ascii="Times New Roman" w:cs="Times New Roman" w:eastAsia="Times New Roman" w:hAnsi="Times New Roman"/>
                  <w:sz w:val="18"/>
                  <w:szCs w:val="18"/>
                  <w:color w:val="0000EE"/>
                </w:rPr>
                <w:t>Management’s Discussion and Analysis of Financial Condition and Results of</w:t>
              </w:r>
            </w:hyperlink>
          </w:p>
        </w:tc>
        <w:tc>
          <w:tcPr>
            <w:tcW w:w="780" w:type="dxa"/>
            <w:vAlign w:val="bottom"/>
            <w:gridSpan w:val="2"/>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Operations</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6980" w:type="dxa"/>
            <w:vAlign w:val="bottom"/>
            <w:gridSpan w:val="16"/>
            <w:shd w:val="clear" w:color="auto" w:fill="CCEECC"/>
          </w:tcPr>
          <w:p>
            <w:pPr>
              <w:ind w:left="10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20">
              <w:r>
                <w:rPr>
                  <w:rFonts w:ascii="Times New Roman" w:cs="Times New Roman" w:eastAsia="Times New Roman" w:hAnsi="Times New Roman"/>
                  <w:sz w:val="18"/>
                  <w:szCs w:val="18"/>
                  <w:color w:val="0000EE"/>
                </w:rPr>
                <w:t>Quantitative and Qualitative Disclosures About Market Risk</w:t>
              </w:r>
            </w:hyperlink>
          </w:p>
        </w:tc>
        <w:tc>
          <w:tcPr>
            <w:tcW w:w="780" w:type="dxa"/>
            <w:vAlign w:val="bottom"/>
            <w:gridSpan w:val="2"/>
            <w:shd w:val="clear" w:color="auto" w:fill="CCEECC"/>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CC"/>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600" w:type="dxa"/>
            <w:vAlign w:val="bottom"/>
            <w:tcBorders>
              <w:top w:val="single" w:sz="8" w:color="0000EE"/>
            </w:tcBorders>
            <w:shd w:val="clear" w:color="auto" w:fill="CCEECC"/>
          </w:tcPr>
          <w:p>
            <w:pPr>
              <w:spacing w:after="0" w:line="20" w:lineRule="exact"/>
              <w:rPr>
                <w:sz w:val="1"/>
                <w:szCs w:val="1"/>
                <w:color w:val="auto"/>
              </w:rPr>
            </w:pPr>
          </w:p>
        </w:tc>
        <w:tc>
          <w:tcPr>
            <w:tcW w:w="180" w:type="dxa"/>
            <w:vAlign w:val="bottom"/>
            <w:tcBorders>
              <w:top w:val="single" w:sz="8" w:color="0000EE"/>
            </w:tcBorders>
            <w:shd w:val="clear" w:color="auto" w:fill="CCEECC"/>
          </w:tcPr>
          <w:p>
            <w:pPr>
              <w:spacing w:after="0" w:line="20" w:lineRule="exact"/>
              <w:rPr>
                <w:sz w:val="1"/>
                <w:szCs w:val="1"/>
                <w:color w:val="auto"/>
              </w:rPr>
            </w:pPr>
          </w:p>
        </w:tc>
        <w:tc>
          <w:tcPr>
            <w:tcW w:w="120" w:type="dxa"/>
            <w:vAlign w:val="bottom"/>
            <w:tcBorders>
              <w:top w:val="single" w:sz="8" w:color="0000EE"/>
            </w:tcBorders>
            <w:shd w:val="clear" w:color="auto" w:fill="CCEECC"/>
          </w:tcPr>
          <w:p>
            <w:pPr>
              <w:spacing w:after="0" w:line="20" w:lineRule="exact"/>
              <w:rPr>
                <w:sz w:val="1"/>
                <w:szCs w:val="1"/>
                <w:color w:val="auto"/>
              </w:rPr>
            </w:pPr>
          </w:p>
        </w:tc>
        <w:tc>
          <w:tcPr>
            <w:tcW w:w="40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80" w:type="dxa"/>
            <w:vAlign w:val="bottom"/>
            <w:tcBorders>
              <w:top w:val="single" w:sz="8" w:color="0000EE"/>
            </w:tcBorders>
            <w:shd w:val="clear" w:color="auto" w:fill="CCEECC"/>
          </w:tcPr>
          <w:p>
            <w:pPr>
              <w:spacing w:after="0" w:line="20" w:lineRule="exact"/>
              <w:rPr>
                <w:sz w:val="1"/>
                <w:szCs w:val="1"/>
                <w:color w:val="auto"/>
              </w:rPr>
            </w:pPr>
          </w:p>
        </w:tc>
        <w:tc>
          <w:tcPr>
            <w:tcW w:w="14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80" w:type="dxa"/>
            <w:vAlign w:val="bottom"/>
            <w:tcBorders>
              <w:top w:val="single" w:sz="8" w:color="0000EE"/>
            </w:tcBorders>
            <w:shd w:val="clear" w:color="auto" w:fill="CCEECC"/>
          </w:tcPr>
          <w:p>
            <w:pPr>
              <w:spacing w:after="0" w:line="20" w:lineRule="exact"/>
              <w:rPr>
                <w:sz w:val="1"/>
                <w:szCs w:val="1"/>
                <w:color w:val="auto"/>
              </w:rPr>
            </w:pPr>
          </w:p>
        </w:tc>
        <w:tc>
          <w:tcPr>
            <w:tcW w:w="560" w:type="dxa"/>
            <w:vAlign w:val="bottom"/>
            <w:tcBorders>
              <w:top w:val="single" w:sz="8" w:color="0000EE"/>
            </w:tcBorders>
            <w:shd w:val="clear" w:color="auto" w:fill="CCEECC"/>
          </w:tcPr>
          <w:p>
            <w:pPr>
              <w:spacing w:after="0" w:line="20" w:lineRule="exact"/>
              <w:rPr>
                <w:sz w:val="1"/>
                <w:szCs w:val="1"/>
                <w:color w:val="auto"/>
              </w:rPr>
            </w:pPr>
          </w:p>
        </w:tc>
        <w:tc>
          <w:tcPr>
            <w:tcW w:w="202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96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6980" w:type="dxa"/>
            <w:vAlign w:val="bottom"/>
            <w:gridSpan w:val="16"/>
          </w:tcPr>
          <w:p>
            <w:pPr>
              <w:ind w:left="10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21">
              <w:r>
                <w:rPr>
                  <w:rFonts w:ascii="Times New Roman" w:cs="Times New Roman" w:eastAsia="Times New Roman" w:hAnsi="Times New Roman"/>
                  <w:sz w:val="18"/>
                  <w:szCs w:val="18"/>
                  <w:color w:val="0000EE"/>
                </w:rPr>
                <w:t>Controls and Procedures</w:t>
              </w:r>
            </w:hyperlink>
          </w:p>
        </w:tc>
        <w:tc>
          <w:tcPr>
            <w:tcW w:w="780" w:type="dxa"/>
            <w:vAlign w:val="bottom"/>
            <w:gridSpan w:val="2"/>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60" w:type="dxa"/>
            <w:vAlign w:val="bottom"/>
            <w:gridSpan w:val="9"/>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7"/>
        </w:trPr>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96"/>
        </w:trPr>
        <w:tc>
          <w:tcPr>
            <w:tcW w:w="1720" w:type="dxa"/>
            <w:vAlign w:val="bottom"/>
          </w:tcPr>
          <w:p>
            <w:pPr>
              <w:spacing w:after="0"/>
              <w:rPr>
                <w:sz w:val="17"/>
                <w:szCs w:val="17"/>
                <w:color w:val="auto"/>
              </w:rPr>
            </w:pPr>
          </w:p>
        </w:tc>
        <w:tc>
          <w:tcPr>
            <w:tcW w:w="920" w:type="dxa"/>
            <w:vAlign w:val="bottom"/>
            <w:shd w:val="clear" w:color="auto" w:fill="CCEECC"/>
          </w:tcPr>
          <w:p>
            <w:pPr>
              <w:ind w:left="10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060" w:type="dxa"/>
            <w:vAlign w:val="bottom"/>
            <w:gridSpan w:val="15"/>
            <w:shd w:val="clear" w:color="auto" w:fill="CCEECC"/>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Legal Proceedings</w:t>
              </w:r>
            </w:hyperlink>
          </w:p>
        </w:tc>
        <w:tc>
          <w:tcPr>
            <w:tcW w:w="780" w:type="dxa"/>
            <w:vAlign w:val="bottom"/>
            <w:gridSpan w:val="2"/>
            <w:shd w:val="clear" w:color="auto" w:fill="CCEECC"/>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176"/>
        </w:trPr>
        <w:tc>
          <w:tcPr>
            <w:tcW w:w="1720" w:type="dxa"/>
            <w:vAlign w:val="bottom"/>
          </w:tcPr>
          <w:p>
            <w:pPr>
              <w:spacing w:after="0"/>
              <w:rPr>
                <w:sz w:val="15"/>
                <w:szCs w:val="15"/>
                <w:color w:val="auto"/>
              </w:rPr>
            </w:pPr>
          </w:p>
        </w:tc>
        <w:tc>
          <w:tcPr>
            <w:tcW w:w="920" w:type="dxa"/>
            <w:vAlign w:val="bottom"/>
            <w:tcBorders>
              <w:top w:val="single" w:sz="8" w:color="CCEECC"/>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Item</w:t>
            </w:r>
          </w:p>
        </w:tc>
        <w:tc>
          <w:tcPr>
            <w:tcW w:w="132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Risk Factors</w:t>
              </w:r>
            </w:hyperlink>
          </w:p>
        </w:tc>
        <w:tc>
          <w:tcPr>
            <w:tcW w:w="4740" w:type="dxa"/>
            <w:vAlign w:val="bottom"/>
            <w:tcBorders>
              <w:top w:val="single" w:sz="8" w:color="CCEECC"/>
            </w:tcBorders>
            <w:gridSpan w:val="10"/>
          </w:tcPr>
          <w:p>
            <w:pPr>
              <w:spacing w:after="0"/>
              <w:rPr>
                <w:sz w:val="15"/>
                <w:szCs w:val="15"/>
                <w:color w:val="auto"/>
              </w:rPr>
            </w:pPr>
          </w:p>
        </w:tc>
        <w:tc>
          <w:tcPr>
            <w:tcW w:w="780" w:type="dxa"/>
            <w:vAlign w:val="bottom"/>
            <w:tcBorders>
              <w:top w:val="single" w:sz="8" w:color="CCEECC"/>
            </w:tcBorders>
            <w:gridSpan w:val="2"/>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CC"/>
            </w:tcBorders>
          </w:tcPr>
          <w:p>
            <w:pPr>
              <w:spacing w:after="0"/>
              <w:rPr>
                <w:sz w:val="15"/>
                <w:szCs w:val="15"/>
                <w:color w:val="auto"/>
              </w:rPr>
            </w:pPr>
          </w:p>
        </w:tc>
        <w:tc>
          <w:tcPr>
            <w:tcW w:w="1720" w:type="dxa"/>
            <w:vAlign w:val="bottom"/>
          </w:tcPr>
          <w:p>
            <w:pPr>
              <w:spacing w:after="0"/>
              <w:rPr>
                <w:sz w:val="15"/>
                <w:szCs w:val="15"/>
                <w:color w:val="auto"/>
              </w:rPr>
            </w:pPr>
          </w:p>
        </w:tc>
      </w:tr>
      <w:tr>
        <w:trPr>
          <w:trHeight w:val="237"/>
        </w:trPr>
        <w:tc>
          <w:tcPr>
            <w:tcW w:w="172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1A:</w:t>
            </w:r>
          </w:p>
        </w:tc>
        <w:tc>
          <w:tcPr>
            <w:tcW w:w="6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76"/>
        </w:trPr>
        <w:tc>
          <w:tcPr>
            <w:tcW w:w="1720" w:type="dxa"/>
            <w:vAlign w:val="bottom"/>
          </w:tcPr>
          <w:p>
            <w:pPr>
              <w:spacing w:after="0"/>
              <w:rPr>
                <w:sz w:val="15"/>
                <w:szCs w:val="15"/>
                <w:color w:val="auto"/>
              </w:rPr>
            </w:pPr>
          </w:p>
        </w:tc>
        <w:tc>
          <w:tcPr>
            <w:tcW w:w="6980" w:type="dxa"/>
            <w:vAlign w:val="bottom"/>
            <w:gridSpan w:val="16"/>
            <w:shd w:val="clear" w:color="auto" w:fill="CCEECC"/>
          </w:tcPr>
          <w:p>
            <w:pPr>
              <w:ind w:left="10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22">
              <w:r>
                <w:rPr>
                  <w:rFonts w:ascii="Times New Roman" w:cs="Times New Roman" w:eastAsia="Times New Roman" w:hAnsi="Times New Roman"/>
                  <w:sz w:val="18"/>
                  <w:szCs w:val="18"/>
                  <w:color w:val="0000EE"/>
                </w:rPr>
                <w:t>Unregistered Sales of Equity Securities and Use of Proceeds</w:t>
              </w:r>
            </w:hyperlink>
          </w:p>
        </w:tc>
        <w:tc>
          <w:tcPr>
            <w:tcW w:w="780" w:type="dxa"/>
            <w:vAlign w:val="bottom"/>
            <w:gridSpan w:val="2"/>
            <w:shd w:val="clear" w:color="auto" w:fill="CCEECC"/>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CC"/>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600" w:type="dxa"/>
            <w:vAlign w:val="bottom"/>
            <w:tcBorders>
              <w:top w:val="single" w:sz="8" w:color="0000EE"/>
            </w:tcBorders>
            <w:shd w:val="clear" w:color="auto" w:fill="CCEECC"/>
          </w:tcPr>
          <w:p>
            <w:pPr>
              <w:spacing w:after="0" w:line="20" w:lineRule="exact"/>
              <w:rPr>
                <w:sz w:val="1"/>
                <w:szCs w:val="1"/>
                <w:color w:val="auto"/>
              </w:rPr>
            </w:pPr>
          </w:p>
        </w:tc>
        <w:tc>
          <w:tcPr>
            <w:tcW w:w="180" w:type="dxa"/>
            <w:vAlign w:val="bottom"/>
            <w:tcBorders>
              <w:top w:val="single" w:sz="8" w:color="0000EE"/>
            </w:tcBorders>
            <w:shd w:val="clear" w:color="auto" w:fill="CCEECC"/>
          </w:tcPr>
          <w:p>
            <w:pPr>
              <w:spacing w:after="0" w:line="20" w:lineRule="exact"/>
              <w:rPr>
                <w:sz w:val="1"/>
                <w:szCs w:val="1"/>
                <w:color w:val="auto"/>
              </w:rPr>
            </w:pPr>
          </w:p>
        </w:tc>
        <w:tc>
          <w:tcPr>
            <w:tcW w:w="120" w:type="dxa"/>
            <w:vAlign w:val="bottom"/>
            <w:tcBorders>
              <w:top w:val="single" w:sz="8" w:color="0000EE"/>
            </w:tcBorders>
            <w:shd w:val="clear" w:color="auto" w:fill="CCEECC"/>
          </w:tcPr>
          <w:p>
            <w:pPr>
              <w:spacing w:after="0" w:line="20" w:lineRule="exact"/>
              <w:rPr>
                <w:sz w:val="1"/>
                <w:szCs w:val="1"/>
                <w:color w:val="auto"/>
              </w:rPr>
            </w:pPr>
          </w:p>
        </w:tc>
        <w:tc>
          <w:tcPr>
            <w:tcW w:w="40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80" w:type="dxa"/>
            <w:vAlign w:val="bottom"/>
            <w:tcBorders>
              <w:top w:val="single" w:sz="8" w:color="0000EE"/>
            </w:tcBorders>
            <w:shd w:val="clear" w:color="auto" w:fill="CCEECC"/>
          </w:tcPr>
          <w:p>
            <w:pPr>
              <w:spacing w:after="0" w:line="20" w:lineRule="exact"/>
              <w:rPr>
                <w:sz w:val="1"/>
                <w:szCs w:val="1"/>
                <w:color w:val="auto"/>
              </w:rPr>
            </w:pPr>
          </w:p>
        </w:tc>
        <w:tc>
          <w:tcPr>
            <w:tcW w:w="140" w:type="dxa"/>
            <w:vAlign w:val="bottom"/>
            <w:tcBorders>
              <w:top w:val="single" w:sz="8" w:color="0000EE"/>
            </w:tcBorders>
            <w:shd w:val="clear" w:color="auto" w:fill="CCEECC"/>
          </w:tcPr>
          <w:p>
            <w:pPr>
              <w:spacing w:after="0" w:line="20" w:lineRule="exact"/>
              <w:rPr>
                <w:sz w:val="1"/>
                <w:szCs w:val="1"/>
                <w:color w:val="auto"/>
              </w:rPr>
            </w:pPr>
          </w:p>
        </w:tc>
        <w:tc>
          <w:tcPr>
            <w:tcW w:w="40" w:type="dxa"/>
            <w:vAlign w:val="bottom"/>
            <w:tcBorders>
              <w:top w:val="single" w:sz="8" w:color="0000EE"/>
            </w:tcBorders>
            <w:shd w:val="clear" w:color="auto" w:fill="CCEECC"/>
          </w:tcPr>
          <w:p>
            <w:pPr>
              <w:spacing w:after="0" w:line="20" w:lineRule="exact"/>
              <w:rPr>
                <w:sz w:val="1"/>
                <w:szCs w:val="1"/>
                <w:color w:val="auto"/>
              </w:rPr>
            </w:pPr>
          </w:p>
        </w:tc>
        <w:tc>
          <w:tcPr>
            <w:tcW w:w="80" w:type="dxa"/>
            <w:vAlign w:val="bottom"/>
            <w:tcBorders>
              <w:top w:val="single" w:sz="8" w:color="0000EE"/>
            </w:tcBorders>
            <w:shd w:val="clear" w:color="auto" w:fill="CCEECC"/>
          </w:tcPr>
          <w:p>
            <w:pPr>
              <w:spacing w:after="0" w:line="20" w:lineRule="exact"/>
              <w:rPr>
                <w:sz w:val="1"/>
                <w:szCs w:val="1"/>
                <w:color w:val="auto"/>
              </w:rPr>
            </w:pPr>
          </w:p>
        </w:tc>
        <w:tc>
          <w:tcPr>
            <w:tcW w:w="560" w:type="dxa"/>
            <w:vAlign w:val="bottom"/>
            <w:tcBorders>
              <w:top w:val="single" w:sz="8" w:color="0000EE"/>
            </w:tcBorders>
            <w:shd w:val="clear" w:color="auto" w:fill="CCEECC"/>
          </w:tcPr>
          <w:p>
            <w:pPr>
              <w:spacing w:after="0" w:line="20" w:lineRule="exact"/>
              <w:rPr>
                <w:sz w:val="1"/>
                <w:szCs w:val="1"/>
                <w:color w:val="auto"/>
              </w:rPr>
            </w:pPr>
          </w:p>
        </w:tc>
        <w:tc>
          <w:tcPr>
            <w:tcW w:w="202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96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6980" w:type="dxa"/>
            <w:vAlign w:val="bottom"/>
            <w:gridSpan w:val="16"/>
          </w:tcPr>
          <w:p>
            <w:pPr>
              <w:ind w:left="10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22">
              <w:r>
                <w:rPr>
                  <w:rFonts w:ascii="Times New Roman" w:cs="Times New Roman" w:eastAsia="Times New Roman" w:hAnsi="Times New Roman"/>
                  <w:sz w:val="18"/>
                  <w:szCs w:val="18"/>
                  <w:color w:val="0000EE"/>
                </w:rPr>
                <w:t>Defaults Upon Senior Securities</w:t>
              </w:r>
            </w:hyperlink>
          </w:p>
        </w:tc>
        <w:tc>
          <w:tcPr>
            <w:tcW w:w="780" w:type="dxa"/>
            <w:vAlign w:val="bottom"/>
            <w:gridSpan w:val="2"/>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6980" w:type="dxa"/>
            <w:vAlign w:val="bottom"/>
            <w:gridSpan w:val="16"/>
            <w:shd w:val="clear" w:color="auto" w:fill="CCEECC"/>
          </w:tcPr>
          <w:p>
            <w:pPr>
              <w:ind w:left="10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22">
              <w:r>
                <w:rPr>
                  <w:rFonts w:ascii="Times New Roman" w:cs="Times New Roman" w:eastAsia="Times New Roman" w:hAnsi="Times New Roman"/>
                  <w:sz w:val="18"/>
                  <w:szCs w:val="18"/>
                  <w:color w:val="0000EE"/>
                </w:rPr>
                <w:t>Mine Safety Disclosure</w:t>
              </w:r>
            </w:hyperlink>
          </w:p>
        </w:tc>
        <w:tc>
          <w:tcPr>
            <w:tcW w:w="780" w:type="dxa"/>
            <w:vAlign w:val="bottom"/>
            <w:gridSpan w:val="2"/>
            <w:shd w:val="clear" w:color="auto" w:fill="CCEECC"/>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176"/>
        </w:trPr>
        <w:tc>
          <w:tcPr>
            <w:tcW w:w="1720" w:type="dxa"/>
            <w:vAlign w:val="bottom"/>
          </w:tcPr>
          <w:p>
            <w:pPr>
              <w:spacing w:after="0"/>
              <w:rPr>
                <w:sz w:val="15"/>
                <w:szCs w:val="15"/>
                <w:color w:val="auto"/>
              </w:rPr>
            </w:pPr>
          </w:p>
        </w:tc>
        <w:tc>
          <w:tcPr>
            <w:tcW w:w="920" w:type="dxa"/>
            <w:vAlign w:val="bottom"/>
            <w:tcBorders>
              <w:top w:val="single" w:sz="8" w:color="CCEECC"/>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680" w:type="dxa"/>
            <w:vAlign w:val="bottom"/>
            <w:tcBorders>
              <w:top w:val="single" w:sz="8" w:color="0000EE"/>
            </w:tcBorders>
            <w:gridSpan w:val="8"/>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Other Information</w:t>
              </w:r>
            </w:hyperlink>
          </w:p>
        </w:tc>
        <w:tc>
          <w:tcPr>
            <w:tcW w:w="4380" w:type="dxa"/>
            <w:vAlign w:val="bottom"/>
            <w:tcBorders>
              <w:top w:val="single" w:sz="8" w:color="CCEECC"/>
            </w:tcBorders>
            <w:gridSpan w:val="7"/>
          </w:tcPr>
          <w:p>
            <w:pPr>
              <w:spacing w:after="0"/>
              <w:rPr>
                <w:sz w:val="15"/>
                <w:szCs w:val="15"/>
                <w:color w:val="auto"/>
              </w:rPr>
            </w:pPr>
          </w:p>
        </w:tc>
        <w:tc>
          <w:tcPr>
            <w:tcW w:w="780" w:type="dxa"/>
            <w:vAlign w:val="bottom"/>
            <w:tcBorders>
              <w:top w:val="single" w:sz="8" w:color="CCEECC"/>
            </w:tcBorders>
            <w:gridSpan w:val="2"/>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CC"/>
            </w:tcBorders>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920" w:type="dxa"/>
            <w:vAlign w:val="bottom"/>
            <w:shd w:val="clear" w:color="auto" w:fill="CCEECC"/>
          </w:tcPr>
          <w:p>
            <w:pPr>
              <w:ind w:left="10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60" w:type="dxa"/>
            <w:vAlign w:val="bottom"/>
            <w:gridSpan w:val="15"/>
            <w:shd w:val="clear" w:color="auto" w:fill="CCEECC"/>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Exhibits</w:t>
              </w:r>
            </w:hyperlink>
          </w:p>
        </w:tc>
        <w:tc>
          <w:tcPr>
            <w:tcW w:w="780" w:type="dxa"/>
            <w:vAlign w:val="bottom"/>
            <w:gridSpan w:val="2"/>
            <w:shd w:val="clear" w:color="auto" w:fill="CCEECC"/>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621"/>
        </w:trPr>
        <w:tc>
          <w:tcPr>
            <w:tcW w:w="1720" w:type="dxa"/>
            <w:vAlign w:val="bottom"/>
            <w:tcBorders>
              <w:bottom w:val="single" w:sz="8" w:color="auto"/>
            </w:tcBorders>
          </w:tcPr>
          <w:p>
            <w:pPr>
              <w:spacing w:after="0"/>
              <w:rPr>
                <w:sz w:val="24"/>
                <w:szCs w:val="24"/>
                <w:color w:val="auto"/>
              </w:rPr>
            </w:pPr>
          </w:p>
        </w:tc>
        <w:tc>
          <w:tcPr>
            <w:tcW w:w="920" w:type="dxa"/>
            <w:vAlign w:val="bottom"/>
            <w:tcBorders>
              <w:top w:val="single" w:sz="8" w:color="CCEECC"/>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CCEECC"/>
              <w:bottom w:val="single" w:sz="8" w:color="auto"/>
            </w:tcBorders>
          </w:tcPr>
          <w:p>
            <w:pPr>
              <w:spacing w:after="0"/>
              <w:rPr>
                <w:sz w:val="24"/>
                <w:szCs w:val="24"/>
                <w:color w:val="auto"/>
              </w:rPr>
            </w:pPr>
          </w:p>
        </w:tc>
        <w:tc>
          <w:tcPr>
            <w:tcW w:w="120" w:type="dxa"/>
            <w:vAlign w:val="bottom"/>
            <w:tcBorders>
              <w:top w:val="single" w:sz="8" w:color="CCEECC"/>
              <w:bottom w:val="single" w:sz="8" w:color="auto"/>
            </w:tcBorders>
          </w:tcPr>
          <w:p>
            <w:pPr>
              <w:spacing w:after="0"/>
              <w:rPr>
                <w:sz w:val="24"/>
                <w:szCs w:val="24"/>
                <w:color w:val="auto"/>
              </w:rPr>
            </w:pPr>
          </w:p>
        </w:tc>
        <w:tc>
          <w:tcPr>
            <w:tcW w:w="400" w:type="dxa"/>
            <w:vAlign w:val="bottom"/>
            <w:tcBorders>
              <w:top w:val="single" w:sz="8" w:color="CCEECC"/>
              <w:bottom w:val="single" w:sz="8" w:color="auto"/>
            </w:tcBorders>
          </w:tcPr>
          <w:p>
            <w:pPr>
              <w:spacing w:after="0"/>
              <w:rPr>
                <w:sz w:val="24"/>
                <w:szCs w:val="24"/>
                <w:color w:val="auto"/>
              </w:rPr>
            </w:pPr>
          </w:p>
        </w:tc>
        <w:tc>
          <w:tcPr>
            <w:tcW w:w="20" w:type="dxa"/>
            <w:vAlign w:val="bottom"/>
            <w:tcBorders>
              <w:top w:val="single" w:sz="8" w:color="CCEECC"/>
              <w:bottom w:val="single" w:sz="8" w:color="auto"/>
            </w:tcBorders>
          </w:tcPr>
          <w:p>
            <w:pPr>
              <w:spacing w:after="0"/>
              <w:rPr>
                <w:sz w:val="24"/>
                <w:szCs w:val="24"/>
                <w:color w:val="auto"/>
              </w:rPr>
            </w:pPr>
          </w:p>
        </w:tc>
        <w:tc>
          <w:tcPr>
            <w:tcW w:w="180" w:type="dxa"/>
            <w:vAlign w:val="bottom"/>
            <w:tcBorders>
              <w:top w:val="single" w:sz="8" w:color="CCEECC"/>
              <w:bottom w:val="single" w:sz="8" w:color="auto"/>
            </w:tcBorders>
          </w:tcPr>
          <w:p>
            <w:pPr>
              <w:spacing w:after="0"/>
              <w:rPr>
                <w:sz w:val="24"/>
                <w:szCs w:val="24"/>
                <w:color w:val="auto"/>
              </w:rPr>
            </w:pPr>
          </w:p>
        </w:tc>
        <w:tc>
          <w:tcPr>
            <w:tcW w:w="140" w:type="dxa"/>
            <w:vAlign w:val="bottom"/>
            <w:tcBorders>
              <w:top w:val="single" w:sz="8" w:color="CCEECC"/>
              <w:bottom w:val="single" w:sz="8" w:color="auto"/>
            </w:tcBorders>
          </w:tcPr>
          <w:p>
            <w:pPr>
              <w:spacing w:after="0"/>
              <w:rPr>
                <w:sz w:val="24"/>
                <w:szCs w:val="24"/>
                <w:color w:val="auto"/>
              </w:rPr>
            </w:pPr>
          </w:p>
        </w:tc>
        <w:tc>
          <w:tcPr>
            <w:tcW w:w="40" w:type="dxa"/>
            <w:vAlign w:val="bottom"/>
            <w:tcBorders>
              <w:top w:val="single" w:sz="8" w:color="CCEECC"/>
              <w:bottom w:val="single" w:sz="8" w:color="auto"/>
            </w:tcBorders>
          </w:tcPr>
          <w:p>
            <w:pPr>
              <w:spacing w:after="0"/>
              <w:rPr>
                <w:sz w:val="24"/>
                <w:szCs w:val="24"/>
                <w:color w:val="auto"/>
              </w:rPr>
            </w:pPr>
          </w:p>
        </w:tc>
        <w:tc>
          <w:tcPr>
            <w:tcW w:w="80" w:type="dxa"/>
            <w:vAlign w:val="bottom"/>
            <w:tcBorders>
              <w:top w:val="single" w:sz="8" w:color="CCEECC"/>
              <w:bottom w:val="single" w:sz="8" w:color="auto"/>
            </w:tcBorders>
          </w:tcPr>
          <w:p>
            <w:pPr>
              <w:spacing w:after="0"/>
              <w:rPr>
                <w:sz w:val="24"/>
                <w:szCs w:val="24"/>
                <w:color w:val="auto"/>
              </w:rPr>
            </w:pPr>
          </w:p>
        </w:tc>
        <w:tc>
          <w:tcPr>
            <w:tcW w:w="560" w:type="dxa"/>
            <w:vAlign w:val="bottom"/>
            <w:tcBorders>
              <w:top w:val="single" w:sz="8" w:color="CCEECC"/>
              <w:bottom w:val="single" w:sz="8" w:color="auto"/>
            </w:tcBorders>
          </w:tcPr>
          <w:p>
            <w:pPr>
              <w:spacing w:after="0"/>
              <w:rPr>
                <w:sz w:val="24"/>
                <w:szCs w:val="24"/>
                <w:color w:val="auto"/>
              </w:rPr>
            </w:pPr>
          </w:p>
        </w:tc>
        <w:tc>
          <w:tcPr>
            <w:tcW w:w="2020" w:type="dxa"/>
            <w:vAlign w:val="bottom"/>
            <w:tcBorders>
              <w:top w:val="single" w:sz="8" w:color="CCEECC"/>
              <w:bottom w:val="single" w:sz="8" w:color="auto"/>
            </w:tcBorders>
          </w:tcPr>
          <w:p>
            <w:pPr>
              <w:spacing w:after="0"/>
              <w:rPr>
                <w:sz w:val="24"/>
                <w:szCs w:val="24"/>
                <w:color w:val="auto"/>
              </w:rPr>
            </w:pPr>
          </w:p>
        </w:tc>
        <w:tc>
          <w:tcPr>
            <w:tcW w:w="160" w:type="dxa"/>
            <w:vAlign w:val="bottom"/>
            <w:tcBorders>
              <w:top w:val="single" w:sz="8" w:color="CCEECC"/>
              <w:bottom w:val="single" w:sz="8" w:color="auto"/>
            </w:tcBorders>
          </w:tcPr>
          <w:p>
            <w:pPr>
              <w:spacing w:after="0"/>
              <w:rPr>
                <w:sz w:val="24"/>
                <w:szCs w:val="24"/>
                <w:color w:val="auto"/>
              </w:rPr>
            </w:pPr>
          </w:p>
        </w:tc>
        <w:tc>
          <w:tcPr>
            <w:tcW w:w="160" w:type="dxa"/>
            <w:vAlign w:val="bottom"/>
            <w:tcBorders>
              <w:top w:val="single" w:sz="8" w:color="CCEECC"/>
              <w:bottom w:val="single" w:sz="8" w:color="auto"/>
            </w:tcBorders>
          </w:tcPr>
          <w:p>
            <w:pPr>
              <w:spacing w:after="0"/>
              <w:rPr>
                <w:sz w:val="24"/>
                <w:szCs w:val="24"/>
                <w:color w:val="auto"/>
              </w:rPr>
            </w:pPr>
          </w:p>
        </w:tc>
        <w:tc>
          <w:tcPr>
            <w:tcW w:w="960" w:type="dxa"/>
            <w:vAlign w:val="bottom"/>
            <w:tcBorders>
              <w:top w:val="single" w:sz="8" w:color="CCEECC"/>
              <w:bottom w:val="single" w:sz="8" w:color="auto"/>
            </w:tcBorders>
          </w:tcPr>
          <w:p>
            <w:pPr>
              <w:spacing w:after="0"/>
              <w:rPr>
                <w:sz w:val="24"/>
                <w:szCs w:val="24"/>
                <w:color w:val="auto"/>
              </w:rPr>
            </w:pPr>
          </w:p>
        </w:tc>
        <w:tc>
          <w:tcPr>
            <w:tcW w:w="440" w:type="dxa"/>
            <w:vAlign w:val="bottom"/>
            <w:tcBorders>
              <w:top w:val="single" w:sz="8" w:color="CCEECC"/>
              <w:bottom w:val="single" w:sz="8" w:color="auto"/>
            </w:tcBorders>
          </w:tcPr>
          <w:p>
            <w:pPr>
              <w:spacing w:after="0"/>
              <w:rPr>
                <w:sz w:val="24"/>
                <w:szCs w:val="24"/>
                <w:color w:val="auto"/>
              </w:rPr>
            </w:pPr>
          </w:p>
        </w:tc>
        <w:tc>
          <w:tcPr>
            <w:tcW w:w="440" w:type="dxa"/>
            <w:vAlign w:val="bottom"/>
            <w:tcBorders>
              <w:top w:val="single" w:sz="8" w:color="CCEECC"/>
              <w:bottom w:val="single" w:sz="8" w:color="auto"/>
            </w:tcBorders>
          </w:tcPr>
          <w:p>
            <w:pPr>
              <w:spacing w:after="0"/>
              <w:rPr>
                <w:sz w:val="24"/>
                <w:szCs w:val="24"/>
                <w:color w:val="auto"/>
              </w:rPr>
            </w:pPr>
          </w:p>
        </w:tc>
        <w:tc>
          <w:tcPr>
            <w:tcW w:w="340" w:type="dxa"/>
            <w:vAlign w:val="bottom"/>
            <w:tcBorders>
              <w:top w:val="single" w:sz="8" w:color="CCEECC"/>
              <w:bottom w:val="single" w:sz="8" w:color="auto"/>
            </w:tcBorders>
          </w:tcPr>
          <w:p>
            <w:pPr>
              <w:spacing w:after="0"/>
              <w:rPr>
                <w:sz w:val="24"/>
                <w:szCs w:val="24"/>
                <w:color w:val="auto"/>
              </w:rPr>
            </w:pPr>
          </w:p>
        </w:tc>
        <w:tc>
          <w:tcPr>
            <w:tcW w:w="220" w:type="dxa"/>
            <w:vAlign w:val="bottom"/>
            <w:tcBorders>
              <w:top w:val="single" w:sz="8" w:color="CCEECC"/>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340" w:type="dxa"/>
            <w:vAlign w:val="bottom"/>
            <w:gridSpan w:val="11"/>
          </w:tcPr>
          <w:p>
            <w:pPr>
              <w:jc w:val="center"/>
              <w:ind w:left="17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ectPr>
          <w:pgSz w:w="11900" w:h="16838" w:orient="portrait"/>
          <w:cols w:equalWidth="0" w:num="1">
            <w:col w:w="11420"/>
          </w:cols>
          <w:pgMar w:left="240" w:top="833"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included in this Form 10-Q are as follows:</w:t>
      </w:r>
    </w:p>
    <w:p>
      <w:pPr>
        <w:spacing w:after="0" w:line="225" w:lineRule="exact"/>
        <w:rPr>
          <w:sz w:val="20"/>
          <w:szCs w:val="20"/>
          <w:color w:val="auto"/>
        </w:rPr>
      </w:pPr>
    </w:p>
    <w:p>
      <w:pPr>
        <w:ind w:right="27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F-1 </w:t>
      </w:r>
      <w:hyperlink w:anchor="page4">
        <w:r>
          <w:rPr>
            <w:rFonts w:ascii="Times New Roman" w:cs="Times New Roman" w:eastAsia="Times New Roman" w:hAnsi="Times New Roman"/>
            <w:sz w:val="18"/>
            <w:szCs w:val="18"/>
            <w:u w:val="single" w:color="auto"/>
            <w:color w:val="0000FF"/>
          </w:rPr>
          <w:t>Consolidated Balance Sheets as of June 30, 2013 and December 31, 2012 (unaudited);</w:t>
        </w:r>
      </w:hyperlink>
      <w:r>
        <w:rPr>
          <w:rFonts w:ascii="Times New Roman" w:cs="Times New Roman" w:eastAsia="Times New Roman" w:hAnsi="Times New Roman"/>
          <w:sz w:val="18"/>
          <w:szCs w:val="18"/>
          <w:color w:val="auto"/>
        </w:rPr>
        <w:t xml:space="preserve"> F-2 </w:t>
      </w:r>
      <w:hyperlink w:anchor="page5">
        <w:r>
          <w:rPr>
            <w:rFonts w:ascii="Times New Roman" w:cs="Times New Roman" w:eastAsia="Times New Roman" w:hAnsi="Times New Roman"/>
            <w:sz w:val="18"/>
            <w:szCs w:val="18"/>
            <w:u w:val="single" w:color="auto"/>
            <w:color w:val="0000FF"/>
          </w:rPr>
          <w:t>Consolidated Statements of Operations for the three and six months ended June 30, 2013 and 2012 (unaudited)</w:t>
        </w:r>
      </w:hyperlink>
      <w:r>
        <w:rPr>
          <w:rFonts w:ascii="Times New Roman" w:cs="Times New Roman" w:eastAsia="Times New Roman" w:hAnsi="Times New Roman"/>
          <w:sz w:val="18"/>
          <w:szCs w:val="18"/>
          <w:color w:val="auto"/>
        </w:rPr>
        <w:t xml:space="preserve">; F-3 </w:t>
      </w:r>
      <w:hyperlink w:anchor="page5">
        <w:r>
          <w:rPr>
            <w:rFonts w:ascii="Times New Roman" w:cs="Times New Roman" w:eastAsia="Times New Roman" w:hAnsi="Times New Roman"/>
            <w:sz w:val="18"/>
            <w:szCs w:val="18"/>
            <w:u w:val="single" w:color="auto"/>
            <w:color w:val="0000FF"/>
          </w:rPr>
          <w:t>Consolidated Statements of Cash Flow for the six months ended June 30, 2013 and 2012 (unaudited)</w:t>
        </w:r>
      </w:hyperlink>
      <w:r>
        <w:rPr>
          <w:rFonts w:ascii="Times New Roman" w:cs="Times New Roman" w:eastAsia="Times New Roman" w:hAnsi="Times New Roman"/>
          <w:sz w:val="18"/>
          <w:szCs w:val="18"/>
          <w:color w:val="auto"/>
        </w:rPr>
        <w:t xml:space="preserve">; F-4 </w:t>
      </w:r>
      <w:hyperlink w:anchor="page7">
        <w:r>
          <w:rPr>
            <w:rFonts w:ascii="Times New Roman" w:cs="Times New Roman" w:eastAsia="Times New Roman" w:hAnsi="Times New Roman"/>
            <w:sz w:val="18"/>
            <w:szCs w:val="18"/>
            <w:u w:val="single" w:color="auto"/>
            <w:color w:val="0000FF"/>
          </w:rPr>
          <w:t>Notes to Consolidated Financial Statements.</w:t>
        </w:r>
      </w:hyperlink>
    </w:p>
    <w:p>
      <w:pPr>
        <w:spacing w:after="0" w:line="18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June 30, 2013 are not necessarily indicative of the results that can be expected for the full year.</w:t>
      </w:r>
    </w:p>
    <w:p>
      <w:pPr>
        <w:spacing w:after="0" w:line="16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BALANCE SHEETS (UNAUDITED)</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AS OF JUNE 30, 2013 AND DECEMBER 31, 2012</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June 30,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CEECC"/>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352,432</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gridSpan w:val="2"/>
            <w:shd w:val="clear" w:color="auto" w:fill="CCEEC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284,263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CC"/>
          </w:tcPr>
          <w:p>
            <w:pPr>
              <w:spacing w:after="0"/>
              <w:rPr>
                <w:sz w:val="19"/>
                <w:szCs w:val="19"/>
                <w:color w:val="auto"/>
              </w:rPr>
            </w:pPr>
          </w:p>
        </w:tc>
        <w:tc>
          <w:tcPr>
            <w:tcW w:w="42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55,719</w:t>
            </w:r>
          </w:p>
        </w:tc>
        <w:tc>
          <w:tcPr>
            <w:tcW w:w="10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68,158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C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1,347,836</w:t>
            </w:r>
          </w:p>
        </w:tc>
        <w:tc>
          <w:tcPr>
            <w:tcW w:w="10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969,219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CC"/>
          </w:tcPr>
          <w:p>
            <w:pPr>
              <w:spacing w:after="0"/>
              <w:rPr>
                <w:sz w:val="18"/>
                <w:szCs w:val="18"/>
                <w:color w:val="auto"/>
              </w:rPr>
            </w:pPr>
          </w:p>
        </w:tc>
        <w:tc>
          <w:tcPr>
            <w:tcW w:w="42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Patent rights, net</w:t>
            </w:r>
          </w:p>
        </w:tc>
        <w:tc>
          <w:tcPr>
            <w:tcW w:w="14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803,136</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793,236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Web development costs, net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Security deposit</w:t>
            </w:r>
          </w:p>
        </w:tc>
        <w:tc>
          <w:tcPr>
            <w:tcW w:w="140" w:type="dxa"/>
            <w:vAlign w:val="bottom"/>
            <w:shd w:val="clear" w:color="auto" w:fill="CCEECC"/>
          </w:tcPr>
          <w:p>
            <w:pPr>
              <w:spacing w:after="0"/>
              <w:rPr>
                <w:sz w:val="19"/>
                <w:szCs w:val="19"/>
                <w:color w:val="auto"/>
              </w:rPr>
            </w:pPr>
          </w:p>
        </w:tc>
        <w:tc>
          <w:tcPr>
            <w:tcW w:w="42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CC"/>
            </w:tcBorders>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CCEE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1,130,255</w:t>
            </w:r>
          </w:p>
        </w:tc>
        <w:tc>
          <w:tcPr>
            <w:tcW w:w="10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1,185,500</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CC"/>
            </w:tcBorders>
            <w:shd w:val="clear" w:color="auto" w:fill="CCEECC"/>
          </w:tcPr>
          <w:p>
            <w:pPr>
              <w:spacing w:after="0"/>
              <w:rPr>
                <w:sz w:val="19"/>
                <w:szCs w:val="19"/>
                <w:color w:val="auto"/>
              </w:rPr>
            </w:pPr>
          </w:p>
        </w:tc>
        <w:tc>
          <w:tcPr>
            <w:tcW w:w="420" w:type="dxa"/>
            <w:vAlign w:val="bottom"/>
            <w:tcBorders>
              <w:bottom w:val="single" w:sz="8" w:color="auto"/>
            </w:tcBorders>
            <w:shd w:val="clear" w:color="auto" w:fill="CCEEC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2,495,962</w:t>
            </w:r>
          </w:p>
        </w:tc>
        <w:tc>
          <w:tcPr>
            <w:tcW w:w="10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 w:type="dxa"/>
            <w:vAlign w:val="bottom"/>
            <w:tcBorders>
              <w:bottom w:val="single" w:sz="8" w:color="CCEECC"/>
            </w:tcBorders>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2,175,404</w:t>
            </w:r>
          </w:p>
        </w:tc>
        <w:tc>
          <w:tcPr>
            <w:tcW w:w="8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 - trade</w:t>
            </w:r>
          </w:p>
        </w:tc>
        <w:tc>
          <w:tcPr>
            <w:tcW w:w="56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4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CC"/>
          </w:tcPr>
          <w:p>
            <w:pPr>
              <w:spacing w:after="0"/>
              <w:rPr>
                <w:sz w:val="19"/>
                <w:szCs w:val="19"/>
                <w:color w:val="auto"/>
              </w:rPr>
            </w:pPr>
          </w:p>
        </w:tc>
        <w:tc>
          <w:tcPr>
            <w:tcW w:w="42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10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CC"/>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C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712,270</w:t>
            </w:r>
          </w:p>
        </w:tc>
        <w:tc>
          <w:tcPr>
            <w:tcW w:w="10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679,945</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Common stock, $.001 par value, 500,000,000 shares authorized,</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14,252,496 and 14,232,496 shares issued and outstanding</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shd w:val="clear" w:color="auto" w:fill="CCEECC"/>
          </w:tcPr>
          <w:p>
            <w:pPr>
              <w:ind w:left="30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10,000,000 shares authorized, 65</w:t>
            </w:r>
          </w:p>
        </w:tc>
        <w:tc>
          <w:tcPr>
            <w:tcW w:w="140" w:type="dxa"/>
            <w:vAlign w:val="bottom"/>
            <w:shd w:val="clear" w:color="auto" w:fill="CCEECC"/>
          </w:tcPr>
          <w:p>
            <w:pPr>
              <w:spacing w:after="0"/>
              <w:rPr>
                <w:sz w:val="17"/>
                <w:szCs w:val="17"/>
                <w:color w:val="auto"/>
              </w:rPr>
            </w:pPr>
          </w:p>
        </w:tc>
        <w:tc>
          <w:tcPr>
            <w:tcW w:w="420" w:type="dxa"/>
            <w:vAlign w:val="bottom"/>
            <w:shd w:val="clear" w:color="auto" w:fill="CCEECC"/>
          </w:tcPr>
          <w:p>
            <w:pPr>
              <w:spacing w:after="0"/>
              <w:rPr>
                <w:sz w:val="17"/>
                <w:szCs w:val="17"/>
                <w:color w:val="auto"/>
              </w:rPr>
            </w:pPr>
          </w:p>
        </w:tc>
        <w:tc>
          <w:tcPr>
            <w:tcW w:w="16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40" w:type="dxa"/>
            <w:vAlign w:val="bottom"/>
            <w:shd w:val="clear" w:color="auto" w:fill="CCEECC"/>
          </w:tcPr>
          <w:p>
            <w:pPr>
              <w:spacing w:after="0"/>
              <w:rPr>
                <w:sz w:val="20"/>
                <w:szCs w:val="20"/>
                <w:color w:val="auto"/>
              </w:rPr>
            </w:pPr>
          </w:p>
        </w:tc>
        <w:tc>
          <w:tcPr>
            <w:tcW w:w="42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warrants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20,058,051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20,058,051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shd w:val="clear" w:color="auto" w:fill="CCEECC"/>
          </w:tcPr>
          <w:p>
            <w:pPr>
              <w:spacing w:after="0"/>
              <w:rPr>
                <w:sz w:val="18"/>
                <w:szCs w:val="18"/>
                <w:color w:val="auto"/>
              </w:rPr>
            </w:pPr>
          </w:p>
        </w:tc>
        <w:tc>
          <w:tcPr>
            <w:tcW w:w="42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6,203,546</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6,164,666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(24,492,157)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(24,741,490)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CC"/>
            </w:tcBorders>
            <w:shd w:val="clear" w:color="auto" w:fill="CCEECC"/>
          </w:tcPr>
          <w:p>
            <w:pPr>
              <w:spacing w:after="0"/>
              <w:rPr>
                <w:sz w:val="18"/>
                <w:szCs w:val="18"/>
                <w:color w:val="auto"/>
              </w:rPr>
            </w:pPr>
          </w:p>
        </w:tc>
        <w:tc>
          <w:tcPr>
            <w:tcW w:w="420" w:type="dxa"/>
            <w:vAlign w:val="bottom"/>
            <w:tcBorders>
              <w:top w:val="single" w:sz="8" w:color="auto"/>
              <w:bottom w:val="single" w:sz="8" w:color="auto"/>
            </w:tcBorders>
            <w:shd w:val="clear" w:color="auto" w:fill="CCEECC"/>
          </w:tcPr>
          <w:p>
            <w:pPr>
              <w:spacing w:after="0"/>
              <w:rPr>
                <w:sz w:val="18"/>
                <w:szCs w:val="18"/>
                <w:color w:val="auto"/>
              </w:rPr>
            </w:pPr>
          </w:p>
        </w:tc>
        <w:tc>
          <w:tcPr>
            <w:tcW w:w="1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1,783,692</w:t>
            </w:r>
          </w:p>
        </w:tc>
        <w:tc>
          <w:tcPr>
            <w:tcW w:w="10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1,495,459</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2,495,962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240" w:top="229" w:right="10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2013 AND 2012</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For the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For the</w:t>
            </w:r>
          </w:p>
        </w:tc>
        <w:tc>
          <w:tcPr>
            <w:tcW w:w="8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For the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For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three months</w:t>
            </w:r>
          </w:p>
        </w:tc>
        <w:tc>
          <w:tcPr>
            <w:tcW w:w="80" w:type="dxa"/>
            <w:vAlign w:val="bottom"/>
          </w:tcPr>
          <w:p>
            <w:pPr>
              <w:spacing w:after="0"/>
              <w:rPr>
                <w:sz w:val="18"/>
                <w:szCs w:val="18"/>
                <w:color w:val="auto"/>
              </w:rPr>
            </w:pPr>
          </w:p>
        </w:tc>
        <w:tc>
          <w:tcPr>
            <w:tcW w:w="10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8"/>
              </w:rPr>
              <w:t>three months</w:t>
            </w:r>
          </w:p>
        </w:tc>
        <w:tc>
          <w:tcPr>
            <w:tcW w:w="8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six months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six months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ended</w:t>
            </w:r>
          </w:p>
        </w:tc>
        <w:tc>
          <w:tcPr>
            <w:tcW w:w="8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ended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ended</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30,</w:t>
            </w:r>
          </w:p>
        </w:tc>
        <w:tc>
          <w:tcPr>
            <w:tcW w:w="80" w:type="dxa"/>
            <w:vAlign w:val="bottom"/>
          </w:tcPr>
          <w:p>
            <w:pPr>
              <w:spacing w:after="0"/>
              <w:rPr>
                <w:sz w:val="19"/>
                <w:szCs w:val="19"/>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34"/>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1,104,087</w:t>
            </w:r>
          </w:p>
        </w:tc>
        <w:tc>
          <w:tcPr>
            <w:tcW w:w="16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515,423</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1,773,377</w:t>
            </w:r>
          </w:p>
        </w:tc>
        <w:tc>
          <w:tcPr>
            <w:tcW w:w="80" w:type="dxa"/>
            <w:vAlign w:val="bottom"/>
            <w:shd w:val="clear" w:color="auto" w:fill="CCEECC"/>
          </w:tcPr>
          <w:p>
            <w:pPr>
              <w:spacing w:after="0"/>
              <w:rPr>
                <w:sz w:val="19"/>
                <w:szCs w:val="19"/>
                <w:color w:val="auto"/>
              </w:rPr>
            </w:pPr>
          </w:p>
        </w:tc>
        <w:tc>
          <w:tcPr>
            <w:tcW w:w="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844,826</w:t>
            </w:r>
          </w:p>
        </w:tc>
        <w:tc>
          <w:tcPr>
            <w:tcW w:w="4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CC"/>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bottom w:val="single" w:sz="8" w:color="CCEE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1,104,087</w:t>
            </w:r>
          </w:p>
        </w:tc>
        <w:tc>
          <w:tcPr>
            <w:tcW w:w="6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515,423</w:t>
            </w:r>
          </w:p>
        </w:tc>
        <w:tc>
          <w:tcPr>
            <w:tcW w:w="6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1,773,377</w:t>
            </w:r>
          </w:p>
        </w:tc>
        <w:tc>
          <w:tcPr>
            <w:tcW w:w="6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844,826</w:t>
            </w:r>
          </w:p>
        </w:tc>
        <w:tc>
          <w:tcPr>
            <w:tcW w:w="20" w:type="dxa"/>
            <w:vAlign w:val="bottom"/>
            <w:tcBorders>
              <w:bottom w:val="single" w:sz="8" w:color="CCEECC"/>
            </w:tcBorders>
          </w:tcPr>
          <w:p>
            <w:pPr>
              <w:spacing w:after="0"/>
              <w:rPr>
                <w:sz w:val="18"/>
                <w:szCs w:val="18"/>
                <w:color w:val="auto"/>
              </w:rPr>
            </w:pPr>
          </w:p>
        </w:tc>
        <w:tc>
          <w:tcPr>
            <w:tcW w:w="4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EXPENSES</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 (See note 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749,966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591,628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1,524,138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1,221,952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CC"/>
            </w:tcBorders>
            <w:shd w:val="clear" w:color="auto" w:fill="CCEECC"/>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749,966</w:t>
            </w:r>
          </w:p>
        </w:tc>
        <w:tc>
          <w:tcPr>
            <w:tcW w:w="6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591,628</w:t>
            </w:r>
          </w:p>
        </w:tc>
        <w:tc>
          <w:tcPr>
            <w:tcW w:w="6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1,524,138</w:t>
            </w:r>
          </w:p>
        </w:tc>
        <w:tc>
          <w:tcPr>
            <w:tcW w:w="6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auto"/>
              <w:bottom w:val="single" w:sz="8" w:color="auto"/>
            </w:tcBorders>
            <w:shd w:val="clear" w:color="auto" w:fill="CCEECC"/>
          </w:tcPr>
          <w:p>
            <w:pPr>
              <w:spacing w:after="0"/>
              <w:rPr>
                <w:sz w:val="18"/>
                <w:szCs w:val="18"/>
                <w:color w:val="auto"/>
              </w:rPr>
            </w:pP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1,221,952</w:t>
            </w:r>
          </w:p>
        </w:tc>
        <w:tc>
          <w:tcPr>
            <w:tcW w:w="2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CC"/>
            </w:tcBorders>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354,121</w:t>
            </w:r>
          </w:p>
        </w:tc>
        <w:tc>
          <w:tcPr>
            <w:tcW w:w="6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(76,205</w:t>
            </w:r>
          </w:p>
        </w:tc>
        <w:tc>
          <w:tcPr>
            <w:tcW w:w="60" w:type="dxa"/>
            <w:vAlign w:val="bottom"/>
            <w:tcBorders>
              <w:bottom w:val="single" w:sz="8" w:color="CCEEC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249,239</w:t>
            </w:r>
          </w:p>
        </w:tc>
        <w:tc>
          <w:tcPr>
            <w:tcW w:w="6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(377,126</w:t>
            </w:r>
          </w:p>
        </w:tc>
        <w:tc>
          <w:tcPr>
            <w:tcW w:w="60" w:type="dxa"/>
            <w:vAlign w:val="bottom"/>
            <w:tcBorders>
              <w:bottom w:val="single" w:sz="8" w:color="CCEECC"/>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38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CC"/>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88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w:t>
            </w: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FOR INCOME TAXES</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354,159</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(76,059)</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8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249,333</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gridSpan w:val="3"/>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(376,795)</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CC"/>
              <w:bottom w:val="single" w:sz="8" w:color="CCEECC"/>
            </w:tcBorders>
            <w:shd w:val="clear" w:color="auto" w:fill="CCEECC"/>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354,159</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(76,059</w:t>
            </w:r>
          </w:p>
        </w:tc>
        <w:tc>
          <w:tcPr>
            <w:tcW w:w="6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249,333</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(376,795</w:t>
            </w:r>
          </w:p>
        </w:tc>
        <w:tc>
          <w:tcPr>
            <w:tcW w:w="60" w:type="dxa"/>
            <w:vAlign w:val="bottom"/>
            <w:tcBorders>
              <w:top w:val="single" w:sz="8" w:color="CCEECC"/>
              <w:bottom w:val="single" w:sz="8" w:color="CCEECC"/>
            </w:tcBorders>
            <w:gridSpan w:val="2"/>
            <w:shd w:val="clear" w:color="auto" w:fill="CCEE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BASIC</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14,238,870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14,192,496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14,235,700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14,192,496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7"/>
        </w:trPr>
        <w:tc>
          <w:tcPr>
            <w:tcW w:w="3820" w:type="dxa"/>
            <w:vAlign w:val="bottom"/>
            <w:tcBorders>
              <w:bottom w:val="single" w:sz="8" w:color="CCEECC"/>
            </w:tcBorders>
            <w:vMerge w:val="continue"/>
          </w:tcPr>
          <w:p>
            <w:pPr>
              <w:spacing w:after="0"/>
              <w:rPr>
                <w:sz w:val="20"/>
                <w:szCs w:val="20"/>
                <w:color w:val="auto"/>
              </w:rPr>
            </w:pPr>
          </w:p>
        </w:tc>
        <w:tc>
          <w:tcPr>
            <w:tcW w:w="80" w:type="dxa"/>
            <w:vAlign w:val="bottom"/>
            <w:tcBorders>
              <w:bottom w:val="single" w:sz="8" w:color="CCEECC"/>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60" w:type="dxa"/>
            <w:vAlign w:val="bottom"/>
            <w:tcBorders>
              <w:bottom w:val="single" w:sz="8" w:color="CCEECC"/>
            </w:tcBorders>
            <w:vMerge w:val="continue"/>
          </w:tcPr>
          <w:p>
            <w:pPr>
              <w:spacing w:after="0"/>
              <w:rPr>
                <w:sz w:val="20"/>
                <w:szCs w:val="20"/>
                <w:color w:val="auto"/>
              </w:rPr>
            </w:pPr>
          </w:p>
        </w:tc>
        <w:tc>
          <w:tcPr>
            <w:tcW w:w="80" w:type="dxa"/>
            <w:vAlign w:val="bottom"/>
            <w:tcBorders>
              <w:bottom w:val="single" w:sz="8" w:color="CCEECC"/>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60" w:type="dxa"/>
            <w:vAlign w:val="bottom"/>
            <w:tcBorders>
              <w:bottom w:val="single" w:sz="8" w:color="CCEECC"/>
            </w:tcBorders>
            <w:vMerge w:val="continue"/>
          </w:tcPr>
          <w:p>
            <w:pPr>
              <w:spacing w:after="0"/>
              <w:rPr>
                <w:sz w:val="20"/>
                <w:szCs w:val="20"/>
                <w:color w:val="auto"/>
              </w:rPr>
            </w:pPr>
          </w:p>
        </w:tc>
        <w:tc>
          <w:tcPr>
            <w:tcW w:w="80" w:type="dxa"/>
            <w:vAlign w:val="bottom"/>
            <w:tcBorders>
              <w:bottom w:val="single" w:sz="8" w:color="CCEECC"/>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60" w:type="dxa"/>
            <w:vAlign w:val="bottom"/>
            <w:tcBorders>
              <w:bottom w:val="single" w:sz="8" w:color="CCEECC"/>
            </w:tcBorders>
            <w:vMerge w:val="continue"/>
          </w:tcPr>
          <w:p>
            <w:pPr>
              <w:spacing w:after="0"/>
              <w:rPr>
                <w:sz w:val="20"/>
                <w:szCs w:val="20"/>
                <w:color w:val="auto"/>
              </w:rPr>
            </w:pPr>
          </w:p>
        </w:tc>
        <w:tc>
          <w:tcPr>
            <w:tcW w:w="80" w:type="dxa"/>
            <w:vAlign w:val="bottom"/>
            <w:tcBorders>
              <w:bottom w:val="single" w:sz="8" w:color="CCEECC"/>
            </w:tcBorders>
            <w:vMerge w:val="continue"/>
          </w:tcPr>
          <w:p>
            <w:pPr>
              <w:spacing w:after="0"/>
              <w:rPr>
                <w:sz w:val="20"/>
                <w:szCs w:val="20"/>
                <w:color w:val="auto"/>
              </w:rPr>
            </w:pPr>
          </w:p>
        </w:tc>
        <w:tc>
          <w:tcPr>
            <w:tcW w:w="20" w:type="dxa"/>
            <w:vAlign w:val="bottom"/>
            <w:tcBorders>
              <w:bottom w:val="single" w:sz="8" w:color="CCEECC"/>
            </w:tcBorders>
            <w:vMerge w:val="continue"/>
          </w:tcPr>
          <w:p>
            <w:pPr>
              <w:spacing w:after="0"/>
              <w:rPr>
                <w:sz w:val="20"/>
                <w:szCs w:val="2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CCEECC"/>
            </w:tcBorders>
            <w:vMerge w:val="continue"/>
          </w:tcPr>
          <w:p>
            <w:pPr>
              <w:spacing w:after="0"/>
              <w:rPr>
                <w:sz w:val="20"/>
                <w:szCs w:val="20"/>
                <w:color w:val="auto"/>
              </w:rPr>
            </w:pPr>
          </w:p>
        </w:tc>
        <w:tc>
          <w:tcPr>
            <w:tcW w:w="40" w:type="dxa"/>
            <w:vAlign w:val="bottom"/>
            <w:tcBorders>
              <w:bottom w:val="single" w:sz="8" w:color="CCEE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820" w:type="dxa"/>
            <w:vAlign w:val="bottom"/>
            <w:shd w:val="clear" w:color="auto" w:fill="CCEEC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OUTSTANDING: DILUTED</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88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w w:val="98"/>
              </w:rPr>
              <w:t>33,608,304</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8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98"/>
              </w:rPr>
              <w:t>14,192,496</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88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w w:val="98"/>
              </w:rPr>
              <w:t>33,608,304</w:t>
            </w:r>
          </w:p>
        </w:tc>
        <w:tc>
          <w:tcPr>
            <w:tcW w:w="8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8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98"/>
              </w:rPr>
              <w:t>14,192,496</w:t>
            </w:r>
          </w:p>
        </w:tc>
        <w:tc>
          <w:tcPr>
            <w:tcW w:w="4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CC"/>
              <w:bottom w:val="single" w:sz="8" w:color="CCEECC"/>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bottom w:val="single" w:sz="8" w:color="CCEECC"/>
            </w:tcBorders>
            <w:vMerge w:val="restart"/>
          </w:tcPr>
          <w:p>
            <w:pPr>
              <w:spacing w:after="0" w:line="20" w:lineRule="exact"/>
              <w:rPr>
                <w:sz w:val="1"/>
                <w:szCs w:val="1"/>
                <w:color w:val="auto"/>
              </w:rPr>
            </w:pP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bottom w:val="single" w:sz="8" w:color="CCEECC"/>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bottom w:val="single" w:sz="8" w:color="CCEECC"/>
            </w:tcBorders>
            <w:vMerge w:val="restart"/>
          </w:tcPr>
          <w:p>
            <w:pPr>
              <w:spacing w:after="0" w:line="20" w:lineRule="exact"/>
              <w:rPr>
                <w:sz w:val="1"/>
                <w:szCs w:val="1"/>
                <w:color w:val="auto"/>
              </w:rPr>
            </w:pP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bottom w:val="single" w:sz="8" w:color="CCEECC"/>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2013 AND 2012</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For the six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34"/>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3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249,333</w:t>
            </w:r>
          </w:p>
        </w:tc>
        <w:tc>
          <w:tcPr>
            <w:tcW w:w="100" w:type="dxa"/>
            <w:vAlign w:val="bottom"/>
            <w:shd w:val="clear" w:color="auto" w:fill="CCEECC"/>
          </w:tcPr>
          <w:p>
            <w:pPr>
              <w:spacing w:after="0"/>
              <w:rPr>
                <w:sz w:val="18"/>
                <w:szCs w:val="18"/>
                <w:color w:val="auto"/>
              </w:rPr>
            </w:pPr>
          </w:p>
        </w:tc>
        <w:tc>
          <w:tcPr>
            <w:tcW w:w="2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(376,795)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0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CC"/>
          </w:tcPr>
          <w:p>
            <w:pPr>
              <w:ind w:left="5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96,337</w:t>
            </w: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93,352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 issued for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CC"/>
          </w:tcPr>
          <w:p>
            <w:pPr>
              <w:ind w:left="5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178,304</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Changes 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(322,887)</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(54,177)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(42,543)</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2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(53,529)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CC"/>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106,447</w:t>
            </w:r>
          </w:p>
        </w:tc>
        <w:tc>
          <w:tcPr>
            <w:tcW w:w="100" w:type="dxa"/>
            <w:vAlign w:val="bottom"/>
            <w:tcBorders>
              <w:bottom w:val="single" w:sz="8" w:color="CCEECC"/>
            </w:tcBorders>
          </w:tcPr>
          <w:p>
            <w:pPr>
              <w:spacing w:after="0"/>
              <w:rPr>
                <w:sz w:val="18"/>
                <w:szCs w:val="18"/>
                <w:color w:val="auto"/>
              </w:rPr>
            </w:pPr>
          </w:p>
        </w:tc>
        <w:tc>
          <w:tcPr>
            <w:tcW w:w="10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(375,700</w:t>
            </w:r>
          </w:p>
        </w:tc>
        <w:tc>
          <w:tcPr>
            <w:tcW w:w="80" w:type="dxa"/>
            <w:vAlign w:val="bottom"/>
            <w:tcBorders>
              <w:bottom w:val="single" w:sz="8" w:color="CCEECC"/>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Patent rights</w:t>
            </w:r>
          </w:p>
        </w:tc>
        <w:tc>
          <w:tcPr>
            <w:tcW w:w="2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(38,278)</w:t>
            </w:r>
          </w:p>
        </w:tc>
        <w:tc>
          <w:tcPr>
            <w:tcW w:w="10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1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Website site development costs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112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(38,278)</w:t>
            </w:r>
          </w:p>
        </w:tc>
        <w:tc>
          <w:tcPr>
            <w:tcW w:w="10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spacing w:after="0"/>
              <w:rPr>
                <w:sz w:val="18"/>
                <w:szCs w:val="18"/>
                <w:color w:val="auto"/>
              </w:rPr>
            </w:pPr>
          </w:p>
        </w:tc>
        <w:tc>
          <w:tcPr>
            <w:tcW w:w="114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(55,955)</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(431,655)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200" w:type="dxa"/>
            <w:vAlign w:val="bottom"/>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spacing w:after="0"/>
              <w:rPr>
                <w:sz w:val="19"/>
                <w:szCs w:val="19"/>
                <w:color w:val="auto"/>
              </w:rPr>
            </w:pPr>
          </w:p>
        </w:tc>
        <w:tc>
          <w:tcPr>
            <w:tcW w:w="11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284,263</w:t>
            </w:r>
          </w:p>
        </w:tc>
        <w:tc>
          <w:tcPr>
            <w:tcW w:w="1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spacing w:after="0"/>
              <w:rPr>
                <w:sz w:val="19"/>
                <w:szCs w:val="19"/>
                <w:color w:val="auto"/>
              </w:rPr>
            </w:pPr>
          </w:p>
        </w:tc>
        <w:tc>
          <w:tcPr>
            <w:tcW w:w="11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959,166</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00" w:type="dxa"/>
            <w:vAlign w:val="bottom"/>
            <w:tcBorders>
              <w:bottom w:val="single" w:sz="8" w:color="CCEECC"/>
            </w:tcBorders>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00" w:type="dxa"/>
            <w:vAlign w:val="bottom"/>
            <w:tcBorders>
              <w:bottom w:val="single" w:sz="8" w:color="CCEEC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352,432</w:t>
            </w:r>
          </w:p>
        </w:tc>
        <w:tc>
          <w:tcPr>
            <w:tcW w:w="100" w:type="dxa"/>
            <w:vAlign w:val="bottom"/>
            <w:tcBorders>
              <w:bottom w:val="single" w:sz="8" w:color="CCEECC"/>
            </w:tcBorders>
          </w:tcPr>
          <w:p>
            <w:pPr>
              <w:spacing w:after="0"/>
              <w:rPr>
                <w:sz w:val="22"/>
                <w:szCs w:val="22"/>
                <w:color w:val="auto"/>
              </w:rPr>
            </w:pPr>
          </w:p>
        </w:tc>
        <w:tc>
          <w:tcPr>
            <w:tcW w:w="100" w:type="dxa"/>
            <w:vAlign w:val="bottom"/>
            <w:tcBorders>
              <w:bottom w:val="single" w:sz="8" w:color="CCEEC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527,511</w:t>
            </w:r>
          </w:p>
        </w:tc>
        <w:tc>
          <w:tcPr>
            <w:tcW w:w="80" w:type="dxa"/>
            <w:vAlign w:val="bottom"/>
            <w:tcBorders>
              <w:bottom w:val="single" w:sz="8" w:color="CCEE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shd w:val="clear" w:color="auto" w:fill="CCEEC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top w:val="single" w:sz="8" w:color="CCEECC"/>
              <w:bottom w:val="single" w:sz="8" w:color="CCEECC"/>
            </w:tcBorders>
            <w:shd w:val="clear" w:color="auto" w:fill="CCEECC"/>
          </w:tcPr>
          <w:p>
            <w:pPr>
              <w:ind w:left="300"/>
              <w:spacing w:after="0" w:line="195" w:lineRule="exact"/>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CC"/>
              <w:bottom w:val="single" w:sz="8" w:color="CCEECC"/>
            </w:tcBorders>
            <w:shd w:val="clear" w:color="auto" w:fill="CCEECC"/>
          </w:tcPr>
          <w:p>
            <w:pPr>
              <w:spacing w:after="0"/>
              <w:rPr>
                <w:sz w:val="17"/>
                <w:szCs w:val="17"/>
                <w:color w:val="auto"/>
              </w:rPr>
            </w:pPr>
          </w:p>
        </w:tc>
        <w:tc>
          <w:tcPr>
            <w:tcW w:w="10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240" w:top="229" w:right="10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year ended December 31, 2012.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Basis</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accompanying financial statements, the Company considers all highly liquid instruments with an initial maturity of three months or less to be cash equivalents.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Doubtful Accounts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for the six months ended June 30, 2013 and 2012, respectively. The allowance for doubtful accounts was $0 as of June 30, 2013 and December 31, 2012,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capital assets are being depreciated over their estimated useful lives, three to seven years using the straight-line method of depreciation for book purposes.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Common and Common Equivalent Share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June 30, 2012 since their effect is anti-dilutive.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Guidance</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expect the adoption of recently issued accounting pronouncements to have a significant impact on the Company’s results of operations, financial position or cash flow.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consisted of the following as of June 30, 2013 and December 31, 2012:</w:t>
      </w:r>
    </w:p>
    <w:p>
      <w:pPr>
        <w:spacing w:after="0" w:line="239"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3440" w:type="dxa"/>
            <w:vAlign w:val="bottom"/>
            <w:tcBorders>
              <w:bottom w:val="single" w:sz="8" w:color="CCEE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344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60" w:type="dxa"/>
            <w:vAlign w:val="bottom"/>
            <w:shd w:val="clear" w:color="auto" w:fill="CCEECC"/>
          </w:tcPr>
          <w:p>
            <w:pPr>
              <w:spacing w:after="0"/>
              <w:rPr>
                <w:sz w:val="18"/>
                <w:szCs w:val="18"/>
                <w:color w:val="auto"/>
              </w:rPr>
            </w:pPr>
          </w:p>
        </w:tc>
      </w:t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60" w:type="dxa"/>
            <w:vAlign w:val="bottom"/>
          </w:tcPr>
          <w:p>
            <w:pPr>
              <w:spacing w:after="0"/>
              <w:rPr>
                <w:sz w:val="18"/>
                <w:szCs w:val="18"/>
                <w:color w:val="auto"/>
              </w:rPr>
            </w:pPr>
          </w:p>
        </w:tc>
      </w:tr>
      <w:tr>
        <w:trPr>
          <w:trHeight w:val="216"/>
        </w:trPr>
        <w:tc>
          <w:tcPr>
            <w:tcW w:w="344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Consulting</w:t>
            </w:r>
          </w:p>
        </w:tc>
        <w:tc>
          <w:tcPr>
            <w:tcW w:w="30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60" w:type="dxa"/>
            <w:vAlign w:val="bottom"/>
            <w:shd w:val="clear" w:color="auto" w:fill="CCEECC"/>
          </w:tcPr>
          <w:p>
            <w:pPr>
              <w:spacing w:after="0"/>
              <w:rPr>
                <w:sz w:val="18"/>
                <w:szCs w:val="18"/>
                <w:color w:val="auto"/>
              </w:rPr>
            </w:pPr>
          </w:p>
        </w:tc>
      </w:tr>
      <w:tr>
        <w:trPr>
          <w:trHeight w:val="230"/>
        </w:trPr>
        <w:tc>
          <w:tcPr>
            <w:tcW w:w="3440" w:type="dxa"/>
            <w:vAlign w:val="bottom"/>
            <w:tcBorders>
              <w:bottom w:val="single" w:sz="8" w:color="CCEECC"/>
            </w:tcBorders>
          </w:tcPr>
          <w:p>
            <w:pPr>
              <w:ind w:left="100"/>
              <w:spacing w:after="0"/>
              <w:rPr>
                <w:sz w:val="20"/>
                <w:szCs w:val="20"/>
                <w:color w:val="auto"/>
              </w:rPr>
            </w:pPr>
            <w:r>
              <w:rPr>
                <w:rFonts w:ascii="Times New Roman" w:cs="Times New Roman" w:eastAsia="Times New Roman" w:hAnsi="Times New Roman"/>
                <w:sz w:val="18"/>
                <w:szCs w:val="18"/>
                <w:color w:val="auto"/>
              </w:rPr>
              <w:t>Legal</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Borders>
              <w:bottom w:val="single" w:sz="8" w:color="CCEECC"/>
            </w:tcBorders>
          </w:tcPr>
          <w:p>
            <w:pPr>
              <w:spacing w:after="0"/>
              <w:rPr>
                <w:sz w:val="19"/>
                <w:szCs w:val="19"/>
                <w:color w:val="auto"/>
              </w:rPr>
            </w:pPr>
          </w:p>
        </w:tc>
      </w:tr>
      <w:tr>
        <w:trPr>
          <w:trHeight w:val="223"/>
        </w:trPr>
        <w:tc>
          <w:tcPr>
            <w:tcW w:w="3440" w:type="dxa"/>
            <w:vAlign w:val="bottom"/>
            <w:tcBorders>
              <w:bottom w:val="single" w:sz="8" w:color="CCEECC"/>
            </w:tcBorders>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Total prepaid expenses</w:t>
            </w:r>
          </w:p>
        </w:tc>
        <w:tc>
          <w:tcPr>
            <w:tcW w:w="300" w:type="dxa"/>
            <w:vAlign w:val="bottom"/>
            <w:tcBorders>
              <w:bottom w:val="single" w:sz="8" w:color="auto"/>
            </w:tcBorders>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55,719</w:t>
            </w:r>
          </w:p>
        </w:tc>
        <w:tc>
          <w:tcPr>
            <w:tcW w:w="4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68,158</w:t>
            </w:r>
          </w:p>
        </w:tc>
        <w:tc>
          <w:tcPr>
            <w:tcW w:w="60" w:type="dxa"/>
            <w:vAlign w:val="bottom"/>
            <w:tcBorders>
              <w:bottom w:val="single" w:sz="8" w:color="CCEECC"/>
            </w:tcBorders>
            <w:shd w:val="clear" w:color="auto" w:fill="CCEEC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owned equipment recorded at cost which consisted of the following as of June 30, 2013 and December 31, 2012:</w:t>
      </w:r>
    </w:p>
    <w:p>
      <w:pPr>
        <w:spacing w:after="0" w:line="239"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2800" w:type="dxa"/>
            <w:vAlign w:val="bottom"/>
            <w:tcBorders>
              <w:bottom w:val="single" w:sz="8" w:color="CCEECC"/>
            </w:tcBorders>
          </w:tcPr>
          <w:p>
            <w:pPr>
              <w:spacing w:after="0"/>
              <w:rPr>
                <w:sz w:val="20"/>
                <w:szCs w:val="20"/>
                <w:color w:val="auto"/>
              </w:rPr>
            </w:pPr>
          </w:p>
        </w:tc>
        <w:tc>
          <w:tcPr>
            <w:tcW w:w="620" w:type="dxa"/>
            <w:vAlign w:val="bottom"/>
            <w:tcBorders>
              <w:bottom w:val="single" w:sz="8" w:color="CCEE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Borders>
              <w:bottom w:val="single" w:sz="8" w:color="auto"/>
            </w:tcBorders>
          </w:tcPr>
          <w:p>
            <w:pPr>
              <w:spacing w:after="0"/>
              <w:rPr>
                <w:sz w:val="20"/>
                <w:szCs w:val="20"/>
                <w:color w:val="auto"/>
              </w:rPr>
            </w:pPr>
          </w:p>
        </w:tc>
      </w:tr>
      <w:tr>
        <w:trPr>
          <w:trHeight w:val="210"/>
        </w:trPr>
        <w:tc>
          <w:tcPr>
            <w:tcW w:w="280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c>
          <w:tcPr>
            <w:tcW w:w="62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80" w:type="dxa"/>
            <w:vAlign w:val="bottom"/>
            <w:shd w:val="clear" w:color="auto" w:fill="CCEECC"/>
          </w:tcPr>
          <w:p>
            <w:pPr>
              <w:spacing w:after="0"/>
              <w:rPr>
                <w:sz w:val="18"/>
                <w:szCs w:val="18"/>
                <w:color w:val="auto"/>
              </w:rPr>
            </w:pPr>
          </w:p>
        </w:tc>
      </w:tr>
      <w:tr>
        <w:trPr>
          <w:trHeight w:val="230"/>
        </w:trPr>
        <w:tc>
          <w:tcPr>
            <w:tcW w:w="2800" w:type="dxa"/>
            <w:vAlign w:val="bottom"/>
            <w:tcBorders>
              <w:bottom w:val="single" w:sz="8" w:color="CCEECC"/>
            </w:tcBorders>
          </w:tcPr>
          <w:p>
            <w:pPr>
              <w:ind w:left="100"/>
              <w:spacing w:after="0"/>
              <w:rPr>
                <w:sz w:val="20"/>
                <w:szCs w:val="20"/>
                <w:color w:val="auto"/>
              </w:rPr>
            </w:pPr>
            <w:r>
              <w:rPr>
                <w:rFonts w:ascii="Times New Roman" w:cs="Times New Roman" w:eastAsia="Times New Roman" w:hAnsi="Times New Roman"/>
                <w:sz w:val="18"/>
                <w:szCs w:val="18"/>
                <w:color w:val="auto"/>
              </w:rPr>
              <w:t>Furniture and fixtures</w:t>
            </w:r>
          </w:p>
        </w:tc>
        <w:tc>
          <w:tcPr>
            <w:tcW w:w="62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8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80" w:type="dxa"/>
            <w:vAlign w:val="bottom"/>
            <w:tcBorders>
              <w:bottom w:val="single" w:sz="8" w:color="CCEECC"/>
            </w:tcBorders>
          </w:tcPr>
          <w:p>
            <w:pPr>
              <w:spacing w:after="0"/>
              <w:rPr>
                <w:sz w:val="19"/>
                <w:szCs w:val="19"/>
                <w:color w:val="auto"/>
              </w:rPr>
            </w:pPr>
          </w:p>
        </w:tc>
      </w:tr>
      <w:tr>
        <w:trPr>
          <w:trHeight w:val="210"/>
        </w:trPr>
        <w:tc>
          <w:tcPr>
            <w:tcW w:w="2800" w:type="dxa"/>
            <w:vAlign w:val="bottom"/>
            <w:shd w:val="clear" w:color="auto" w:fill="CCEECC"/>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6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80" w:type="dxa"/>
            <w:vAlign w:val="bottom"/>
            <w:shd w:val="clear" w:color="auto" w:fill="CCEECC"/>
          </w:tcPr>
          <w:p>
            <w:pPr>
              <w:spacing w:after="0"/>
              <w:rPr>
                <w:sz w:val="18"/>
                <w:szCs w:val="18"/>
                <w:color w:val="auto"/>
              </w:rPr>
            </w:pPr>
          </w:p>
        </w:tc>
      </w:tr>
      <w:tr>
        <w:trPr>
          <w:trHeight w:val="230"/>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(15,577)</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(12,763)</w:t>
            </w:r>
          </w:p>
        </w:tc>
      </w:tr>
      <w:tr>
        <w:trPr>
          <w:trHeight w:val="223"/>
        </w:trPr>
        <w:tc>
          <w:tcPr>
            <w:tcW w:w="2800" w:type="dxa"/>
            <w:vAlign w:val="bottom"/>
            <w:tcBorders>
              <w:top w:val="single" w:sz="8" w:color="CCEECC"/>
              <w:bottom w:val="single" w:sz="8" w:color="CCEECC"/>
            </w:tcBorders>
            <w:shd w:val="clear" w:color="auto" w:fill="CCEEC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20" w:type="dxa"/>
            <w:vAlign w:val="bottom"/>
            <w:tcBorders>
              <w:top w:val="single" w:sz="8" w:color="CCEECC"/>
              <w:bottom w:val="single" w:sz="8" w:color="CCEECC"/>
            </w:tcBorders>
            <w:shd w:val="clear" w:color="auto" w:fill="CCEECC"/>
          </w:tcPr>
          <w:p>
            <w:pPr>
              <w:spacing w:after="0"/>
              <w:rPr>
                <w:sz w:val="19"/>
                <w:szCs w:val="19"/>
                <w:color w:val="auto"/>
              </w:rPr>
            </w:pPr>
          </w:p>
        </w:tc>
        <w:tc>
          <w:tcPr>
            <w:tcW w:w="300" w:type="dxa"/>
            <w:vAlign w:val="bottom"/>
            <w:tcBorders>
              <w:top w:val="single" w:sz="8" w:color="auto"/>
              <w:bottom w:val="single" w:sz="8" w:color="auto"/>
            </w:tcBorders>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40" w:type="dxa"/>
            <w:vAlign w:val="bottom"/>
            <w:tcBorders>
              <w:top w:val="single" w:sz="8" w:color="CCEECC"/>
              <w:bottom w:val="single" w:sz="8" w:color="CCEECC"/>
            </w:tcBorders>
            <w:shd w:val="clear" w:color="auto" w:fill="CCEECC"/>
          </w:tcPr>
          <w:p>
            <w:pPr>
              <w:spacing w:after="0"/>
              <w:rPr>
                <w:sz w:val="19"/>
                <w:szCs w:val="19"/>
                <w:color w:val="auto"/>
              </w:rPr>
            </w:pPr>
          </w:p>
        </w:tc>
        <w:tc>
          <w:tcPr>
            <w:tcW w:w="300" w:type="dxa"/>
            <w:vAlign w:val="bottom"/>
            <w:tcBorders>
              <w:top w:val="single" w:sz="8" w:color="auto"/>
              <w:bottom w:val="single" w:sz="8" w:color="auto"/>
            </w:tcBorders>
            <w:shd w:val="clear" w:color="auto" w:fill="CCEEC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$1,407 and $1,412 for the three months ended June 30, 2013 and 2012, respectively. Depreciation expense was $2,814 and $2,712 for the six months ended June 30, 2013 and 2012,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WEB DEVELOPMENT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costs in developing their website and web-based products, which consisted of the following as of June 30, 2013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w:t>
      </w:r>
    </w:p>
    <w:p>
      <w:pPr>
        <w:spacing w:after="0" w:line="220"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2960" w:type="dxa"/>
            <w:vAlign w:val="bottom"/>
            <w:tcBorders>
              <w:bottom w:val="single" w:sz="8" w:color="CCEECC"/>
            </w:tcBorders>
          </w:tcPr>
          <w:p>
            <w:pPr>
              <w:spacing w:after="0"/>
              <w:rPr>
                <w:sz w:val="20"/>
                <w:szCs w:val="20"/>
                <w:color w:val="auto"/>
              </w:rPr>
            </w:pPr>
          </w:p>
        </w:tc>
        <w:tc>
          <w:tcPr>
            <w:tcW w:w="460" w:type="dxa"/>
            <w:vAlign w:val="bottom"/>
            <w:tcBorders>
              <w:bottom w:val="single" w:sz="8" w:color="CCEE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Borders>
              <w:bottom w:val="single" w:sz="8" w:color="auto"/>
            </w:tcBorders>
          </w:tcPr>
          <w:p>
            <w:pPr>
              <w:spacing w:after="0"/>
              <w:rPr>
                <w:sz w:val="20"/>
                <w:szCs w:val="20"/>
                <w:color w:val="auto"/>
              </w:rPr>
            </w:pPr>
          </w:p>
        </w:tc>
      </w:tr>
      <w:tr>
        <w:trPr>
          <w:trHeight w:val="210"/>
        </w:trPr>
        <w:tc>
          <w:tcPr>
            <w:tcW w:w="296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OptimizeRx web development</w:t>
            </w:r>
          </w:p>
        </w:tc>
        <w:tc>
          <w:tcPr>
            <w:tcW w:w="46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154,133</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154,133</w:t>
            </w:r>
          </w:p>
        </w:tc>
        <w:tc>
          <w:tcPr>
            <w:tcW w:w="80" w:type="dxa"/>
            <w:vAlign w:val="bottom"/>
            <w:shd w:val="clear" w:color="auto" w:fill="CCEECC"/>
          </w:tcPr>
          <w:p>
            <w:pPr>
              <w:spacing w:after="0"/>
              <w:rPr>
                <w:sz w:val="18"/>
                <w:szCs w:val="18"/>
                <w:color w:val="auto"/>
              </w:rPr>
            </w:pPr>
          </w:p>
        </w:tc>
      </w:tr>
      <w:tr>
        <w:trPr>
          <w:trHeight w:val="230"/>
        </w:trPr>
        <w:tc>
          <w:tcPr>
            <w:tcW w:w="2960" w:type="dxa"/>
            <w:vAlign w:val="bottom"/>
            <w:tcBorders>
              <w:bottom w:val="single" w:sz="8" w:color="CCEECC"/>
            </w:tcBorders>
          </w:tcPr>
          <w:p>
            <w:pPr>
              <w:ind w:left="100"/>
              <w:spacing w:after="0"/>
              <w:rPr>
                <w:sz w:val="20"/>
                <w:szCs w:val="20"/>
                <w:color w:val="auto"/>
              </w:rPr>
            </w:pPr>
            <w:r>
              <w:rPr>
                <w:rFonts w:ascii="Times New Roman" w:cs="Times New Roman" w:eastAsia="Times New Roman" w:hAnsi="Times New Roman"/>
                <w:sz w:val="18"/>
                <w:szCs w:val="18"/>
                <w:color w:val="auto"/>
              </w:rPr>
              <w:t>SampleMD web development</w:t>
            </w:r>
          </w:p>
        </w:tc>
        <w:tc>
          <w:tcPr>
            <w:tcW w:w="46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602,517</w:t>
            </w:r>
          </w:p>
        </w:tc>
        <w:tc>
          <w:tcPr>
            <w:tcW w:w="8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602,517</w:t>
            </w:r>
          </w:p>
        </w:tc>
        <w:tc>
          <w:tcPr>
            <w:tcW w:w="80" w:type="dxa"/>
            <w:vAlign w:val="bottom"/>
            <w:tcBorders>
              <w:bottom w:val="single" w:sz="8" w:color="CCEECC"/>
            </w:tcBorders>
          </w:tcPr>
          <w:p>
            <w:pPr>
              <w:spacing w:after="0"/>
              <w:rPr>
                <w:sz w:val="19"/>
                <w:szCs w:val="19"/>
                <w:color w:val="auto"/>
              </w:rPr>
            </w:pPr>
          </w:p>
        </w:tc>
      </w:tr>
      <w:tr>
        <w:trPr>
          <w:trHeight w:val="210"/>
        </w:trPr>
        <w:tc>
          <w:tcPr>
            <w:tcW w:w="2960" w:type="dxa"/>
            <w:vAlign w:val="bottom"/>
            <w:shd w:val="clear" w:color="auto" w:fill="CCEECC"/>
          </w:tcPr>
          <w:p>
            <w:pPr>
              <w:ind w:left="140"/>
              <w:spacing w:after="0"/>
              <w:rPr>
                <w:sz w:val="20"/>
                <w:szCs w:val="20"/>
                <w:color w:val="auto"/>
              </w:rPr>
            </w:pPr>
            <w:r>
              <w:rPr>
                <w:rFonts w:ascii="Times New Roman" w:cs="Times New Roman" w:eastAsia="Times New Roman" w:hAnsi="Times New Roman"/>
                <w:sz w:val="18"/>
                <w:szCs w:val="18"/>
                <w:color w:val="auto"/>
              </w:rPr>
              <w:t>Subtotal, web development costs</w:t>
            </w:r>
          </w:p>
        </w:tc>
        <w:tc>
          <w:tcPr>
            <w:tcW w:w="46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756,650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756,650</w:t>
            </w:r>
          </w:p>
        </w:tc>
        <w:tc>
          <w:tcPr>
            <w:tcW w:w="80" w:type="dxa"/>
            <w:vAlign w:val="bottom"/>
            <w:shd w:val="clear" w:color="auto" w:fill="CCEECC"/>
          </w:tcPr>
          <w:p>
            <w:pPr>
              <w:spacing w:after="0"/>
              <w:rPr>
                <w:sz w:val="18"/>
                <w:szCs w:val="18"/>
                <w:color w:val="auto"/>
              </w:rPr>
            </w:pPr>
          </w:p>
        </w:tc>
      </w:tr>
      <w:tr>
        <w:trPr>
          <w:trHeight w:val="216"/>
        </w:trPr>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(375,497)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(310,352)</w:t>
            </w:r>
          </w:p>
        </w:tc>
      </w:tr>
      <w:tr>
        <w:trPr>
          <w:trHeight w:val="230"/>
        </w:trPr>
        <w:tc>
          <w:tcPr>
            <w:tcW w:w="296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Impairment</w:t>
            </w:r>
          </w:p>
        </w:tc>
        <w:tc>
          <w:tcPr>
            <w:tcW w:w="46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11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(59,083)</w:t>
            </w:r>
          </w:p>
        </w:tc>
        <w:tc>
          <w:tcPr>
            <w:tcW w:w="4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shd w:val="clear" w:color="auto" w:fill="CCEECC"/>
          </w:tcPr>
          <w:p>
            <w:pPr>
              <w:spacing w:after="0"/>
              <w:rPr>
                <w:sz w:val="19"/>
                <w:szCs w:val="19"/>
                <w:color w:val="auto"/>
              </w:rPr>
            </w:pPr>
          </w:p>
        </w:tc>
        <w:tc>
          <w:tcPr>
            <w:tcW w:w="112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(59,083)</w:t>
            </w:r>
          </w:p>
        </w:tc>
      </w:tr>
      <w:tr>
        <w:trPr>
          <w:trHeight w:val="223"/>
        </w:trPr>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Web development costs, net</w:t>
            </w:r>
          </w:p>
        </w:tc>
        <w:tc>
          <w:tcPr>
            <w:tcW w:w="4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387,215</w:t>
            </w:r>
          </w:p>
        </w:tc>
        <w:tc>
          <w:tcPr>
            <w:tcW w:w="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is recorded using the straight-line method over a period of five years. The Company determined that the original OptimizeRx website was no longer useful so the remaining unamortized balance of $59,083 was impaired as of December 31, 2010. Amortization expense for the web development costs was $32,572 and $32,241 for the three months ended June 30, 2013 and 2012, respectively. Amortization expense for the web development costs was $65,145 and $63,288 for the six months ended June 30, 2013 and 2012, respectively.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PATENT RIGHTS AND INTANGIBLE ASSETS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costs in purchasing the SampleMD patent, which consisted of the following as of June 30, 2013 and December 31, 2012:</w:t>
      </w:r>
    </w:p>
    <w:p>
      <w:pPr>
        <w:spacing w:after="0" w:line="239"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3420" w:type="dxa"/>
            <w:vAlign w:val="bottom"/>
            <w:tcBorders>
              <w:bottom w:val="single" w:sz="8" w:color="CCEE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Borders>
              <w:bottom w:val="single" w:sz="8" w:color="auto"/>
            </w:tcBorders>
          </w:tcPr>
          <w:p>
            <w:pPr>
              <w:spacing w:after="0"/>
              <w:rPr>
                <w:sz w:val="20"/>
                <w:szCs w:val="20"/>
                <w:color w:val="auto"/>
              </w:rPr>
            </w:pPr>
          </w:p>
        </w:tc>
      </w:tr>
      <w:tr>
        <w:trPr>
          <w:trHeight w:val="210"/>
        </w:trPr>
        <w:tc>
          <w:tcPr>
            <w:tcW w:w="342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Patent rights and intangible assets</w:t>
            </w:r>
          </w:p>
        </w:tc>
        <w:tc>
          <w:tcPr>
            <w:tcW w:w="300" w:type="dxa"/>
            <w:vAlign w:val="bottom"/>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968,278</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80" w:type="dxa"/>
            <w:vAlign w:val="bottom"/>
            <w:shd w:val="clear" w:color="auto" w:fill="CCEECC"/>
          </w:tcPr>
          <w:p>
            <w:pPr>
              <w:spacing w:after="0"/>
              <w:rPr>
                <w:sz w:val="18"/>
                <w:szCs w:val="18"/>
                <w:color w:val="auto"/>
              </w:rPr>
            </w:pPr>
          </w:p>
        </w:tc>
      </w:tr>
      <w:tr>
        <w:trPr>
          <w:trHeight w:val="230"/>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(165,142)</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(136,764)</w:t>
            </w:r>
          </w:p>
        </w:tc>
      </w:tr>
      <w:tr>
        <w:trPr>
          <w:trHeight w:val="223"/>
        </w:trPr>
        <w:tc>
          <w:tcPr>
            <w:tcW w:w="3420" w:type="dxa"/>
            <w:vAlign w:val="bottom"/>
            <w:tcBorders>
              <w:top w:val="single" w:sz="8" w:color="CCEECC"/>
              <w:bottom w:val="single" w:sz="8" w:color="CCEECC"/>
            </w:tcBorders>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Patent rights and intangible assets, net</w:t>
            </w:r>
          </w:p>
        </w:tc>
        <w:tc>
          <w:tcPr>
            <w:tcW w:w="300" w:type="dxa"/>
            <w:vAlign w:val="bottom"/>
            <w:tcBorders>
              <w:top w:val="single" w:sz="8" w:color="auto"/>
              <w:bottom w:val="single" w:sz="8" w:color="auto"/>
            </w:tcBorders>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803,136</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40" w:type="dxa"/>
            <w:vAlign w:val="bottom"/>
            <w:tcBorders>
              <w:top w:val="single" w:sz="8" w:color="CCEECC"/>
              <w:bottom w:val="single" w:sz="8" w:color="CCEECC"/>
            </w:tcBorders>
            <w:shd w:val="clear" w:color="auto" w:fill="CCEECC"/>
          </w:tcPr>
          <w:p>
            <w:pPr>
              <w:spacing w:after="0"/>
              <w:rPr>
                <w:sz w:val="19"/>
                <w:szCs w:val="19"/>
                <w:color w:val="auto"/>
              </w:rPr>
            </w:pPr>
          </w:p>
        </w:tc>
        <w:tc>
          <w:tcPr>
            <w:tcW w:w="300" w:type="dxa"/>
            <w:vAlign w:val="bottom"/>
            <w:tcBorders>
              <w:top w:val="single" w:sz="8" w:color="auto"/>
              <w:bottom w:val="single" w:sz="8" w:color="auto"/>
            </w:tcBorders>
            <w:shd w:val="clear" w:color="auto" w:fill="CCEEC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793,236</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$14,246 and $13,676 for the three months ended June 30, 2013 and 2012, respectively. Amortization expense was $28,378 and $27,352 for the six months ended June 30, 2013 and 2012,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ACCRUED EXPENSES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14, 2013, the Company hired a new CEO. The employment agreement requires annual compensation of $175,000 that will be accrued and deferred until at least January 1, 2014. Additionally, the agreement requires the issuance of 2,000,000 options with an exercise price of $1.00 for a term of five years. The options are not exercisable until at least January 1, 2014. The Company has accrued $87,500, or six months compensation, at June 30,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2013 and December 31, 2012:</w:t>
      </w:r>
    </w:p>
    <w:p>
      <w:pPr>
        <w:spacing w:after="0" w:line="239"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3440" w:type="dxa"/>
            <w:vAlign w:val="bottom"/>
            <w:tcBorders>
              <w:bottom w:val="single" w:sz="8" w:color="CCEE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344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8"/>
                <w:szCs w:val="18"/>
                <w:color w:val="auto"/>
              </w:rPr>
            </w:pPr>
          </w:p>
        </w:tc>
      </w:tr>
      <w:tr>
        <w:trPr>
          <w:trHeight w:val="230"/>
        </w:trPr>
        <w:tc>
          <w:tcPr>
            <w:tcW w:w="3440" w:type="dxa"/>
            <w:vAlign w:val="bottom"/>
            <w:tcBorders>
              <w:bottom w:val="single" w:sz="8" w:color="CCEECC"/>
            </w:tcBorders>
          </w:tcPr>
          <w:p>
            <w:pPr>
              <w:ind w:left="100"/>
              <w:spacing w:after="0"/>
              <w:rPr>
                <w:sz w:val="20"/>
                <w:szCs w:val="20"/>
                <w:color w:val="auto"/>
              </w:rPr>
            </w:pPr>
            <w:r>
              <w:rPr>
                <w:rFonts w:ascii="Times New Roman" w:cs="Times New Roman" w:eastAsia="Times New Roman" w:hAnsi="Times New Roman"/>
                <w:sz w:val="18"/>
                <w:szCs w:val="18"/>
                <w:color w:val="auto"/>
              </w:rPr>
              <w:t>Accrued audit fees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tcBorders>
              <w:bottom w:val="single" w:sz="8" w:color="CCEECC"/>
            </w:tcBorders>
          </w:tcPr>
          <w:p>
            <w:pPr>
              <w:spacing w:after="0"/>
              <w:rPr>
                <w:sz w:val="19"/>
                <w:szCs w:val="19"/>
                <w:color w:val="auto"/>
              </w:rPr>
            </w:pPr>
          </w:p>
        </w:tc>
      </w:tr>
      <w:tr>
        <w:trPr>
          <w:trHeight w:val="223"/>
        </w:trPr>
        <w:tc>
          <w:tcPr>
            <w:tcW w:w="3440" w:type="dxa"/>
            <w:vAlign w:val="bottom"/>
            <w:tcBorders>
              <w:bottom w:val="single" w:sz="8" w:color="CCEECC"/>
            </w:tcBorders>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Total accrued expenses</w:t>
            </w:r>
          </w:p>
        </w:tc>
        <w:tc>
          <w:tcPr>
            <w:tcW w:w="300" w:type="dxa"/>
            <w:vAlign w:val="bottom"/>
            <w:tcBorders>
              <w:bottom w:val="single" w:sz="8" w:color="auto"/>
            </w:tcBorders>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4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tcBorders>
              <w:bottom w:val="single" w:sz="8" w:color="CCEECC"/>
            </w:tcBorders>
            <w:shd w:val="clear" w:color="auto" w:fill="CCEEC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DEFERRED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$42,620 and $49,252 as of June 30, 2013 and December 31, 2012,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 has 500,000,000 shares of $.001 par value common stock authorized as of June 30,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14,252,496 and 14,232,496 common shares issued and outstanding at June 30, 2013 and December 31, 2012, respectively.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agreed to issue an additional 40,000 shares every six months in alignment with the agreement renewal up to the two years of the agreement. The first 40,000 shares were valued at the Company’s common stock price as of the date of the contract, which was $1.12/share and has been expensed. No additional shares were issued and the agreement was voided and replaced by a new agreement as noted below.</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price as of the date of the contract, which was $1.945/share and has been expensed.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A Preferred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A Preferred Continued</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$175,000 that were due in February 2013 for a total undeclared amount of $525,000 as of June 30, 2013.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$75,000 that were due in February 2013 for a total undeclared amount of $225,000 as of June 30, 2013.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STOCK OPTIONS AND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was recognized over the first five months of 2012.</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during the year ended December 31, 2011 and $9,633 during the six months ended June 30, 2012. The remaining balance was recognized during the remainder of 2012.</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$8,346 during the year ended December 31, 2011 and $50,078 during the six months ended June 30, 2012. The remaining balance was recognized during the remainder of 2012.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STOCK OPTIONS AND WARRANTS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$35,091 during the six months ended June 30, 2012.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 over 1 year. The Company recognized share-based compensation expense of $8,335 during the three months ended December 31, 2012 and $20,004 during the six months ended June 30, 2013. The remaining balance will be recognized over the remainder of 2013.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options outstanding as of June 30,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0" w:type="dxa"/>
            <w:vAlign w:val="bottom"/>
            <w:gridSpan w:val="4"/>
          </w:tcPr>
          <w:p>
            <w:pPr>
              <w:jc w:val="center"/>
              <w:ind w:right="2120"/>
              <w:spacing w:after="0"/>
              <w:rPr>
                <w:sz w:val="20"/>
                <w:szCs w:val="20"/>
                <w:color w:val="auto"/>
              </w:rPr>
            </w:pPr>
            <w:r>
              <w:rPr>
                <w:rFonts w:ascii="Times New Roman" w:cs="Times New Roman" w:eastAsia="Times New Roman" w:hAnsi="Times New Roman"/>
                <w:sz w:val="18"/>
                <w:szCs w:val="18"/>
                <w:color w:val="auto"/>
                <w:w w:val="98"/>
              </w:rPr>
              <w:t>Weighted average</w:t>
            </w:r>
          </w:p>
        </w:tc>
      </w:tr>
      <w:tr>
        <w:trPr>
          <w:trHeight w:val="216"/>
        </w:trPr>
        <w:tc>
          <w:tcPr>
            <w:tcW w:w="2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exercise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242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860" w:type="dxa"/>
            <w:vAlign w:val="bottom"/>
            <w:tcBorders>
              <w:bottom w:val="single" w:sz="8" w:color="CCEECC"/>
            </w:tcBorders>
          </w:tcPr>
          <w:p>
            <w:pPr>
              <w:spacing w:after="0"/>
              <w:rPr>
                <w:sz w:val="20"/>
                <w:szCs w:val="20"/>
                <w:color w:val="auto"/>
              </w:rPr>
            </w:pPr>
          </w:p>
        </w:tc>
        <w:tc>
          <w:tcPr>
            <w:tcW w:w="226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8"/>
                <w:szCs w:val="18"/>
                <w:color w:val="auto"/>
              </w:rPr>
              <w:t>Number of Options</w:t>
            </w:r>
          </w:p>
        </w:tc>
        <w:tc>
          <w:tcPr>
            <w:tcW w:w="12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9"/>
              </w:rPr>
              <w:t>price</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0" w:type="dxa"/>
            <w:vAlign w:val="bottom"/>
          </w:tcPr>
          <w:p>
            <w:pPr>
              <w:spacing w:after="0"/>
              <w:rPr>
                <w:sz w:val="20"/>
                <w:szCs w:val="20"/>
                <w:color w:val="auto"/>
              </w:rPr>
            </w:pPr>
          </w:p>
        </w:tc>
      </w:tr>
      <w:tr>
        <w:trPr>
          <w:trHeight w:val="210"/>
        </w:trPr>
        <w:tc>
          <w:tcPr>
            <w:tcW w:w="2000" w:type="dxa"/>
            <w:vAlign w:val="bottom"/>
          </w:tcPr>
          <w:p>
            <w:pPr>
              <w:spacing w:after="0"/>
              <w:rPr>
                <w:sz w:val="18"/>
                <w:szCs w:val="18"/>
                <w:color w:val="auto"/>
              </w:rPr>
            </w:pPr>
          </w:p>
        </w:tc>
        <w:tc>
          <w:tcPr>
            <w:tcW w:w="2500" w:type="dxa"/>
            <w:vAlign w:val="bottom"/>
            <w:gridSpan w:val="2"/>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Outstanding, January 1, 2012</w:t>
            </w:r>
          </w:p>
        </w:tc>
        <w:tc>
          <w:tcPr>
            <w:tcW w:w="860" w:type="dxa"/>
            <w:vAlign w:val="bottom"/>
            <w:shd w:val="clear" w:color="auto" w:fill="CCEECC"/>
          </w:tcPr>
          <w:p>
            <w:pPr>
              <w:spacing w:after="0"/>
              <w:rPr>
                <w:sz w:val="18"/>
                <w:szCs w:val="18"/>
                <w:color w:val="auto"/>
              </w:rPr>
            </w:pPr>
          </w:p>
        </w:tc>
        <w:tc>
          <w:tcPr>
            <w:tcW w:w="2260" w:type="dxa"/>
            <w:vAlign w:val="bottom"/>
            <w:gridSpan w:val="4"/>
            <w:shd w:val="clear" w:color="auto" w:fill="CCEECC"/>
          </w:tcPr>
          <w:p>
            <w:pPr>
              <w:jc w:val="right"/>
              <w:ind w:right="92"/>
              <w:spacing w:after="0"/>
              <w:rPr>
                <w:sz w:val="20"/>
                <w:szCs w:val="20"/>
                <w:color w:val="auto"/>
              </w:rPr>
            </w:pPr>
            <w:r>
              <w:rPr>
                <w:rFonts w:ascii="Times New Roman" w:cs="Times New Roman" w:eastAsia="Times New Roman" w:hAnsi="Times New Roman"/>
                <w:sz w:val="18"/>
                <w:szCs w:val="18"/>
                <w:color w:val="auto"/>
              </w:rPr>
              <w:t>405,000</w:t>
            </w:r>
          </w:p>
        </w:tc>
        <w:tc>
          <w:tcPr>
            <w:tcW w:w="1260" w:type="dxa"/>
            <w:vAlign w:val="bottom"/>
            <w:shd w:val="clear" w:color="auto" w:fill="CCEEC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CC"/>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- 2012</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75,000</w:t>
            </w:r>
          </w:p>
        </w:tc>
        <w:tc>
          <w:tcPr>
            <w:tcW w:w="1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00" w:type="dxa"/>
            <w:vAlign w:val="bottom"/>
            <w:gridSpan w:val="2"/>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Exercised - 2012</w:t>
            </w:r>
          </w:p>
        </w:tc>
        <w:tc>
          <w:tcPr>
            <w:tcW w:w="860" w:type="dxa"/>
            <w:vAlign w:val="bottom"/>
            <w:shd w:val="clear" w:color="auto" w:fill="CCEECC"/>
          </w:tcPr>
          <w:p>
            <w:pPr>
              <w:spacing w:after="0"/>
              <w:rPr>
                <w:sz w:val="18"/>
                <w:szCs w:val="18"/>
                <w:color w:val="auto"/>
              </w:rPr>
            </w:pPr>
          </w:p>
        </w:tc>
        <w:tc>
          <w:tcPr>
            <w:tcW w:w="15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700" w:type="dxa"/>
            <w:vAlign w:val="bottom"/>
            <w:gridSpan w:val="2"/>
            <w:shd w:val="clear" w:color="auto" w:fill="CCEECC"/>
          </w:tcPr>
          <w:p>
            <w:pPr>
              <w:jc w:val="right"/>
              <w:ind w:right="92"/>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shd w:val="clear" w:color="auto" w:fill="CCEECC"/>
          </w:tcPr>
          <w:p>
            <w:pPr>
              <w:spacing w:after="0"/>
              <w:rPr>
                <w:sz w:val="18"/>
                <w:szCs w:val="18"/>
                <w:color w:val="auto"/>
              </w:rPr>
            </w:pPr>
          </w:p>
        </w:tc>
        <w:tc>
          <w:tcPr>
            <w:tcW w:w="4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Expired - 2012</w:t>
            </w:r>
          </w:p>
        </w:tc>
        <w:tc>
          <w:tcPr>
            <w:tcW w:w="3120" w:type="dxa"/>
            <w:vAlign w:val="bottom"/>
            <w:gridSpan w:val="5"/>
          </w:tcPr>
          <w:p>
            <w:pPr>
              <w:jc w:val="right"/>
              <w:ind w:right="132"/>
              <w:spacing w:after="0"/>
              <w:rPr>
                <w:sz w:val="20"/>
                <w:szCs w:val="20"/>
                <w:color w:val="auto"/>
              </w:rPr>
            </w:pPr>
            <w:r>
              <w:rPr>
                <w:rFonts w:ascii="Times New Roman" w:cs="Times New Roman" w:eastAsia="Times New Roman" w:hAnsi="Times New Roman"/>
                <w:sz w:val="18"/>
                <w:szCs w:val="18"/>
                <w:color w:val="auto"/>
              </w:rPr>
              <w:t>(455,000)</w:t>
            </w:r>
          </w:p>
        </w:tc>
        <w:tc>
          <w:tcPr>
            <w:tcW w:w="1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0" w:type="dxa"/>
            <w:vAlign w:val="bottom"/>
          </w:tcPr>
          <w:p>
            <w:pPr>
              <w:spacing w:after="0"/>
              <w:rPr>
                <w:sz w:val="18"/>
                <w:szCs w:val="18"/>
                <w:color w:val="auto"/>
              </w:rPr>
            </w:pPr>
          </w:p>
        </w:tc>
      </w:tr>
      <w:tr>
        <w:trPr>
          <w:trHeight w:val="210"/>
        </w:trPr>
        <w:tc>
          <w:tcPr>
            <w:tcW w:w="2000" w:type="dxa"/>
            <w:vAlign w:val="bottom"/>
          </w:tcPr>
          <w:p>
            <w:pPr>
              <w:spacing w:after="0"/>
              <w:rPr>
                <w:sz w:val="18"/>
                <w:szCs w:val="18"/>
                <w:color w:val="auto"/>
              </w:rPr>
            </w:pPr>
          </w:p>
        </w:tc>
        <w:tc>
          <w:tcPr>
            <w:tcW w:w="2500" w:type="dxa"/>
            <w:vAlign w:val="bottom"/>
            <w:tcBorders>
              <w:top w:val="single" w:sz="8" w:color="CCEECC"/>
            </w:tcBorders>
            <w:gridSpan w:val="2"/>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Balance, December 31, 2012</w:t>
            </w:r>
          </w:p>
        </w:tc>
        <w:tc>
          <w:tcPr>
            <w:tcW w:w="860" w:type="dxa"/>
            <w:vAlign w:val="bottom"/>
            <w:tcBorders>
              <w:top w:val="single" w:sz="8" w:color="CCEECC"/>
            </w:tcBorders>
            <w:shd w:val="clear" w:color="auto" w:fill="CCEECC"/>
          </w:tcPr>
          <w:p>
            <w:pPr>
              <w:spacing w:after="0"/>
              <w:rPr>
                <w:sz w:val="18"/>
                <w:szCs w:val="18"/>
                <w:color w:val="auto"/>
              </w:rPr>
            </w:pPr>
          </w:p>
        </w:tc>
        <w:tc>
          <w:tcPr>
            <w:tcW w:w="154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auto"/>
            </w:tcBorders>
            <w:shd w:val="clear" w:color="auto" w:fill="CCEECC"/>
          </w:tcPr>
          <w:p>
            <w:pPr>
              <w:spacing w:after="0"/>
              <w:rPr>
                <w:sz w:val="18"/>
                <w:szCs w:val="18"/>
                <w:color w:val="auto"/>
              </w:rPr>
            </w:pPr>
          </w:p>
        </w:tc>
        <w:tc>
          <w:tcPr>
            <w:tcW w:w="700" w:type="dxa"/>
            <w:vAlign w:val="bottom"/>
            <w:tcBorders>
              <w:top w:val="single" w:sz="8" w:color="auto"/>
            </w:tcBorders>
            <w:gridSpan w:val="2"/>
            <w:shd w:val="clear" w:color="auto" w:fill="CCEECC"/>
          </w:tcPr>
          <w:p>
            <w:pPr>
              <w:jc w:val="right"/>
              <w:ind w:right="92"/>
              <w:spacing w:after="0"/>
              <w:rPr>
                <w:sz w:val="20"/>
                <w:szCs w:val="20"/>
                <w:color w:val="auto"/>
              </w:rPr>
            </w:pPr>
            <w:r>
              <w:rPr>
                <w:rFonts w:ascii="Times New Roman" w:cs="Times New Roman" w:eastAsia="Times New Roman" w:hAnsi="Times New Roman"/>
                <w:sz w:val="18"/>
                <w:szCs w:val="18"/>
                <w:color w:val="auto"/>
              </w:rPr>
              <w:t>25,000</w:t>
            </w:r>
          </w:p>
        </w:tc>
        <w:tc>
          <w:tcPr>
            <w:tcW w:w="1260" w:type="dxa"/>
            <w:vAlign w:val="bottom"/>
            <w:tcBorders>
              <w:top w:val="single" w:sz="8" w:color="auto"/>
            </w:tcBorders>
            <w:shd w:val="clear" w:color="auto" w:fill="CCEECC"/>
          </w:tcPr>
          <w:p>
            <w:pPr>
              <w:spacing w:after="0"/>
              <w:rPr>
                <w:sz w:val="18"/>
                <w:szCs w:val="18"/>
                <w:color w:val="auto"/>
              </w:rPr>
            </w:pPr>
          </w:p>
        </w:tc>
        <w:tc>
          <w:tcPr>
            <w:tcW w:w="46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top w:val="single" w:sz="8" w:color="auto"/>
            </w:tcBorders>
            <w:shd w:val="clear" w:color="auto" w:fill="CCEECC"/>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- 2013</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00" w:type="dxa"/>
            <w:vAlign w:val="bottom"/>
            <w:gridSpan w:val="2"/>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Exercised - 2013</w:t>
            </w:r>
          </w:p>
        </w:tc>
        <w:tc>
          <w:tcPr>
            <w:tcW w:w="860" w:type="dxa"/>
            <w:vAlign w:val="bottom"/>
            <w:shd w:val="clear" w:color="auto" w:fill="CCEECC"/>
          </w:tcPr>
          <w:p>
            <w:pPr>
              <w:spacing w:after="0"/>
              <w:rPr>
                <w:sz w:val="18"/>
                <w:szCs w:val="18"/>
                <w:color w:val="auto"/>
              </w:rPr>
            </w:pPr>
          </w:p>
        </w:tc>
        <w:tc>
          <w:tcPr>
            <w:tcW w:w="15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700" w:type="dxa"/>
            <w:vAlign w:val="bottom"/>
            <w:gridSpan w:val="2"/>
            <w:shd w:val="clear" w:color="auto" w:fill="CCEECC"/>
          </w:tcPr>
          <w:p>
            <w:pPr>
              <w:jc w:val="right"/>
              <w:ind w:right="92"/>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shd w:val="clear" w:color="auto" w:fill="CCEECC"/>
          </w:tcPr>
          <w:p>
            <w:pPr>
              <w:spacing w:after="0"/>
              <w:rPr>
                <w:sz w:val="18"/>
                <w:szCs w:val="18"/>
                <w:color w:val="auto"/>
              </w:rPr>
            </w:pPr>
          </w:p>
        </w:tc>
        <w:tc>
          <w:tcPr>
            <w:tcW w:w="4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00" w:type="dxa"/>
            <w:vAlign w:val="bottom"/>
            <w:tcBorders>
              <w:bottom w:val="single" w:sz="8" w:color="CCEEC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Expired - 2013</w:t>
            </w:r>
          </w:p>
        </w:tc>
        <w:tc>
          <w:tcPr>
            <w:tcW w:w="860" w:type="dxa"/>
            <w:vAlign w:val="bottom"/>
            <w:tcBorders>
              <w:bottom w:val="single" w:sz="8" w:color="CCEECC"/>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auto"/>
            </w:tcBorders>
          </w:tcPr>
          <w:p>
            <w:pPr>
              <w:spacing w:after="0"/>
              <w:rPr>
                <w:sz w:val="18"/>
                <w:szCs w:val="18"/>
                <w:color w:val="auto"/>
              </w:rPr>
            </w:pPr>
          </w:p>
        </w:tc>
        <w:tc>
          <w:tcPr>
            <w:tcW w:w="2000" w:type="dxa"/>
            <w:vAlign w:val="bottom"/>
          </w:tcPr>
          <w:p>
            <w:pPr>
              <w:spacing w:after="0"/>
              <w:rPr>
                <w:sz w:val="18"/>
                <w:szCs w:val="18"/>
                <w:color w:val="auto"/>
              </w:rPr>
            </w:pPr>
          </w:p>
        </w:tc>
      </w:tr>
      <w:tr>
        <w:trPr>
          <w:trHeight w:val="217"/>
        </w:trPr>
        <w:tc>
          <w:tcPr>
            <w:tcW w:w="2000" w:type="dxa"/>
            <w:vAlign w:val="bottom"/>
          </w:tcPr>
          <w:p>
            <w:pPr>
              <w:spacing w:after="0"/>
              <w:rPr>
                <w:sz w:val="18"/>
                <w:szCs w:val="18"/>
                <w:color w:val="auto"/>
              </w:rPr>
            </w:pPr>
          </w:p>
        </w:tc>
        <w:tc>
          <w:tcPr>
            <w:tcW w:w="242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Balance, June 30, 2013</w:t>
            </w:r>
          </w:p>
        </w:tc>
        <w:tc>
          <w:tcPr>
            <w:tcW w:w="80" w:type="dxa"/>
            <w:vAlign w:val="bottom"/>
            <w:tcBorders>
              <w:bottom w:val="single" w:sz="8" w:color="CCEECC"/>
            </w:tcBorders>
            <w:shd w:val="clear" w:color="auto" w:fill="CCEECC"/>
          </w:tcPr>
          <w:p>
            <w:pPr>
              <w:spacing w:after="0"/>
              <w:rPr>
                <w:sz w:val="18"/>
                <w:szCs w:val="18"/>
                <w:color w:val="auto"/>
              </w:rPr>
            </w:pPr>
          </w:p>
        </w:tc>
        <w:tc>
          <w:tcPr>
            <w:tcW w:w="860" w:type="dxa"/>
            <w:vAlign w:val="bottom"/>
            <w:tcBorders>
              <w:bottom w:val="single" w:sz="8" w:color="CCEECC"/>
            </w:tcBorders>
            <w:shd w:val="clear" w:color="auto" w:fill="CCEECC"/>
          </w:tcPr>
          <w:p>
            <w:pPr>
              <w:spacing w:after="0"/>
              <w:rPr>
                <w:sz w:val="18"/>
                <w:szCs w:val="18"/>
                <w:color w:val="auto"/>
              </w:rPr>
            </w:pPr>
          </w:p>
        </w:tc>
        <w:tc>
          <w:tcPr>
            <w:tcW w:w="1540" w:type="dxa"/>
            <w:vAlign w:val="bottom"/>
            <w:tcBorders>
              <w:bottom w:val="single" w:sz="8" w:color="auto"/>
            </w:tcBorders>
            <w:shd w:val="clear" w:color="auto" w:fill="CCEECC"/>
          </w:tcPr>
          <w:p>
            <w:pPr>
              <w:spacing w:after="0"/>
              <w:rPr>
                <w:sz w:val="18"/>
                <w:szCs w:val="18"/>
                <w:color w:val="auto"/>
              </w:rPr>
            </w:pPr>
          </w:p>
        </w:tc>
        <w:tc>
          <w:tcPr>
            <w:tcW w:w="20" w:type="dxa"/>
            <w:vAlign w:val="bottom"/>
            <w:tcBorders>
              <w:bottom w:val="single" w:sz="8" w:color="auto"/>
            </w:tcBorders>
            <w:shd w:val="clear" w:color="auto" w:fill="CCEECC"/>
          </w:tcPr>
          <w:p>
            <w:pPr>
              <w:spacing w:after="0"/>
              <w:rPr>
                <w:sz w:val="18"/>
                <w:szCs w:val="18"/>
                <w:color w:val="auto"/>
              </w:rPr>
            </w:pPr>
          </w:p>
        </w:tc>
        <w:tc>
          <w:tcPr>
            <w:tcW w:w="700" w:type="dxa"/>
            <w:vAlign w:val="bottom"/>
            <w:tcBorders>
              <w:bottom w:val="single" w:sz="8" w:color="auto"/>
            </w:tcBorders>
            <w:gridSpan w:val="2"/>
            <w:shd w:val="clear" w:color="auto" w:fill="CCEECC"/>
          </w:tcPr>
          <w:p>
            <w:pPr>
              <w:jc w:val="right"/>
              <w:ind w:right="112"/>
              <w:spacing w:after="0"/>
              <w:rPr>
                <w:sz w:val="20"/>
                <w:szCs w:val="20"/>
                <w:color w:val="auto"/>
              </w:rPr>
            </w:pPr>
            <w:r>
              <w:rPr>
                <w:rFonts w:ascii="Times New Roman" w:cs="Times New Roman" w:eastAsia="Times New Roman" w:hAnsi="Times New Roman"/>
                <w:sz w:val="18"/>
                <w:szCs w:val="18"/>
                <w:color w:val="auto"/>
                <w:w w:val="96"/>
              </w:rPr>
              <w:t>25,000</w:t>
            </w:r>
          </w:p>
        </w:tc>
        <w:tc>
          <w:tcPr>
            <w:tcW w:w="1260" w:type="dxa"/>
            <w:vAlign w:val="bottom"/>
            <w:tcBorders>
              <w:bottom w:val="single" w:sz="8" w:color="auto"/>
            </w:tcBorders>
            <w:shd w:val="clear" w:color="auto" w:fill="CCEEC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bottom w:val="single" w:sz="8" w:color="auto"/>
            </w:tcBorders>
            <w:shd w:val="clear" w:color="auto" w:fill="CCEECC"/>
          </w:tcPr>
          <w:p>
            <w:pPr>
              <w:spacing w:after="0"/>
              <w:rPr>
                <w:sz w:val="18"/>
                <w:szCs w:val="18"/>
                <w:color w:val="auto"/>
              </w:rPr>
            </w:pPr>
          </w:p>
        </w:tc>
        <w:tc>
          <w:tcPr>
            <w:tcW w:w="2000" w:type="dxa"/>
            <w:vAlign w:val="bottom"/>
          </w:tcPr>
          <w:p>
            <w:pPr>
              <w:spacing w:after="0"/>
              <w:rPr>
                <w:sz w:val="18"/>
                <w:szCs w:val="18"/>
                <w:color w:val="auto"/>
              </w:rPr>
            </w:pPr>
          </w:p>
        </w:tc>
      </w:tr>
      <w:tr>
        <w:trPr>
          <w:trHeight w:val="432"/>
        </w:trPr>
        <w:tc>
          <w:tcPr>
            <w:tcW w:w="6920" w:type="dxa"/>
            <w:vAlign w:val="bottom"/>
            <w:gridSpan w:val="6"/>
          </w:tcPr>
          <w:p>
            <w:pPr>
              <w:jc w:val="right"/>
              <w:ind w:right="1540"/>
              <w:spacing w:after="0"/>
              <w:rPr>
                <w:sz w:val="20"/>
                <w:szCs w:val="20"/>
                <w:color w:val="auto"/>
              </w:rPr>
            </w:pPr>
            <w:r>
              <w:rPr>
                <w:rFonts w:ascii="Times New Roman" w:cs="Times New Roman" w:eastAsia="Times New Roman" w:hAnsi="Times New Roman"/>
                <w:sz w:val="18"/>
                <w:szCs w:val="18"/>
                <w:color w:val="auto"/>
                <w:w w:val="99"/>
              </w:rPr>
              <w:t>The Company had the following warrants outstanding as of June 30, 2013:</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32"/>
        </w:trPr>
        <w:tc>
          <w:tcPr>
            <w:tcW w:w="2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Number of Warrants</w:t>
            </w:r>
          </w:p>
        </w:tc>
        <w:tc>
          <w:tcPr>
            <w:tcW w:w="60" w:type="dxa"/>
            <w:vAlign w:val="bottom"/>
          </w:tcPr>
          <w:p>
            <w:pPr>
              <w:spacing w:after="0"/>
              <w:rPr>
                <w:sz w:val="24"/>
                <w:szCs w:val="24"/>
                <w:color w:val="auto"/>
              </w:rPr>
            </w:pPr>
          </w:p>
        </w:tc>
        <w:tc>
          <w:tcPr>
            <w:tcW w:w="44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Weighted average exercise price</w:t>
            </w:r>
          </w:p>
        </w:tc>
      </w:tr>
      <w:tr>
        <w:trPr>
          <w:trHeight w:val="210"/>
        </w:trPr>
        <w:tc>
          <w:tcPr>
            <w:tcW w:w="2000" w:type="dxa"/>
            <w:vAlign w:val="bottom"/>
          </w:tcPr>
          <w:p>
            <w:pPr>
              <w:spacing w:after="0"/>
              <w:rPr>
                <w:sz w:val="18"/>
                <w:szCs w:val="18"/>
                <w:color w:val="auto"/>
              </w:rPr>
            </w:pPr>
          </w:p>
        </w:tc>
        <w:tc>
          <w:tcPr>
            <w:tcW w:w="2500" w:type="dxa"/>
            <w:vAlign w:val="bottom"/>
            <w:tcBorders>
              <w:top w:val="single" w:sz="8" w:color="CCEECC"/>
            </w:tcBorders>
            <w:gridSpan w:val="2"/>
            <w:shd w:val="clear" w:color="auto" w:fill="CCEECC"/>
          </w:tcPr>
          <w:p>
            <w:pPr>
              <w:jc w:val="right"/>
              <w:ind w:right="80"/>
              <w:spacing w:after="0"/>
              <w:rPr>
                <w:sz w:val="20"/>
                <w:szCs w:val="20"/>
                <w:color w:val="auto"/>
              </w:rPr>
            </w:pPr>
            <w:r>
              <w:rPr>
                <w:rFonts w:ascii="Times New Roman" w:cs="Times New Roman" w:eastAsia="Times New Roman" w:hAnsi="Times New Roman"/>
                <w:sz w:val="18"/>
                <w:szCs w:val="18"/>
                <w:color w:val="auto"/>
              </w:rPr>
              <w:t>Outstanding, January 1, 2012</w:t>
            </w:r>
          </w:p>
        </w:tc>
        <w:tc>
          <w:tcPr>
            <w:tcW w:w="2420" w:type="dxa"/>
            <w:vAlign w:val="bottom"/>
            <w:tcBorders>
              <w:top w:val="single" w:sz="8" w:color="auto"/>
            </w:tcBorders>
            <w:gridSpan w:val="3"/>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14,344,434</w:t>
            </w:r>
          </w:p>
        </w:tc>
        <w:tc>
          <w:tcPr>
            <w:tcW w:w="700" w:type="dxa"/>
            <w:vAlign w:val="bottom"/>
            <w:tcBorders>
              <w:top w:val="single" w:sz="8" w:color="auto"/>
            </w:tcBorders>
            <w:gridSpan w:val="2"/>
            <w:shd w:val="clear" w:color="auto" w:fill="CCEECC"/>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CC"/>
          </w:tcPr>
          <w:p>
            <w:pPr>
              <w:spacing w:after="0"/>
              <w:rPr>
                <w:sz w:val="18"/>
                <w:szCs w:val="18"/>
                <w:color w:val="auto"/>
              </w:rPr>
            </w:pPr>
          </w:p>
        </w:tc>
        <w:tc>
          <w:tcPr>
            <w:tcW w:w="540" w:type="dxa"/>
            <w:vAlign w:val="bottom"/>
            <w:tcBorders>
              <w:top w:val="single" w:sz="8" w:color="auto"/>
            </w:tcBorders>
            <w:gridSpan w:val="2"/>
            <w:shd w:val="clear" w:color="auto" w:fill="CCEECC"/>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Granted - 2012</w:t>
            </w:r>
          </w:p>
        </w:tc>
        <w:tc>
          <w:tcPr>
            <w:tcW w:w="2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00" w:type="dxa"/>
            <w:vAlign w:val="bottom"/>
            <w:gridSpan w:val="2"/>
            <w:shd w:val="clear" w:color="auto" w:fill="CCEECC"/>
          </w:tcPr>
          <w:p>
            <w:pPr>
              <w:jc w:val="right"/>
              <w:ind w:right="80"/>
              <w:spacing w:after="0"/>
              <w:rPr>
                <w:sz w:val="20"/>
                <w:szCs w:val="20"/>
                <w:color w:val="auto"/>
              </w:rPr>
            </w:pPr>
            <w:r>
              <w:rPr>
                <w:rFonts w:ascii="Times New Roman" w:cs="Times New Roman" w:eastAsia="Times New Roman" w:hAnsi="Times New Roman"/>
                <w:sz w:val="18"/>
                <w:szCs w:val="18"/>
                <w:color w:val="auto"/>
              </w:rPr>
              <w:t>Exercised - 2012</w:t>
            </w:r>
          </w:p>
        </w:tc>
        <w:tc>
          <w:tcPr>
            <w:tcW w:w="2420" w:type="dxa"/>
            <w:vAlign w:val="bottom"/>
            <w:gridSpan w:val="3"/>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1260" w:type="dxa"/>
            <w:vAlign w:val="bottom"/>
            <w:shd w:val="clear" w:color="auto" w:fill="CCEECC"/>
          </w:tcPr>
          <w:p>
            <w:pPr>
              <w:spacing w:after="0"/>
              <w:rPr>
                <w:sz w:val="18"/>
                <w:szCs w:val="18"/>
                <w:color w:val="auto"/>
              </w:rPr>
            </w:pPr>
          </w:p>
        </w:tc>
        <w:tc>
          <w:tcPr>
            <w:tcW w:w="540" w:type="dxa"/>
            <w:vAlign w:val="bottom"/>
            <w:gridSpan w:val="2"/>
            <w:shd w:val="clear" w:color="auto" w:fill="CCEEC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tcPr>
          <w:p>
            <w:pPr>
              <w:spacing w:after="0"/>
              <w:rPr>
                <w:sz w:val="18"/>
                <w:szCs w:val="18"/>
                <w:color w:val="auto"/>
              </w:rPr>
            </w:pPr>
          </w:p>
        </w:tc>
      </w:tr>
      <w:tr>
        <w:trPr>
          <w:trHeight w:val="230"/>
        </w:trPr>
        <w:tc>
          <w:tcPr>
            <w:tcW w:w="2000" w:type="dxa"/>
            <w:vAlign w:val="bottom"/>
          </w:tcPr>
          <w:p>
            <w:pPr>
              <w:spacing w:after="0"/>
              <w:rPr>
                <w:sz w:val="19"/>
                <w:szCs w:val="19"/>
                <w:color w:val="auto"/>
              </w:rPr>
            </w:pP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Expired - 2012</w:t>
            </w:r>
          </w:p>
        </w:tc>
        <w:tc>
          <w:tcPr>
            <w:tcW w:w="2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tcPr>
          <w:p>
            <w:pPr>
              <w:spacing w:after="0"/>
              <w:rPr>
                <w:sz w:val="19"/>
                <w:szCs w:val="19"/>
                <w:color w:val="auto"/>
              </w:rPr>
            </w:pPr>
          </w:p>
        </w:tc>
      </w:tr>
      <w:tr>
        <w:trPr>
          <w:trHeight w:val="210"/>
        </w:trPr>
        <w:tc>
          <w:tcPr>
            <w:tcW w:w="2000" w:type="dxa"/>
            <w:vAlign w:val="bottom"/>
          </w:tcPr>
          <w:p>
            <w:pPr>
              <w:spacing w:after="0"/>
              <w:rPr>
                <w:sz w:val="18"/>
                <w:szCs w:val="18"/>
                <w:color w:val="auto"/>
              </w:rPr>
            </w:pPr>
          </w:p>
        </w:tc>
        <w:tc>
          <w:tcPr>
            <w:tcW w:w="242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Balance, December 31, 2012</w:t>
            </w:r>
          </w:p>
        </w:tc>
        <w:tc>
          <w:tcPr>
            <w:tcW w:w="80" w:type="dxa"/>
            <w:vAlign w:val="bottom"/>
            <w:tcBorders>
              <w:top w:val="single" w:sz="8" w:color="CCEECC"/>
            </w:tcBorders>
            <w:shd w:val="clear" w:color="auto" w:fill="CCEECC"/>
          </w:tcPr>
          <w:p>
            <w:pPr>
              <w:spacing w:after="0"/>
              <w:rPr>
                <w:sz w:val="18"/>
                <w:szCs w:val="18"/>
                <w:color w:val="auto"/>
              </w:rPr>
            </w:pPr>
          </w:p>
        </w:tc>
        <w:tc>
          <w:tcPr>
            <w:tcW w:w="2400" w:type="dxa"/>
            <w:vAlign w:val="bottom"/>
            <w:tcBorders>
              <w:top w:val="single" w:sz="8" w:color="auto"/>
            </w:tcBorders>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14,344,434</w:t>
            </w:r>
          </w:p>
        </w:tc>
        <w:tc>
          <w:tcPr>
            <w:tcW w:w="2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640" w:type="dxa"/>
            <w:vAlign w:val="bottom"/>
            <w:tcBorders>
              <w:top w:val="single" w:sz="8" w:color="auto"/>
            </w:tcBorders>
            <w:shd w:val="clear" w:color="auto" w:fill="CCEECC"/>
          </w:tcPr>
          <w:p>
            <w:pPr>
              <w:spacing w:after="0"/>
              <w:rPr>
                <w:sz w:val="18"/>
                <w:szCs w:val="18"/>
                <w:color w:val="auto"/>
              </w:rPr>
            </w:pPr>
          </w:p>
        </w:tc>
        <w:tc>
          <w:tcPr>
            <w:tcW w:w="1260" w:type="dxa"/>
            <w:vAlign w:val="bottom"/>
            <w:tcBorders>
              <w:top w:val="single" w:sz="8" w:color="auto"/>
            </w:tcBorders>
            <w:shd w:val="clear" w:color="auto" w:fill="CCEECC"/>
          </w:tcPr>
          <w:p>
            <w:pPr>
              <w:spacing w:after="0"/>
              <w:rPr>
                <w:sz w:val="18"/>
                <w:szCs w:val="18"/>
                <w:color w:val="auto"/>
              </w:rPr>
            </w:pPr>
          </w:p>
        </w:tc>
        <w:tc>
          <w:tcPr>
            <w:tcW w:w="46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top w:val="single" w:sz="8" w:color="CCEECC"/>
            </w:tcBorders>
            <w:shd w:val="clear" w:color="auto" w:fill="CCEECC"/>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Granted - 2013</w:t>
            </w:r>
          </w:p>
        </w:tc>
        <w:tc>
          <w:tcPr>
            <w:tcW w:w="2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500" w:type="dxa"/>
            <w:vAlign w:val="bottom"/>
            <w:gridSpan w:val="2"/>
            <w:shd w:val="clear" w:color="auto" w:fill="CCEECC"/>
          </w:tcPr>
          <w:p>
            <w:pPr>
              <w:jc w:val="right"/>
              <w:ind w:right="80"/>
              <w:spacing w:after="0"/>
              <w:rPr>
                <w:sz w:val="20"/>
                <w:szCs w:val="20"/>
                <w:color w:val="auto"/>
              </w:rPr>
            </w:pPr>
            <w:r>
              <w:rPr>
                <w:rFonts w:ascii="Times New Roman" w:cs="Times New Roman" w:eastAsia="Times New Roman" w:hAnsi="Times New Roman"/>
                <w:sz w:val="18"/>
                <w:szCs w:val="18"/>
                <w:color w:val="auto"/>
              </w:rPr>
              <w:t>Exercised - 2013</w:t>
            </w:r>
          </w:p>
        </w:tc>
        <w:tc>
          <w:tcPr>
            <w:tcW w:w="2420" w:type="dxa"/>
            <w:vAlign w:val="bottom"/>
            <w:gridSpan w:val="3"/>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1260" w:type="dxa"/>
            <w:vAlign w:val="bottom"/>
            <w:shd w:val="clear" w:color="auto" w:fill="CCEECC"/>
          </w:tcPr>
          <w:p>
            <w:pPr>
              <w:spacing w:after="0"/>
              <w:rPr>
                <w:sz w:val="18"/>
                <w:szCs w:val="18"/>
                <w:color w:val="auto"/>
              </w:rPr>
            </w:pPr>
          </w:p>
        </w:tc>
        <w:tc>
          <w:tcPr>
            <w:tcW w:w="540" w:type="dxa"/>
            <w:vAlign w:val="bottom"/>
            <w:gridSpan w:val="2"/>
            <w:shd w:val="clear" w:color="auto" w:fill="CCEEC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tcPr>
          <w:p>
            <w:pPr>
              <w:spacing w:after="0"/>
              <w:rPr>
                <w:sz w:val="18"/>
                <w:szCs w:val="18"/>
                <w:color w:val="auto"/>
              </w:rPr>
            </w:pPr>
          </w:p>
        </w:tc>
      </w:tr>
      <w:tr>
        <w:trPr>
          <w:trHeight w:val="230"/>
        </w:trPr>
        <w:tc>
          <w:tcPr>
            <w:tcW w:w="2000" w:type="dxa"/>
            <w:vAlign w:val="bottom"/>
          </w:tcPr>
          <w:p>
            <w:pPr>
              <w:spacing w:after="0"/>
              <w:rPr>
                <w:sz w:val="19"/>
                <w:szCs w:val="19"/>
                <w:color w:val="auto"/>
              </w:rPr>
            </w:pP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Expired - 2013</w:t>
            </w:r>
          </w:p>
        </w:tc>
        <w:tc>
          <w:tcPr>
            <w:tcW w:w="2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tcPr>
          <w:p>
            <w:pPr>
              <w:spacing w:after="0"/>
              <w:rPr>
                <w:sz w:val="19"/>
                <w:szCs w:val="19"/>
                <w:color w:val="auto"/>
              </w:rPr>
            </w:pPr>
          </w:p>
        </w:tc>
      </w:tr>
      <w:tr>
        <w:trPr>
          <w:trHeight w:val="223"/>
        </w:trPr>
        <w:tc>
          <w:tcPr>
            <w:tcW w:w="2000" w:type="dxa"/>
            <w:vAlign w:val="bottom"/>
          </w:tcPr>
          <w:p>
            <w:pPr>
              <w:spacing w:after="0"/>
              <w:rPr>
                <w:sz w:val="19"/>
                <w:szCs w:val="19"/>
                <w:color w:val="auto"/>
              </w:rPr>
            </w:pPr>
          </w:p>
        </w:tc>
        <w:tc>
          <w:tcPr>
            <w:tcW w:w="24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Balance, June 30, 2013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400" w:type="dxa"/>
            <w:vAlign w:val="bottom"/>
            <w:tcBorders>
              <w:top w:val="single" w:sz="8" w:color="auto"/>
              <w:bottom w:val="single" w:sz="8" w:color="auto"/>
            </w:tcBorders>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14,344,434</w:t>
            </w: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40" w:type="dxa"/>
            <w:vAlign w:val="bottom"/>
            <w:tcBorders>
              <w:top w:val="single" w:sz="8" w:color="auto"/>
              <w:bottom w:val="single" w:sz="8" w:color="auto"/>
            </w:tcBorders>
            <w:shd w:val="clear" w:color="auto" w:fill="CCEECC"/>
          </w:tcPr>
          <w:p>
            <w:pPr>
              <w:jc w:val="right"/>
              <w:ind w:right="472"/>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CC"/>
          </w:tcPr>
          <w:p>
            <w:pPr>
              <w:spacing w:after="0"/>
              <w:rPr>
                <w:sz w:val="19"/>
                <w:szCs w:val="19"/>
                <w:color w:val="auto"/>
              </w:rPr>
            </w:pPr>
          </w:p>
        </w:tc>
        <w:tc>
          <w:tcPr>
            <w:tcW w:w="4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00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70"/>
        </w:trPr>
        <w:tc>
          <w:tcPr>
            <w:tcW w:w="20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r>
      <w:tr>
        <w:trPr>
          <w:trHeight w:val="228"/>
        </w:trPr>
        <w:tc>
          <w:tcPr>
            <w:tcW w:w="20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F-12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ectPr>
          <w:pgSz w:w="11900" w:h="16838" w:orient="portrait"/>
          <w:cols w:equalWidth="0" w:num="1">
            <w:col w:w="11420"/>
          </w:cols>
          <w:pgMar w:left="240" w:top="229"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OPERATING LEASES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4"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860" w:type="dxa"/>
            <w:vAlign w:val="bottom"/>
            <w:gridSpan w:val="2"/>
            <w:shd w:val="clear" w:color="auto" w:fill="CCEECC"/>
          </w:tcPr>
          <w:p>
            <w:pPr>
              <w:jc w:val="right"/>
              <w:ind w:right="10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1140" w:type="dxa"/>
            <w:vAlign w:val="bottom"/>
            <w:gridSpan w:val="2"/>
            <w:shd w:val="clear" w:color="auto" w:fill="CCEECC"/>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60,591</w:t>
            </w:r>
          </w:p>
        </w:tc>
        <w:tc>
          <w:tcPr>
            <w:tcW w:w="60" w:type="dxa"/>
            <w:vAlign w:val="bottom"/>
            <w:shd w:val="clear" w:color="auto" w:fill="CCEECC"/>
          </w:tcPr>
          <w:p>
            <w:pPr>
              <w:spacing w:after="0"/>
              <w:rPr>
                <w:sz w:val="18"/>
                <w:szCs w:val="18"/>
                <w:color w:val="auto"/>
              </w:rPr>
            </w:pPr>
          </w:p>
        </w:tc>
      </w:tr>
      <w:tr>
        <w:trPr>
          <w:trHeight w:val="216"/>
        </w:trPr>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60" w:type="dxa"/>
            <w:vAlign w:val="bottom"/>
          </w:tcPr>
          <w:p>
            <w:pPr>
              <w:spacing w:after="0"/>
              <w:rPr>
                <w:sz w:val="18"/>
                <w:szCs w:val="18"/>
                <w:color w:val="auto"/>
              </w:rPr>
            </w:pPr>
          </w:p>
        </w:tc>
      </w:tr>
      <w:tr>
        <w:trPr>
          <w:trHeight w:val="230"/>
        </w:trPr>
        <w:tc>
          <w:tcPr>
            <w:tcW w:w="276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12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9"/>
                <w:szCs w:val="19"/>
                <w:color w:val="auto"/>
              </w:rPr>
            </w:pPr>
          </w:p>
        </w:tc>
      </w:tr>
      <w:tr>
        <w:trPr>
          <w:trHeight w:val="223"/>
        </w:trPr>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 lease commitment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116,133</w:t>
            </w:r>
          </w:p>
        </w:tc>
        <w:tc>
          <w:tcPr>
            <w:tcW w:w="60" w:type="dxa"/>
            <w:vAlign w:val="bottom"/>
          </w:tcPr>
          <w:p>
            <w:pPr>
              <w:spacing w:after="0"/>
              <w:rPr>
                <w:sz w:val="19"/>
                <w:szCs w:val="19"/>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MAJOR CUSTOMERS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two major customers that accounted for 63% and two major customers that accounted for 53% of the Company’s revenues for the six months ended June 30, 2013 and 2012, respectively. The Company expects to continue to maintain these relationships with the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2013, the Company incurred net income of approximately $249,000 but has no tax liability. The Company began operations in 2007 and has previous net operating loss carry-forwards of $13,843,000 through December 31, 2012. The cumulative loss of $13,594,000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Federal income tax consists of the following for the six months ended June 30, 2013 and 2012:</w:t>
      </w:r>
    </w:p>
    <w:p>
      <w:pPr>
        <w:spacing w:after="0" w:line="239"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Borders>
              <w:bottom w:val="single" w:sz="8" w:color="CCEECC"/>
            </w:tcBorders>
          </w:tcPr>
          <w:p>
            <w:pPr>
              <w:spacing w:after="0"/>
              <w:rPr>
                <w:sz w:val="20"/>
                <w:szCs w:val="20"/>
                <w:color w:val="auto"/>
              </w:rPr>
            </w:pPr>
          </w:p>
        </w:tc>
        <w:tc>
          <w:tcPr>
            <w:tcW w:w="14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Borders>
              <w:bottom w:val="single" w:sz="8" w:color="auto"/>
            </w:tcBorders>
          </w:tcPr>
          <w:p>
            <w:pPr>
              <w:spacing w:after="0"/>
              <w:rPr>
                <w:sz w:val="20"/>
                <w:szCs w:val="20"/>
                <w:color w:val="auto"/>
              </w:rPr>
            </w:pPr>
          </w:p>
        </w:tc>
      </w:tr>
      <w:tr>
        <w:trPr>
          <w:trHeight w:val="178"/>
        </w:trPr>
        <w:tc>
          <w:tcPr>
            <w:tcW w:w="20" w:type="dxa"/>
            <w:vAlign w:val="bottom"/>
          </w:tcPr>
          <w:p>
            <w:pPr>
              <w:spacing w:after="0"/>
              <w:rPr>
                <w:sz w:val="15"/>
                <w:szCs w:val="15"/>
                <w:color w:val="auto"/>
              </w:rPr>
            </w:pPr>
          </w:p>
        </w:tc>
        <w:tc>
          <w:tcPr>
            <w:tcW w:w="2920" w:type="dxa"/>
            <w:vAlign w:val="bottom"/>
            <w:shd w:val="clear" w:color="auto" w:fill="CCEECC"/>
          </w:tcPr>
          <w:p>
            <w:pPr>
              <w:spacing w:after="0" w:line="178" w:lineRule="exact"/>
              <w:rPr>
                <w:sz w:val="20"/>
                <w:szCs w:val="20"/>
                <w:color w:val="auto"/>
              </w:rPr>
            </w:pPr>
            <w:r>
              <w:rPr>
                <w:rFonts w:ascii="Times New Roman" w:cs="Times New Roman" w:eastAsia="Times New Roman" w:hAnsi="Times New Roman"/>
                <w:sz w:val="18"/>
                <w:szCs w:val="18"/>
                <w:color w:val="auto"/>
              </w:rPr>
              <w:t>Federal income tax benefit attributable</w:t>
            </w:r>
          </w:p>
        </w:tc>
        <w:tc>
          <w:tcPr>
            <w:tcW w:w="140" w:type="dxa"/>
            <w:vAlign w:val="bottom"/>
            <w:shd w:val="clear" w:color="auto" w:fill="CCEECC"/>
          </w:tcPr>
          <w:p>
            <w:pPr>
              <w:spacing w:after="0"/>
              <w:rPr>
                <w:sz w:val="15"/>
                <w:szCs w:val="15"/>
                <w:color w:val="auto"/>
              </w:rPr>
            </w:pPr>
          </w:p>
        </w:tc>
        <w:tc>
          <w:tcPr>
            <w:tcW w:w="260" w:type="dxa"/>
            <w:vAlign w:val="bottom"/>
            <w:shd w:val="clear" w:color="auto" w:fill="CCEECC"/>
          </w:tcPr>
          <w:p>
            <w:pPr>
              <w:spacing w:after="0"/>
              <w:rPr>
                <w:sz w:val="15"/>
                <w:szCs w:val="15"/>
                <w:color w:val="auto"/>
              </w:rPr>
            </w:pPr>
          </w:p>
        </w:tc>
        <w:tc>
          <w:tcPr>
            <w:tcW w:w="9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20" w:type="dxa"/>
            <w:vAlign w:val="bottom"/>
            <w:shd w:val="clear" w:color="auto" w:fill="CCEECC"/>
          </w:tcPr>
          <w:p>
            <w:pPr>
              <w:spacing w:after="0"/>
              <w:rPr>
                <w:sz w:val="15"/>
                <w:szCs w:val="15"/>
                <w:color w:val="auto"/>
              </w:rPr>
            </w:pPr>
          </w:p>
        </w:tc>
        <w:tc>
          <w:tcPr>
            <w:tcW w:w="260" w:type="dxa"/>
            <w:vAlign w:val="bottom"/>
            <w:shd w:val="clear" w:color="auto" w:fill="CCEECC"/>
          </w:tcPr>
          <w:p>
            <w:pPr>
              <w:spacing w:after="0"/>
              <w:rPr>
                <w:sz w:val="15"/>
                <w:szCs w:val="15"/>
                <w:color w:val="auto"/>
              </w:rPr>
            </w:pPr>
          </w:p>
        </w:tc>
        <w:tc>
          <w:tcPr>
            <w:tcW w:w="9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29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to:</w:t>
            </w:r>
          </w:p>
        </w:tc>
        <w:tc>
          <w:tcPr>
            <w:tcW w:w="140" w:type="dxa"/>
            <w:vAlign w:val="bottom"/>
            <w:shd w:val="clear" w:color="auto" w:fill="CCEECC"/>
          </w:tcPr>
          <w:p>
            <w:pPr>
              <w:spacing w:after="0"/>
              <w:rPr>
                <w:sz w:val="20"/>
                <w:szCs w:val="20"/>
                <w:color w:val="auto"/>
              </w:rPr>
            </w:pPr>
          </w:p>
        </w:tc>
        <w:tc>
          <w:tcPr>
            <w:tcW w:w="260" w:type="dxa"/>
            <w:vAlign w:val="bottom"/>
            <w:shd w:val="clear" w:color="auto" w:fill="CCEECC"/>
          </w:tcPr>
          <w:p>
            <w:pPr>
              <w:spacing w:after="0"/>
              <w:rPr>
                <w:sz w:val="20"/>
                <w:szCs w:val="20"/>
                <w:color w:val="auto"/>
              </w:rPr>
            </w:pPr>
          </w:p>
        </w:tc>
        <w:tc>
          <w:tcPr>
            <w:tcW w:w="9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60" w:type="dxa"/>
            <w:vAlign w:val="bottom"/>
            <w:shd w:val="clear" w:color="auto" w:fill="CCEECC"/>
          </w:tcPr>
          <w:p>
            <w:pPr>
              <w:spacing w:after="0"/>
              <w:rPr>
                <w:sz w:val="20"/>
                <w:szCs w:val="20"/>
                <w:color w:val="auto"/>
              </w:rPr>
            </w:pPr>
          </w:p>
        </w:tc>
        <w:tc>
          <w:tcPr>
            <w:tcW w:w="9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operations</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(84,000)</w:t>
            </w:r>
          </w:p>
        </w:tc>
        <w:tc>
          <w:tcPr>
            <w:tcW w:w="40" w:type="dxa"/>
            <w:vAlign w:val="bottom"/>
          </w:tcPr>
          <w:p>
            <w:pPr>
              <w:spacing w:after="0"/>
              <w:rPr>
                <w:sz w:val="18"/>
                <w:szCs w:val="18"/>
                <w:color w:val="auto"/>
              </w:rPr>
            </w:pP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9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6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(102,000)</w:t>
            </w:r>
          </w:p>
        </w:tc>
      </w:tr>
      <w:tr>
        <w:trPr>
          <w:trHeight w:val="223"/>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provision for federal income tax</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cumulative tax effect at the expected rate of 34% of significant items comprising our net deferred tax amount is as follows as of June 30, 2013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w:t>
      </w:r>
    </w:p>
    <w:p>
      <w:pPr>
        <w:spacing w:after="0" w:line="220"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Borders>
              <w:bottom w:val="single" w:sz="8" w:color="CCEECC"/>
            </w:tcBorders>
          </w:tcPr>
          <w:p>
            <w:pPr>
              <w:spacing w:after="0"/>
              <w:rPr>
                <w:sz w:val="20"/>
                <w:szCs w:val="20"/>
                <w:color w:val="auto"/>
              </w:rPr>
            </w:pPr>
          </w:p>
        </w:tc>
        <w:tc>
          <w:tcPr>
            <w:tcW w:w="3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Deferred tax asset attributable to:</w:t>
            </w:r>
          </w:p>
        </w:tc>
        <w:tc>
          <w:tcPr>
            <w:tcW w:w="3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carryover</w:t>
            </w: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(4,622,000)</w:t>
            </w:r>
          </w:p>
        </w:tc>
        <w:tc>
          <w:tcPr>
            <w:tcW w:w="4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(4,706,000)</w:t>
            </w: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change in ownership provisions of the Tax Reform Act of 1986, net operating loss carry forwards of approximately $13,594,000 for Federal income tax reporting purposes are subject to annual limitations. Should a change in ownership occur, net operating loss carry forwards may be limited as to use in future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CONTINGENT LIABILITY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14, 2013, the Company hired a new CEO. The employment agreement requires annual compensation of $175,000 that will be accrued and deferred until at least January 1, 2014. Additionally, the agreement requires the issuance of 2,000,000 options with an exercise price of $1.00 for a term of five years. The options are not exercisable until at least January 1, 2014, and are only exercisable after reaching certain financial terms and conditions. Due to these restrictions, no accrual has been made for the issuance of these options.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consisted of the following for the three months and six months ended June 30, 2013 and 2012, respectively:</w:t>
      </w: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19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8"/>
                <w:szCs w:val="18"/>
                <w:color w:val="auto"/>
              </w:rPr>
              <w:t>June 30</w:t>
            </w:r>
          </w:p>
        </w:tc>
      </w:tr>
      <w:tr>
        <w:trPr>
          <w:trHeight w:val="210"/>
        </w:trPr>
        <w:tc>
          <w:tcPr>
            <w:tcW w:w="326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2012</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Borders>
              <w:bottom w:val="single" w:sz="8" w:color="auto"/>
            </w:tcBorders>
          </w:tcPr>
          <w:p>
            <w:pPr>
              <w:spacing w:after="0"/>
              <w:rPr>
                <w:sz w:val="18"/>
                <w:szCs w:val="18"/>
                <w:color w:val="auto"/>
              </w:rPr>
            </w:pPr>
          </w:p>
        </w:tc>
      </w:tr>
      <w:tr>
        <w:trPr>
          <w:trHeight w:val="210"/>
        </w:trPr>
        <w:tc>
          <w:tcPr>
            <w:tcW w:w="326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shd w:val="clear" w:color="auto" w:fill="CCEEC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3,825</w:t>
            </w:r>
          </w:p>
        </w:tc>
        <w:tc>
          <w:tcPr>
            <w:tcW w:w="360" w:type="dxa"/>
            <w:vAlign w:val="bottom"/>
            <w:gridSpan w:val="2"/>
            <w:shd w:val="clear" w:color="auto" w:fill="CCEEC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32,651</w:t>
            </w:r>
          </w:p>
        </w:tc>
        <w:tc>
          <w:tcPr>
            <w:tcW w:w="1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7,165</w:t>
            </w:r>
          </w:p>
        </w:tc>
        <w:tc>
          <w:tcPr>
            <w:tcW w:w="1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43,921</w:t>
            </w: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79,190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34,632</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132,288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72,635</w:t>
            </w:r>
          </w:p>
        </w:tc>
      </w:tr>
      <w:tr>
        <w:trPr>
          <w:trHeight w:val="216"/>
        </w:trPr>
        <w:tc>
          <w:tcPr>
            <w:tcW w:w="326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Consulting</w:t>
            </w:r>
          </w:p>
        </w:tc>
        <w:tc>
          <w:tcPr>
            <w:tcW w:w="20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19,722</w:t>
            </w: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1,220</w:t>
            </w: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40,129</w:t>
            </w:r>
          </w:p>
        </w:tc>
        <w:tc>
          <w:tcPr>
            <w:tcW w:w="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7,835</w:t>
            </w: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320,188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294,570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695,259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601,465</w:t>
            </w:r>
          </w:p>
        </w:tc>
      </w:tr>
      <w:tr>
        <w:trPr>
          <w:trHeight w:val="216"/>
        </w:trPr>
        <w:tc>
          <w:tcPr>
            <w:tcW w:w="326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Rent</w:t>
            </w:r>
          </w:p>
        </w:tc>
        <w:tc>
          <w:tcPr>
            <w:tcW w:w="20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15,148</w:t>
            </w: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15,148</w:t>
            </w: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30,296</w:t>
            </w:r>
          </w:p>
        </w:tc>
        <w:tc>
          <w:tcPr>
            <w:tcW w:w="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32,066</w:t>
            </w: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48,226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47,329</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93,352</w:t>
            </w:r>
          </w:p>
        </w:tc>
      </w:tr>
      <w:tr>
        <w:trPr>
          <w:trHeight w:val="216"/>
        </w:trPr>
        <w:tc>
          <w:tcPr>
            <w:tcW w:w="326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CC"/>
          </w:tcPr>
          <w:p>
            <w:pPr>
              <w:spacing w:after="0"/>
              <w:rPr>
                <w:sz w:val="18"/>
                <w:szCs w:val="18"/>
                <w:color w:val="auto"/>
              </w:rPr>
            </w:pPr>
          </w:p>
        </w:tc>
        <w:tc>
          <w:tcPr>
            <w:tcW w:w="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10,002</w:t>
            </w:r>
          </w:p>
        </w:tc>
        <w:tc>
          <w:tcPr>
            <w:tcW w:w="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72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100,835</w:t>
            </w:r>
          </w:p>
        </w:tc>
        <w:tc>
          <w:tcPr>
            <w:tcW w:w="18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20,004</w:t>
            </w:r>
          </w:p>
        </w:tc>
        <w:tc>
          <w:tcPr>
            <w:tcW w:w="2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8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228,383</w:t>
            </w: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share expense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197,200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8,135</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237,403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8,135</w:t>
            </w:r>
          </w:p>
        </w:tc>
      </w:tr>
      <w:tr>
        <w:trPr>
          <w:trHeight w:val="230"/>
        </w:trPr>
        <w:tc>
          <w:tcPr>
            <w:tcW w:w="326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CC"/>
          </w:tcPr>
          <w:p>
            <w:pPr>
              <w:spacing w:after="0"/>
              <w:rPr>
                <w:sz w:val="19"/>
                <w:szCs w:val="19"/>
                <w:color w:val="auto"/>
              </w:rPr>
            </w:pPr>
          </w:p>
        </w:tc>
        <w:tc>
          <w:tcPr>
            <w:tcW w:w="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56,465</w:t>
            </w:r>
          </w:p>
        </w:tc>
        <w:tc>
          <w:tcPr>
            <w:tcW w:w="4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6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57,110</w:t>
            </w:r>
          </w:p>
        </w:tc>
        <w:tc>
          <w:tcPr>
            <w:tcW w:w="6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265,257</w:t>
            </w:r>
          </w:p>
        </w:tc>
        <w:tc>
          <w:tcPr>
            <w:tcW w:w="2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8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134,160</w:t>
            </w:r>
          </w:p>
        </w:tc>
      </w:tr>
      <w:tr>
        <w:trPr>
          <w:trHeight w:val="223"/>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749,966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591,630</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1,524,138</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1,221,952</w:t>
            </w:r>
          </w:p>
        </w:tc>
        <w:tc>
          <w:tcPr>
            <w:tcW w:w="6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18 – SUBSEQUENT EVENTS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ASC 855-10, the Company has analyzed its operations subsequent to June 30, 2013 through the date these financial statements were issued and has determined that it does not have any material subsequent events to disclose in these financial statements other than the events described above.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finished the second quarter of 2013 with revenue of $1,104,087, bringing revenue for the first six months of 2013 to $1,773,377. We achieved net income during the second quarter of $354,159. During the same period in 2012, revenue was $591,628 while the company had an operating loss of $76,059.</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record revenues were driven primarily by our SampleMD solution, which generated approximately 265,628 new ePrescriptions with co-pay coupons or free sample vouchers during the second quarter of 2013, helping patients more affordably start and stay on their prescribed medications. That is a substantial increase from the 177,000 distributions in the first quarter of 2013 and even more substantial from the 49,400 distributions in the second quarter of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drive our two primary messages to the pharmaceutical industry:</w:t>
      </w:r>
    </w:p>
    <w:p>
      <w:pPr>
        <w:spacing w:after="0" w:line="225" w:lineRule="exact"/>
        <w:rPr>
          <w:sz w:val="20"/>
          <w:szCs w:val="20"/>
          <w:color w:val="auto"/>
        </w:rPr>
      </w:pPr>
    </w:p>
    <w:p>
      <w:pPr>
        <w:ind w:firstLine="8"/>
        <w:spacing w:after="0" w:line="282" w:lineRule="auto"/>
        <w:tabs>
          <w:tab w:leader="none" w:pos="20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SampleMD has the largest capacity to deliver targeted promotional and incentive messaging to physicians at point of prescription through interoperability with multiple disparate electronic health platforms;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health platforms (EMRs, eRx, Patient Portals) are the most cost-effective way to reach physicians and patients, as opposed to external web sites that have been traditionally the focus of their non-rep marketing, and should therefore be an increasing focus for all pharmaceutical marketing dollars.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distribution front, during the second quarter of 2013, we completed the integration of our SampleMD platform into HealthTronics, the largest Urology EMR in the country, which serves over 2,200 doctors. This specialty network is very significant to some of our current brand coupons and is a very attractive distribution network for other new brands and manufacturers of urology-specific drugs.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during the second quarter of 2013, we continued to implement our partnership with PDR, also known as Physicians Desk Reference. This allows both companies to leverage synergistic strengths to offer more solutions and reach to the pharmaceutical industry, as well as more value to the electronic health records (EMR/EHR) platforms. SampleMD will be PDR’s eCoupon and Rep invite platform, and PDR will enable expansion of SampleMD’s reach to additional EMRs and directly to physicians' offices via a PDR-branded downloadable desktop application of the SampleMD solution. We are currently in the process of finalizing several integrations through and with PDR, which we anticipate concluding by year-end.</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summary, we remain committed to working with top organizations to provided better affordability and access to healthcare for the patients we serve. To achieve this, we will continue to work with leading providers in partnering to provide simple to use solutions. As compliance and regulatory requirements (i.e. meaningful use) continue to surround healthcare providers, OptimizeRx continues through its partnerships and internal R&amp;D to become the “HUB” for providing access to these ease-of-use solutions.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these continued efforts, we believe that SampleMD continues to be regarded as the innovative industry leader, setting the standards within this new frontier of digital EMR solution marketing for patient care.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2013 and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reported for the three months ended June 30, 2013 was $1,104,087, an increase of $515,423 from the three months ended June 30,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reported for the six months ended June 30, 2013 was $1,773,377, an increase of $844,826 from the six months ended June 30, 2012.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increased revenue for the three and six months ended June 30, 2013 as compared with the same periods ended 2012 is a result of the continued viability of our SampleMD solution and the setup and integration fees for pharmaceutical manufacturers whom are participating within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to $749,966 for the three months ended June 30, 2013 from $591,628 for the three months ended June 30, 2012. Our major expenses for the three months ended June 20, 2013 were salaries, wages and benefits of $320,188, revenue share expenses of $197,200, professional fees of $79,190, depreciation and amortization of $48,226 and general and administrative expenses of $56,465. In comparison, our major expenses for the three months ended June 30, 2012 were sales, wages and benefits of $294,570, stock-based compensation of $100,835, depreciation and amortization of $47,329, professional fees of $34,632 and general and administrative expenses of $57,110.</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to $1,524,138 for the six months ended June 30, 2013 from $1,221,952 for the six months ended June 30, 2012. Our major expenses for the six months ended June 20, 2013 were salaries, wages and benefits of $695,259, revenue share expenses of $237,403, professional fees of $132,288, depreciation and amortization of $96,337 and general and administrative expenses of $265,257. In comparison, our major expenses for the six months ended June 30, 2012 were sales, wages and benefits of $601,465, stock-based non cash compensation of $228,383, depreciation and amortization of $93,352, professional fees of $72,635 and general and administrative expenses of $134,160.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operating expenses to continue to increase as we further implement our business plan and expand our operations.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June 30, 2013 was $354,159, compared to a net loss of $76,059 for the three months ended June 30, 2012. Net income for the six months ended June 30, 2013 was $249,333, compared to net loss of $376,795 for the six months ended June 30,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2013, we had total current assets of $1,347,836 and total assets in the amount of $2,495,962. Our total current liabilities as of June 30, 2013 were $712,270. We had working capital of $635,566 as of June 30, 2013.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activities provided $106,447 in cash for the six months ended June 30, 2013. Our positive operating cash flow was largely a result of our net income of $249,333, $96,337 in depreciation and amortization, $87,500 in stock based compensation and $38,900 in stock issued for services, offset by accounts receivable of $322,887 and accounts payable of $42,543.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 used $38,278 during the six months ended June 30, 2013 entirely as a result of patent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financing activities during the six months ended June 30, 2013.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2013, with the current level of financing and cash on hand, we have sufficient cash to operate our business at the current level for the next twelve months but insufficient cash to achieve our business goals unless we: a) realize cash revenues on sales generated; and/or b) receive financing. We are uncertain what type of financing, if any, we will need as we continue to ramp up our revenue stream.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2013, there were no off 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expect the adoption of recently issued accounting pronouncements to have a significant impact on the Company’s results of operation, financial position or cash flow.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smaller reporting company is not required to provide the information required by this Item.</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of the effectiveness of the design and operation of our disclosure controls and procedures (as defined in Exchange Act Rules 13a-15(e) and 15d-15(e)) as of June 30, 2013. This evaluation was carried out under the supervision and with the participation of our Chief Executive Officer, Mr. Shad Stastney,and our Chief Financial Officer, Mr. David Lester. Based upon that evaluation, our Chief Executive Officer and Chief Financial Officer concluded that, as of June 30, 2013, our disclosure controls and procedures are effective. There have been no significant changes in our internal controls over financial reporting during the quarter ended June 30, 2013 that have materially affected or are reasonably likely to materially affect such controls.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Limitations on the Effectiveness of Internal Controls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5, 2012, LDM Group, LLC commenced an action against us in the United States District Court for the Eastern District of Missouri, Eastern Division. The complaint alleges that we infringed on a patent issued on February 21, 2012 in favor of LDM. LDM alleges that its patent is an invention of a method for making available targeted content to a prescription medication patient while the patient is still in the physician’s office. According to LDM, our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we breached the Settlement and Patent License Agreement. We intend to vigorously enforce the Settlement and Patent License Agreement and defend the action brought by LDM.</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June 30, 2013, no further action has occurred in that case.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 2013, we issued 20,000 shares pursuant to the terms of a consulting agreement with North Coast Advisors, Inc.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70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200" w:type="dxa"/>
            <w:vAlign w:val="bottom"/>
          </w:tcPr>
          <w:p>
            <w:pPr>
              <w:spacing w:after="0"/>
              <w:rPr>
                <w:sz w:val="17"/>
                <w:szCs w:val="17"/>
                <w:color w:val="auto"/>
              </w:rPr>
            </w:pPr>
          </w:p>
        </w:tc>
      </w:tr>
      <w:tr>
        <w:trPr>
          <w:trHeight w:val="412"/>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2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392"/>
        </w:trPr>
        <w:tc>
          <w:tcPr>
            <w:tcW w:w="10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302 of the Sarbanes-</w:t>
            </w:r>
          </w:p>
        </w:tc>
      </w:tr>
      <w:tr>
        <w:trPr>
          <w:trHeight w:val="196"/>
        </w:trPr>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196"/>
        </w:trPr>
        <w:tc>
          <w:tcPr>
            <w:tcW w:w="12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302 of the Sarbanes-</w:t>
            </w:r>
          </w:p>
        </w:tc>
      </w:tr>
      <w:tr>
        <w:trPr>
          <w:trHeight w:val="196"/>
        </w:trPr>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196"/>
        </w:trPr>
        <w:tc>
          <w:tcPr>
            <w:tcW w:w="12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 as adopted pursuant to</w:t>
            </w:r>
          </w:p>
        </w:tc>
      </w:tr>
      <w:tr>
        <w:trPr>
          <w:trHeight w:val="196"/>
        </w:trPr>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200" w:type="dxa"/>
            <w:vAlign w:val="bottom"/>
          </w:tcPr>
          <w:p>
            <w:pPr>
              <w:spacing w:after="0"/>
              <w:rPr>
                <w:sz w:val="17"/>
                <w:szCs w:val="17"/>
                <w:color w:val="auto"/>
              </w:rPr>
            </w:pPr>
          </w:p>
        </w:tc>
      </w:tr>
      <w:tr>
        <w:trPr>
          <w:trHeight w:val="237"/>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June 30, 2013 formatted in</w:t>
            </w:r>
          </w:p>
        </w:tc>
      </w:tr>
    </w:tbl>
    <w:p>
      <w:pPr>
        <w:ind w:left="1700"/>
        <w:spacing w:after="0"/>
        <w:rPr>
          <w:sz w:val="20"/>
          <w:szCs w:val="20"/>
          <w:color w:val="auto"/>
        </w:rPr>
      </w:pPr>
      <w:r>
        <w:rPr>
          <w:rFonts w:ascii="Times New Roman" w:cs="Times New Roman" w:eastAsia="Times New Roman" w:hAnsi="Times New Roman"/>
          <w:sz w:val="18"/>
          <w:szCs w:val="18"/>
          <w:color w:val="auto"/>
        </w:rPr>
        <w:t>Extensible Business Reporting Language (XBRL).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**Provided herewith</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16"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12, 2013</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Shad Stastney</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Shad Stastney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b w:val="1"/>
          <w:bCs w:val="1"/>
          <w:color w:val="auto"/>
        </w:rPr>
        <w:t>Chief Executive Officer, Principal Executive Officer, and Director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Shad Stastney, certify that;</w:t>
      </w:r>
    </w:p>
    <w:p>
      <w:pPr>
        <w:spacing w:after="0" w:line="225"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2013 of OptimizeRx Corp (the “registrant”);</w:t>
      </w:r>
    </w:p>
    <w:p>
      <w:pPr>
        <w:spacing w:after="0" w:line="225" w:lineRule="exact"/>
        <w:rPr>
          <w:rFonts w:ascii="Times New Roman" w:cs="Times New Roman" w:eastAsia="Times New Roman" w:hAnsi="Times New Roman"/>
          <w:sz w:val="18"/>
          <w:szCs w:val="18"/>
          <w:color w:val="auto"/>
        </w:rPr>
      </w:pPr>
    </w:p>
    <w:p>
      <w:pPr>
        <w:ind w:left="380" w:right="60" w:hanging="372"/>
        <w:spacing w:after="0" w:line="313" w:lineRule="auto"/>
        <w:tabs>
          <w:tab w:leader="none" w:pos="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80" w:right="520" w:hanging="372"/>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hanging="372"/>
        <w:spacing w:after="0" w:line="266"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00" w:right="180" w:hanging="482"/>
        <w:spacing w:after="0" w:line="266"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00" w:right="500" w:hanging="492"/>
        <w:spacing w:after="0" w:line="266"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00" w:right="660" w:hanging="482"/>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180" w:hanging="492"/>
        <w:spacing w:after="0" w:line="266"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right="440" w:hanging="372"/>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80" w:hanging="482"/>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0" w:hanging="492"/>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Shad Stastney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Shad Stastney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400"/>
          </w:cols>
          <w:pgMar w:left="240" w:top="117" w:right="2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David Lester, certify that;</w:t>
      </w:r>
    </w:p>
    <w:p>
      <w:pPr>
        <w:spacing w:after="0" w:line="225"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2013 of OptimizeRx Corp (the “registrant”);</w:t>
      </w:r>
    </w:p>
    <w:p>
      <w:pPr>
        <w:spacing w:after="0" w:line="225" w:lineRule="exact"/>
        <w:rPr>
          <w:rFonts w:ascii="Times New Roman" w:cs="Times New Roman" w:eastAsia="Times New Roman" w:hAnsi="Times New Roman"/>
          <w:sz w:val="18"/>
          <w:szCs w:val="18"/>
          <w:color w:val="auto"/>
        </w:rPr>
      </w:pPr>
    </w:p>
    <w:p>
      <w:pPr>
        <w:ind w:left="380" w:right="60" w:hanging="372"/>
        <w:spacing w:after="0" w:line="313" w:lineRule="auto"/>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80" w:right="52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00" w:right="180" w:hanging="482"/>
        <w:spacing w:after="0" w:line="266"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00" w:right="500" w:hanging="492"/>
        <w:spacing w:after="0" w:line="266"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00" w:right="660" w:hanging="482"/>
        <w:spacing w:after="0" w:line="282"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180" w:hanging="492"/>
        <w:spacing w:after="0" w:line="266"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right="44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80" w:hanging="482"/>
        <w:spacing w:after="0" w:line="282"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0" w:hanging="492"/>
        <w:spacing w:after="0" w:line="282"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H. David Lester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H. David Lester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400"/>
          </w:cols>
          <w:pgMar w:left="240" w:top="117" w:right="2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OptimizeRx Corp (the “Company”) on Form 10-Q for the quarter ended June 30, 2013 filed with the Securities and Exchange Commission (the “Report”), We, Shad Stastney and David Lester, Chief Executive Officer and Chief Financial Officer, respectively, of the Company, certify, pursuant to 18 U.S.C. Section 1350, as adopted pursuant to Section 906 of the Sarbanes-Oxley Act of 2002, that: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49" w:lineRule="exact"/>
        <w:rPr>
          <w:sz w:val="20"/>
          <w:szCs w:val="20"/>
          <w:color w:val="auto"/>
        </w:rPr>
      </w:pPr>
    </w:p>
    <w:tbl>
      <w:tblPr>
        <w:tblLayout w:type="fixed"/>
        <w:tblInd w:w="4580" w:type="dxa"/>
        <w:tblCellMar>
          <w:top w:w="0" w:type="dxa"/>
          <w:left w:w="0" w:type="dxa"/>
          <w:bottom w:w="0" w:type="dxa"/>
          <w:right w:w="0" w:type="dxa"/>
        </w:tblCellMar>
      </w:tblPr>
      <w:tr>
        <w:trPr>
          <w:trHeight w:val="207"/>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Shad Stastney</w:t>
            </w:r>
          </w:p>
        </w:tc>
      </w:tr>
      <w:tr>
        <w:trPr>
          <w:trHeight w:val="21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Shad Stastney</w:t>
            </w:r>
          </w:p>
        </w:tc>
        <w:tc>
          <w:tcPr>
            <w:tcW w:w="1700" w:type="dxa"/>
            <w:vAlign w:val="bottom"/>
            <w:gridSpan w:val="2"/>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Principal Executive Officer and Director</w:t>
            </w: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12, 2013</w:t>
            </w:r>
          </w:p>
        </w:tc>
      </w:tr>
      <w:tr>
        <w:trPr>
          <w:trHeight w:val="37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H. David Lester</w:t>
            </w:r>
          </w:p>
        </w:tc>
      </w:tr>
      <w:tr>
        <w:trPr>
          <w:trHeight w:val="21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 David Lester</w:t>
            </w:r>
          </w:p>
        </w:tc>
        <w:tc>
          <w:tcPr>
            <w:tcW w:w="1560" w:type="dxa"/>
            <w:vAlign w:val="bottom"/>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 and Director</w:t>
            </w: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12, 2013</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2019-12-07T19:35:00Z</dcterms:created>
  <dcterms:modified xsi:type="dcterms:W3CDTF">2019-12-07T19:35:00Z</dcterms:modified>
</cp:coreProperties>
</file>