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35" w:lineRule="exact"/>
        <w:rPr>
          <w:sz w:val="24"/>
          <w:szCs w:val="24"/>
          <w:color w:val="auto"/>
        </w:rPr>
      </w:pPr>
    </w:p>
    <w:p>
      <w:pPr>
        <w:ind w:left="4080" w:right="1700" w:hanging="2374"/>
        <w:spacing w:after="0" w:line="372" w:lineRule="auto"/>
        <w:tabs>
          <w:tab w:leader="none" w:pos="1963"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UNDER SECTION 13 OR 15(d) OF THE SECURITIES EXCHANGE ACT OF 1934 For the fiscal year ended </w:t>
      </w:r>
      <w:r>
        <w:rPr>
          <w:rFonts w:ascii="Arial" w:cs="Arial" w:eastAsia="Arial" w:hAnsi="Arial"/>
          <w:sz w:val="18"/>
          <w:szCs w:val="18"/>
          <w:b w:val="1"/>
          <w:bCs w:val="1"/>
          <w:color w:val="auto"/>
        </w:rPr>
        <w:t>December 31, 2015</w:t>
      </w:r>
    </w:p>
    <w:p>
      <w:pPr>
        <w:spacing w:after="0" w:line="33" w:lineRule="exact"/>
        <w:rPr>
          <w:rFonts w:ascii="MS PGothic" w:cs="MS PGothic" w:eastAsia="MS PGothic" w:hAnsi="MS PGothic"/>
          <w:sz w:val="18"/>
          <w:szCs w:val="18"/>
          <w:color w:val="auto"/>
        </w:rPr>
      </w:pPr>
    </w:p>
    <w:p>
      <w:pPr>
        <w:ind w:left="3740" w:right="1540" w:hanging="2194"/>
        <w:spacing w:after="0" w:line="389" w:lineRule="auto"/>
        <w:tabs>
          <w:tab w:leader="none" w:pos="17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SECURITIES EXCHANGE ACT OF 1934 For the transition period from _________ to ________</w:t>
      </w:r>
    </w:p>
    <w:p>
      <w:pPr>
        <w:ind w:left="438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000-53605</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26-1265381</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0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400 Water Street, Ste. 200</w:t>
            </w:r>
          </w:p>
        </w:tc>
        <w:tc>
          <w:tcPr>
            <w:tcW w:w="5600" w:type="dxa"/>
            <w:vAlign w:val="bottom"/>
          </w:tcPr>
          <w:p>
            <w:pPr>
              <w:spacing w:after="0"/>
              <w:rPr>
                <w:sz w:val="24"/>
                <w:szCs w:val="24"/>
                <w:color w:val="auto"/>
              </w:rPr>
            </w:pPr>
          </w:p>
        </w:tc>
      </w:t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Rochester, MI</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48307</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w:t>
      </w:r>
      <w:r>
        <w:rPr>
          <w:rFonts w:ascii="Arial" w:cs="Arial" w:eastAsia="Arial" w:hAnsi="Arial"/>
          <w:sz w:val="18"/>
          <w:szCs w:val="18"/>
          <w:b w:val="1"/>
          <w:bCs w:val="1"/>
          <w:u w:val="single" w:color="auto"/>
          <w:color w:val="auto"/>
        </w:rPr>
        <w:t>248-651-6568</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12(b) of the Exchange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582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Title of each class</w:t>
            </w:r>
          </w:p>
        </w:tc>
        <w:tc>
          <w:tcPr>
            <w:tcW w:w="560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6"/>
        </w:trPr>
        <w:tc>
          <w:tcPr>
            <w:tcW w:w="26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8"/>
              </w:rPr>
              <w:t>none</w:t>
            </w:r>
          </w:p>
        </w:tc>
        <w:tc>
          <w:tcPr>
            <w:tcW w:w="26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gridSpan w:val="2"/>
          </w:tcPr>
          <w:p>
            <w:pPr>
              <w:jc w:val="center"/>
              <w:ind w:right="2260"/>
              <w:spacing w:after="0" w:line="176" w:lineRule="exact"/>
              <w:rPr>
                <w:sz w:val="20"/>
                <w:szCs w:val="20"/>
                <w:color w:val="auto"/>
              </w:rPr>
            </w:pPr>
            <w:r>
              <w:rPr>
                <w:rFonts w:ascii="Arial" w:cs="Arial" w:eastAsia="Arial" w:hAnsi="Arial"/>
                <w:sz w:val="18"/>
                <w:szCs w:val="18"/>
                <w:b w:val="1"/>
                <w:bCs w:val="1"/>
                <w:color w:val="auto"/>
                <w:w w:val="89"/>
              </w:rPr>
              <w:t>not applicable</w:t>
            </w:r>
          </w:p>
        </w:tc>
      </w:tr>
      <w:tr>
        <w:trPr>
          <w:trHeight w:val="20"/>
        </w:trPr>
        <w:tc>
          <w:tcPr>
            <w:tcW w:w="2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Exchange Act:</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84" w:lineRule="exact"/>
        <w:rPr>
          <w:sz w:val="24"/>
          <w:szCs w:val="24"/>
          <w:color w:val="auto"/>
        </w:rPr>
      </w:pPr>
    </w:p>
    <w:p>
      <w:pPr>
        <w:ind w:right="1780"/>
        <w:spacing w:after="0" w:line="31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Indicate by check mark if the registrant is not required to file reports pursuant to Section 13 or Section 15(d) of the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highlight w:val="black"/>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8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422" w:right="239" w:bottom="1440" w:gutter="0" w:footer="0" w:header="0"/>
        </w:sectPr>
      </w:pPr>
    </w:p>
    <w:p>
      <w:pPr>
        <w:spacing w:after="0" w:line="109"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Large accelerated filer</w:t>
      </w:r>
    </w:p>
    <w:p>
      <w:pPr>
        <w:spacing w:after="0" w:line="8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Non-accelerated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Smaller reporting company</w:t>
      </w:r>
    </w:p>
    <w:p>
      <w:pPr>
        <w:spacing w:after="0" w:line="104" w:lineRule="exact"/>
        <w:rPr>
          <w:sz w:val="24"/>
          <w:szCs w:val="24"/>
          <w:color w:val="auto"/>
        </w:rPr>
      </w:pPr>
    </w:p>
    <w:p>
      <w:pPr>
        <w:sectPr>
          <w:pgSz w:w="11900" w:h="16838" w:orient="portrait"/>
          <w:cols w:equalWidth="0" w:num="2">
            <w:col w:w="5000" w:space="720"/>
            <w:col w:w="5700"/>
          </w:cols>
          <w:pgMar w:left="240" w:top="4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6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$19,394,839</w:t>
      </w:r>
    </w:p>
    <w:p>
      <w:pPr>
        <w:spacing w:after="0" w:line="83"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Indicate the number of shares outstanding of each of the registrant’s classes of common stock, as of the latest practicable date. </w:t>
      </w:r>
      <w:r>
        <w:rPr>
          <w:rFonts w:ascii="Arial" w:cs="Arial" w:eastAsia="Arial" w:hAnsi="Arial"/>
          <w:sz w:val="18"/>
          <w:szCs w:val="18"/>
          <w:b w:val="1"/>
          <w:bCs w:val="1"/>
          <w:color w:val="auto"/>
        </w:rPr>
        <w:t>29,030,925 common shares as</w:t>
      </w:r>
      <w:r>
        <w:rPr>
          <w:rFonts w:ascii="Arial" w:cs="Arial" w:eastAsia="Arial" w:hAnsi="Arial"/>
          <w:sz w:val="18"/>
          <w:szCs w:val="18"/>
          <w:color w:val="auto"/>
        </w:rPr>
        <w:t xml:space="preserve"> </w:t>
      </w:r>
      <w:r>
        <w:rPr>
          <w:rFonts w:ascii="Arial" w:cs="Arial" w:eastAsia="Arial" w:hAnsi="Arial"/>
          <w:sz w:val="18"/>
          <w:szCs w:val="18"/>
          <w:b w:val="1"/>
          <w:bCs w:val="1"/>
          <w:color w:val="auto"/>
        </w:rPr>
        <w:t>of March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560" w:type="dxa"/>
            <w:vAlign w:val="bottom"/>
            <w:gridSpan w:val="15"/>
          </w:tcPr>
          <w:p>
            <w:pPr>
              <w:jc w:val="center"/>
              <w:ind w:right="332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10"/>
          </w:tcPr>
          <w:p>
            <w:pPr>
              <w:jc w:val="center"/>
              <w:ind w:right="468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940" w:type="dxa"/>
            <w:vAlign w:val="bottom"/>
            <w:gridSpan w:val="26"/>
            <w:shd w:val="clear" w:color="auto" w:fill="CCEEFF"/>
          </w:tcPr>
          <w:p>
            <w:pPr>
              <w:ind w:left="6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940" w:type="dxa"/>
            <w:vAlign w:val="bottom"/>
            <w:gridSpan w:val="26"/>
          </w:tcPr>
          <w:p>
            <w:pPr>
              <w:ind w:left="6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940" w:type="dxa"/>
            <w:vAlign w:val="bottom"/>
            <w:gridSpan w:val="26"/>
            <w:shd w:val="clear" w:color="auto" w:fill="CCEEFF"/>
          </w:tcPr>
          <w:p>
            <w:pPr>
              <w:ind w:left="6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940" w:type="dxa"/>
            <w:vAlign w:val="bottom"/>
            <w:gridSpan w:val="26"/>
          </w:tcPr>
          <w:p>
            <w:pPr>
              <w:ind w:left="6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940" w:type="dxa"/>
            <w:vAlign w:val="bottom"/>
            <w:gridSpan w:val="26"/>
            <w:shd w:val="clear" w:color="auto" w:fill="CCEEFF"/>
          </w:tcPr>
          <w:p>
            <w:pPr>
              <w:ind w:left="6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40" w:type="dxa"/>
            <w:vAlign w:val="bottom"/>
            <w:gridSpan w:val="11"/>
            <w:shd w:val="clear" w:color="auto" w:fill="CCEEFF"/>
          </w:tcPr>
          <w:p>
            <w:pPr>
              <w:jc w:val="center"/>
              <w:ind w:right="4640"/>
              <w:spacing w:after="0" w:line="176"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PART II</w:t>
              </w:r>
            </w:hyperlink>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940" w:type="dxa"/>
            <w:vAlign w:val="bottom"/>
            <w:gridSpan w:val="26"/>
            <w:shd w:val="clear" w:color="auto" w:fill="CCEEFF"/>
          </w:tcPr>
          <w:p>
            <w:pPr>
              <w:ind w:left="6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Market for Registrant’s Common Equity and Related Stockholder Matters and Issuer Purchases of Equity Securities</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940" w:type="dxa"/>
            <w:vAlign w:val="bottom"/>
            <w:gridSpan w:val="26"/>
          </w:tcPr>
          <w:p>
            <w:pPr>
              <w:ind w:left="6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940" w:type="dxa"/>
            <w:vAlign w:val="bottom"/>
            <w:gridSpan w:val="26"/>
            <w:shd w:val="clear" w:color="auto" w:fill="CCEEFF"/>
          </w:tcPr>
          <w:p>
            <w:pPr>
              <w:ind w:left="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Financial Statements and Supplementary Data</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9940" w:type="dxa"/>
            <w:vAlign w:val="bottom"/>
            <w:gridSpan w:val="26"/>
          </w:tcPr>
          <w:p>
            <w:pPr>
              <w:ind w:left="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Changes In and Disagreements With Accountants on Accounting and Financial Disclosure</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9940" w:type="dxa"/>
            <w:vAlign w:val="bottom"/>
            <w:gridSpan w:val="26"/>
            <w:shd w:val="clear" w:color="auto" w:fill="CCEEFF"/>
          </w:tcPr>
          <w:p>
            <w:pPr>
              <w:ind w:left="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9B.</w:t>
            </w:r>
          </w:p>
        </w:tc>
        <w:tc>
          <w:tcPr>
            <w:tcW w:w="9940" w:type="dxa"/>
            <w:vAlign w:val="bottom"/>
            <w:gridSpan w:val="26"/>
          </w:tcPr>
          <w:p>
            <w:pPr>
              <w:ind w:left="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80" w:type="dxa"/>
            <w:vAlign w:val="bottom"/>
            <w:gridSpan w:val="12"/>
          </w:tcPr>
          <w:p>
            <w:pPr>
              <w:jc w:val="center"/>
              <w:ind w:right="4620"/>
              <w:spacing w:after="0" w:line="17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PART III</w:t>
              </w:r>
            </w:hyperlink>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940" w:type="dxa"/>
            <w:vAlign w:val="bottom"/>
            <w:gridSpan w:val="26"/>
          </w:tcPr>
          <w:p>
            <w:pPr>
              <w:ind w:left="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Directors, Executive Officers and Corporate Governance</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940" w:type="dxa"/>
            <w:vAlign w:val="bottom"/>
            <w:gridSpan w:val="26"/>
            <w:shd w:val="clear" w:color="auto" w:fill="CCEEFF"/>
          </w:tcPr>
          <w:p>
            <w:pPr>
              <w:ind w:left="6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Executive Compensation</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9940" w:type="dxa"/>
            <w:vAlign w:val="bottom"/>
            <w:gridSpan w:val="26"/>
          </w:tcPr>
          <w:p>
            <w:pPr>
              <w:ind w:left="6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 Stockholder Matters</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940" w:type="dxa"/>
            <w:vAlign w:val="bottom"/>
            <w:gridSpan w:val="26"/>
            <w:shd w:val="clear" w:color="auto" w:fill="CCEEFF"/>
          </w:tcPr>
          <w:p>
            <w:pPr>
              <w:ind w:left="6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Certain Relationships and Related Transactions, and Director Independence</w:t>
              </w:r>
            </w:hyperlink>
          </w:p>
        </w:tc>
        <w:tc>
          <w:tcPr>
            <w:tcW w:w="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9940" w:type="dxa"/>
            <w:vAlign w:val="bottom"/>
            <w:gridSpan w:val="26"/>
          </w:tcPr>
          <w:p>
            <w:pPr>
              <w:ind w:left="6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Principal Accountant Fees and Services</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80" w:type="dxa"/>
            <w:vAlign w:val="bottom"/>
            <w:gridSpan w:val="12"/>
          </w:tcPr>
          <w:p>
            <w:pPr>
              <w:jc w:val="center"/>
              <w:ind w:right="4620"/>
              <w:spacing w:after="0" w:line="17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PART IV</w:t>
              </w:r>
            </w:hyperlink>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9940" w:type="dxa"/>
            <w:vAlign w:val="bottom"/>
            <w:gridSpan w:val="26"/>
          </w:tcPr>
          <w:p>
            <w:pPr>
              <w:ind w:left="6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Exhibits, Financial Statement Schedules</w:t>
              </w:r>
            </w:hyperlink>
          </w:p>
        </w:tc>
        <w:tc>
          <w:tcPr>
            <w:tcW w:w="76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703"/>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 For 2015</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sales for 2015 were $7.2 million, an 11% increase over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2015, our promotional transactions, primarily from our core eCoupon distributions, increased approximately 25% over those in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2015, we distributed eCoupons related to approximately 85 different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Excluding non-cash expenses, in 2015 we generated operating income of approximately $350,000.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2015, we successfully launched our e-Coupon solution within the Practice Fusion network.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continued to acquire new pharmaceutical manufacturers and brands promoting through our platforms.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hired an experienced sales professional in November, 2015 to lead our relationship with media agencies and in December, an experienced executive to lead the expansion of our network.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secured an investment of approximately $4.7 million from WPP, a global provider of advertising, marketing, and branding.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completed an upgrade of our technology platform to Oracle database software to further improve system and reporting capacity.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proved an outstanding Return on Investment associated with our pharmaceutical promotions through an independent analytics firm with multiple pharmaceutical brands.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unveiled VoucherDVM and engaged leading platforms to offer automated vet product savings. We initiated a beta launch in January, 2016 with the National Veterinary Associates.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began a search for a new CEO to help lead us through our next stage of growth, which culminated in the hiring of Will Febbo, who became CEO on February 22,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generated positive cash flow from operations in 2015, and we expect to continue to do so in 2016, as well as to be profitable during the upcoming year based on the expected escalation of revenues.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success in acquiring, integrating and expanding into new promotional EHR/eRx platforms continues to grow as well. We are discussing 2016 rollout dates with potential additional networks.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Sales and Marketing Updates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sales team continues to expand opportunities within existing and new clients. We are focused on adding additional brands for existing clients, expanding the utilization of our network for existing brands, and obtaining new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are expanding our non e-Coupon services as follows:</w:t>
      </w:r>
    </w:p>
    <w:p>
      <w:pPr>
        <w:spacing w:after="0" w:line="225"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Drug File Integration – we are designing a service to better insure that manufacturers’ drugs are present in every ePrescribing platform available.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actively expanding our messaging capabilities with the goal of rapidly increasing revenue through this complementary service.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ePrescribe Training – we are pursuing opportunities to leverage our partnership with WPP/Grey to train representatives on understanding and leveraging EHR sales opportunities.</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VoucherDVM - we continue advancing our negotiations with each of the leading veterinarian technology platforms and have signed an agreement with National Veterinary Associates, one of the largest veterinary groups in the U.S., to initiate a beta launch in January,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are also continuing to ramp up our marketing efforts as follows: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Held multiple meetings initiated and arranged by Pharmaceutical companies to bring on new Health Systems/ePrescribe Platforms.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Spoke at Coupon and Co-Pay Off-set Strategies Conference.</w:t>
      </w:r>
    </w:p>
    <w:p>
      <w:pPr>
        <w:spacing w:after="0" w:line="228" w:lineRule="exact"/>
        <w:rPr>
          <w:rFonts w:ascii="Arial" w:cs="Arial" w:eastAsia="Arial" w:hAnsi="Arial"/>
          <w:sz w:val="18"/>
          <w:szCs w:val="18"/>
          <w:color w:val="auto"/>
        </w:rPr>
      </w:pPr>
    </w:p>
    <w:p>
      <w:pPr>
        <w:ind w:left="660" w:right="20" w:hanging="328"/>
        <w:spacing w:after="0" w:line="186" w:lineRule="auto"/>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Spoke at multiple conferences in 2015, including the Marcum 2015 MicroCap conference, the Liolios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Gateway conference and the LD Micro investor conference.</w:t>
      </w:r>
    </w:p>
    <w:p>
      <w:pPr>
        <w:spacing w:after="0" w:line="203"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Sponsored the 3rd Annual ePrescribe/EHR Conference.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substantially over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2016, in addition to expanding our network, we plan to intensively focus on increasing physician utilization of our partner networks. We intend to working individually with each of our partners based on their particular situation to improve workflow to increase coupon utilization by those providers that have access, obtain access for those prescribers that currently do not have e-coupon access, and increase overall revenue derived from each channel. We believe there is significant revenue growth available within our existing brands by better utilizing our existing partner networks, in addition to the revenue growth provided by new brands and new network partners.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began the search for an experienced EHR executive to lead our expansion efforts. In January, 2016, we hired James Brooks as Senior Vice President of Business Development to champion our EHR business through the development of new relationships with other EHR providers and patient platforms.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support our growth, we have migrated our platform to Oracle database software. The system can now manage up to 1 million rules and return the appropriate content within 1 second. This allows unsurpassed response time to avoid delays, and the ability to meet the upcoming dramatic scale we expect.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launched downloadable “wrapper” code, which streamlines the integration requirements for our solution from a few weeks to a few days, if EHR channel partners choose to utilize this method. This addresses one of the biggest hurdles we face in getting health systems and EHRs to implement our system, given the extensive demand on their available technical resources.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developed a stand-alone desktop eCoupon application that can be used by prescribers that either are not using an eprescribing application, or whose EHR vendor does not offer e-Coupon functionality. We have sold one such application to a major pharmaceutical manufacturer for use as a tool by their sales force and to distribute to physicians. We expect this to be a source of revenue growth in 2016.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Other Key Events in 2015</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secured a strategic investment from WPP of approximately $4.7 million. The completion of this transaction represents a significant expansion of our relationship with WPP, the largest marketing services company in the world, and Lynn Vos, CEO of WPP’s subsidiary, Grey Healthcare Group, has joined our Board. We have hired a top executive to focus on overall client services, including the WPP relationship, and to focus on expanding opportunities available to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strategic value, we expect the WPP relationship to provide promotional support, help add pharmaceutical brands, aid in expansion of our EHR network, expand our service offerings, and help us expand our management and infrastructure. We anticipate that that the WPP relationship will have a significant and positive impact on our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signed an agreement with Allscripts to become its exclusive provider of eCoupons throughout all of its platforms as well as to integrate our e-Coupons into its Touchworks network. The Touchworks platform is used by large health systems throughout the country and is expected to represent a significant expansion of our network. ECoupon functionality within Touchworks is expected to launch on a test basis in late 2016 and on a wide-scale basis in early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 lengthy sales cycle involved in creating this new eCoupon market, we remain very excited about our core eCoupon business and expect acceleration to continue with the launch of additional channels and our joint pursuit of leading health systems with our pharmaceutical partners. We expect our active network to grow substantially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SAMPLEMD - Our platform, which we refer to as 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Over 90% of our revenue comes through activities related to our SampleMD platform.</w:t>
      </w:r>
    </w:p>
    <w:p>
      <w:pPr>
        <w:spacing w:after="0" w:line="177"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OPTIMIZEHR – Our consulting practice is focused on educating and working with pharmaceutical manufacturers on identifying, formulating, and implementing new eRx media strategies for promoting their products. Our consulting services include: 1) Drug File Integration - a service designed to better insure that manufacturers’ drugs are present in every ePrescribing platform available; 2) Sales Force Training – a service to educate the extended field sales force on this new integrated solution and what to look for within their client base to insure maximum exposure of their brands; and 3) Strategy Development – a service that assists manufactures in identifying and building a competitive strategy to take advantage of this new digital frontier. Currently, this activity results in less than 5% of our revenue, but represents a significant growth opportunity for us.</w:t>
      </w:r>
    </w:p>
    <w:p>
      <w:pPr>
        <w:spacing w:after="0" w:line="164"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 At the present time, we generate no revenue through this site, but we believe it represents a significant potential future revenue source.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extend our marketing efforts to build both brand and capabilities awareness in the market. As previously discussed, we continue to actively participate in industry and partner events such as exlPharma and the ACE – Allscripts Users Conference, as well as taking a lead sponsor position in the CBInet eRx and EHR conferences in March and October of 2015. We are also the named sponsor of the March 2016 conference. During the course of the year, we also initiated and delivered successful email marketing campaigns, which generated viable leads for our sales force.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also announced the expansion of our strategic partnership with WPP/Grey Health Group, a leading agency within the healthcare marketplace, which included a significant investment by an affiliated entity of WPP. We plan to continue to increase our marketing efforts with all of our strategic partners, as we intend to continue to promote our platform primarily through the following:</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platform competes in the highly competitive pharmaceutical and healthcare advertising industry that is dominated by large well-known companies with established names, solid market niches, wide arrays of product offerings and marketing networks. Coupon offerings compete for pharmaceutical budgets with a variety of other forms of advertising and promotion.</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Despite these overall competitors, we do not have major competition in our specific portion of the market. We have been experiencing a growing list of potential partners whom either have content that they want to deliver through our distribution engine and network, or whom have complementary technology and want to integrate our solution as a channel partner, expanding our reach to clinicians. The primary competitors in our space of the market are PDR Network, LLC and Physicians Interactive Holdings, Inc. However, we believe our breadth of brands offered, extensive list of pharmaceutical clients, and the vast reach of our network give us a substantial advantage and allow us to achieve a dominant position in the marketplace.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we were awarded a patent for our innovative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hired Harness, Dickey &amp; Pierce, a nationally ranked IP firm, to further expand and protect our intellectual property. Through them, we have filed two additional patents on our technology. We believe our current and expanding IP will allow us to continue being the leader in this rapidly growing space. We stand ready to prepare additional filings, as necessary, to protect our intellectual property on any forthcoming solutions that will further assist and support physicians, pharmacists and patients.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OPTIMIZERx and SampleMD are our licensed trademarks.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2015, we had 12 full-time employees and 3 part-time employees, in addition to contracted programmers, as needed, through our established relationship with Simple eSolutions, a technical and programming resources partner.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Corporation, a Michigan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Business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historically experienced losses, if we are unable to achieve profitability, our financial condition and company could suffer.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our business we have historically incurred losses. While we have increased revenues significantly, we have not yet been able to achieve profitability due to significant investments in our growth and non-cash expenses.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If we are unable to engage and retain the necessary personnel, our business may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currently work with many leading pharmaceutical companies, including Pfizer, Eli Lilly, Actavis, AstraZeneca, Alcon, Daiichi Sankyo, Novartis, Novo Nordisk, Valeant, Shire, and others. Our failure to retain existing customers or expand with new customers could negatively impact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are concentrated in approximately 25 customers, primarily large pharmaceutical manufacturers and large advertising agencies. Approximately 52% of our revenue came from our largest five customers. Loss of one or more of these customers could have a significant negative impact on our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Dr. First, Quest Diagnostics, and others. We will need to maintain these relationships as well as diversify them. The inability to do so could adversely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electronic prescription platforms are subject to audit.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 Despite the launch of Sample MD 2.0,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to the labyrinth of regulations in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5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payor pressure to move to generic brands.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from time to time with uncertain consequences, the outcome of potential judgments may negatively affect our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involved in litigation and other disputes, as described in Item 3 of this report. As we continue to grow, we can expect to have to deal with lawsuits that affect our business. Lawsuits are uncertain and involve a substantial degree of risk. If we are unable to successfully prosecute or defend these actions, our financial condition and results of operations could suffer.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&amp; administrative costs and a diversion of management time and attention from revenue generating and other business activities to compliance activities.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are subject to the “Penny Stock” rules, the level of trading activity in our stock may be reduced.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Currently, we do not own any real estate. Our principal executive offices are located at 400 Water Street, Suite 200, Rochester, Michigan, 48307. We initially entered into a 3 year lease for this 3,648 square foot facility, with a cost of $5,049.25 per month. We renewed that lease for a two year period on December 1, 2014 for a monthly rental rate of $5,201.50.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September, 2014, we initiated litigation against Shadron Stastney, our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to prevent Mr. Stastney from continuing to pursue his claims. Mr. Stastney has filed a counterclaim requesting damages in the amount of at least $450,000 related to the nonregistration of his shares. The parties are currently in the discovery process and a dispositive motion has been filed by Mr. Stastney. We are in the process of preparing our response to the motion.</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to resolve previous litigation with LDM. LDM breached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damages in an amount at least equal to the amounts paid to date to LDM under the settlement agreement, which is in excess of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filed a motion to dismissal of our claims except those for breach of contract. In January, the Court dismissed two of six claims asserted against LDM and PDR but allowed the remainder of our claims to continue forward. The parties are currently engaged in in the discovery process.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800" w:type="dxa"/>
            <w:vAlign w:val="bottom"/>
            <w:tcBorders>
              <w:top w:val="single" w:sz="8" w:color="auto"/>
            </w:tcBorders>
            <w:gridSpan w:val="2"/>
          </w:tcPr>
          <w:p>
            <w:pPr>
              <w:ind w:left="3800"/>
              <w:spacing w:after="0"/>
              <w:rPr>
                <w:sz w:val="20"/>
                <w:szCs w:val="20"/>
                <w:color w:val="auto"/>
              </w:rPr>
            </w:pPr>
            <w:r>
              <w:rPr>
                <w:rFonts w:ascii="Arial" w:cs="Arial" w:eastAsia="Arial" w:hAnsi="Arial"/>
                <w:sz w:val="18"/>
                <w:szCs w:val="18"/>
                <w:color w:val="auto"/>
              </w:rPr>
              <w:t>Quarter Ended</w:t>
            </w: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High $</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Low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December 31, 2014</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September 30,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30, 2014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March 31, 2014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8800" w:type="dxa"/>
            <w:vAlign w:val="bottom"/>
            <w:tcBorders>
              <w:bottom w:val="single" w:sz="8" w:color="auto"/>
            </w:tcBorders>
            <w:gridSpan w:val="2"/>
          </w:tcPr>
          <w:p>
            <w:pPr>
              <w:ind w:left="4280"/>
              <w:spacing w:after="0"/>
              <w:rPr>
                <w:sz w:val="20"/>
                <w:szCs w:val="20"/>
                <w:color w:val="auto"/>
              </w:rPr>
            </w:pPr>
            <w:r>
              <w:rPr>
                <w:rFonts w:ascii="Arial" w:cs="Arial" w:eastAsia="Arial" w:hAnsi="Arial"/>
                <w:sz w:val="18"/>
                <w:szCs w:val="18"/>
                <w:color w:val="auto"/>
              </w:rPr>
              <w:t>Fiscal Year Ending December 31, 2015</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gridSpan w:val="2"/>
          </w:tcPr>
          <w:p>
            <w:pPr>
              <w:ind w:left="3800"/>
              <w:spacing w:after="0"/>
              <w:rPr>
                <w:sz w:val="20"/>
                <w:szCs w:val="20"/>
                <w:color w:val="auto"/>
              </w:rPr>
            </w:pPr>
            <w:r>
              <w:rPr>
                <w:rFonts w:ascii="Arial" w:cs="Arial" w:eastAsia="Arial" w:hAnsi="Arial"/>
                <w:sz w:val="18"/>
                <w:szCs w:val="18"/>
                <w:color w:val="auto"/>
              </w:rPr>
              <w:t>Quarter Ended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High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Low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December 31, 2015</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September 30, 2015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30, 2015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March 31, 2015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Quarter Ended March 31, 2016 (through March 10, 2016)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445"/>
        </w:trPr>
        <w:tc>
          <w:tcPr>
            <w:tcW w:w="8820" w:type="dxa"/>
            <w:vAlign w:val="bottom"/>
            <w:gridSpan w:val="3"/>
          </w:tcPr>
          <w:p>
            <w:pPr>
              <w:spacing w:after="0"/>
              <w:rPr>
                <w:sz w:val="20"/>
                <w:szCs w:val="20"/>
                <w:color w:val="auto"/>
              </w:rPr>
            </w:pPr>
            <w:r>
              <w:rPr>
                <w:rFonts w:ascii="Arial" w:cs="Arial" w:eastAsia="Arial" w:hAnsi="Arial"/>
                <w:sz w:val="18"/>
                <w:szCs w:val="18"/>
                <w:color w:val="auto"/>
              </w:rPr>
              <w:t>On March 10, 2016, the last sales price per share of our common stock was $0.95.</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10, 2016, we had 29,030,925 shares of our common stock issued and outstanding, held by approximately 325 shareholders of record at our transfer agent, with approximately 1,000 additional shareholders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initial Plan, we were able to issue up to an aggregate total of 1,500,000 incentive or non-qualified options to purchase our common stock, or stock awards. In March, 2016, the Board expanded the number of shares issuable under the plan to 4,000,000.</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2015</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available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for future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Securities to</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issuance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be issued upon</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exercise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w:t>
            </w:r>
          </w:p>
        </w:tc>
        <w:tc>
          <w:tcPr>
            <w:tcW w:w="0" w:type="dxa"/>
            <w:vAlign w:val="bottom"/>
          </w:tcPr>
          <w:p>
            <w:pPr>
              <w:spacing w:after="0"/>
              <w:rPr>
                <w:sz w:val="1"/>
                <w:szCs w:val="1"/>
                <w:color w:val="auto"/>
              </w:rPr>
            </w:pPr>
          </w:p>
        </w:tc>
      </w:tr>
      <w:tr>
        <w:trPr>
          <w:trHeight w:val="216"/>
        </w:trPr>
        <w:tc>
          <w:tcPr>
            <w:tcW w:w="7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 Compensation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exercise</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7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Plans Not Approved by</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of outstanding</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41"/>
        </w:trPr>
        <w:tc>
          <w:tcPr>
            <w:tcW w:w="7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the Shareholders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w:t>
            </w:r>
          </w:p>
        </w:tc>
        <w:tc>
          <w:tcPr>
            <w:tcW w:w="1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options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216"/>
        </w:trPr>
        <w:tc>
          <w:tcPr>
            <w:tcW w:w="7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(b)</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 Equity Compensation Plan</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Other Equity Compensation (includes options and warrants)</w:t>
            </w:r>
          </w:p>
        </w:tc>
        <w:tc>
          <w:tcPr>
            <w:tcW w:w="1160" w:type="dxa"/>
            <w:vAlign w:val="bottom"/>
          </w:tcPr>
          <w:p>
            <w:pPr>
              <w:jc w:val="right"/>
              <w:spacing w:after="0"/>
              <w:rPr>
                <w:sz w:val="20"/>
                <w:szCs w:val="20"/>
                <w:color w:val="auto"/>
              </w:rPr>
            </w:pPr>
            <w:r>
              <w:rPr>
                <w:rFonts w:ascii="Arial" w:cs="Arial" w:eastAsia="Arial" w:hAnsi="Arial"/>
                <w:sz w:val="18"/>
                <w:szCs w:val="18"/>
                <w:color w:val="auto"/>
              </w:rPr>
              <w:t>2,609,139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2"/>
            <w:vMerge w:val="continue"/>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3,709,583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below relates to our issuances of securities without registration under the Securities Act of 1933 during the reporting period which were not previously included in a Quarterly Report on Form 10-Q or Current Report on Form 8-K.</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2015, we issued 12,500 shares of restricted common stock to our outside Directors as part of our director compensation package for services rendered in the fourth quarter of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 for the Years Ended December 31, 2015 and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total revenue reported for the year ended December 31, 2015 was approximately $7.2 million, an increase of 11% from the year ended December 31, 2014. This increased revenue resulted from increases in all major revenue categories including setup fees, reporting fees, and e-Coupon distributions and resulted from both increased pharmaceutical brands being promoted and expanded distribution channels. We expect continued revenue increases in 2016.</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the pharmaceutical industry is dominated by large companies with multiple brands, our revenue is concentrated in a relatively small number of companies. We have approximately 25 pharmaceutical companies as customers and we received approximately 52% of our revenue in the year ended December 31, 2015 from our largest 5 customers, with approximately 20% of revenue from our largest customer. During the year ended December 31, 2014, approximately 64% of revenue came from our 5 largest customers, with 20% from our largest customer. While we are still dependent on major customers, as our customer base expands, we are becoming less dependent on any one customer.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cost of sales, composed of revenue share expense, increased in the year ended December 31, 2015, over the year ended December 31, 2014 as a result of the revenue increases. In addition, revenue share expense as a percentage of revenue in 2015 increased over 2014 from approximately 49.5% in the year ended December 31, 2014 to approximately 50.1% in the year ended December 31, 2015.</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increases in revenue share expense as a percentage of revenue result from a combination of factors, including product mix whereby a larger percentage of overall revenues are subject to revenue share. We expect revenue share expense as a percentage of revenue in 2016 to continue at levels similar to, or greater than, that of 2015 as revenues subject to revenue share expense continues to increase as a percentage of our overall revenues. In addition, our comarketing agreement with WPP requires us to pay revenue share to WPP agencies on new brands secured for us by those agencies. If we successfully expand revenue through the WPP relationship, our revenue share percentage will increase.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decreased to approximately $4.2 million for the year ended December 31, 2015 from approximately $4.3 million for the year ended December 31, 2014, a decrease of approximately 3%.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ind w:left="100"/>
              <w:spacing w:after="0"/>
              <w:rPr>
                <w:sz w:val="20"/>
                <w:szCs w:val="20"/>
                <w:color w:val="auto"/>
              </w:rPr>
            </w:pPr>
            <w:r>
              <w:rPr>
                <w:rFonts w:ascii="Arial" w:cs="Arial" w:eastAsia="Arial" w:hAnsi="Arial"/>
                <w:sz w:val="18"/>
                <w:szCs w:val="18"/>
                <w:color w:val="auto"/>
              </w:rPr>
              <w:t>Years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5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1,788,471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Professional Fees</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397,566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Board Compensation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Investor Relations</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80,618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47,927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333,950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290,371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Exclusivity Fee</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151,826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140,101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4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3,614,776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581,106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1,172,242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Lawsuit settlement</w:t>
            </w:r>
          </w:p>
        </w:tc>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Total Operating Expense</w:t>
            </w:r>
          </w:p>
        </w:tc>
        <w:tc>
          <w:tcPr>
            <w:tcW w:w="5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4,195,882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4,307,756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880" w:type="dxa"/>
            <w:vAlign w:val="bottom"/>
            <w:vMerge w:val="restart"/>
          </w:tcPr>
          <w:p>
            <w:pPr>
              <w:jc w:val="right"/>
              <w:ind w:right="2910"/>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The main reasons for the overall decrease in operating expenses in 2015 are the substantial decrease in stock based compensation from 2014 to 2015 and the absence of a lawsuit settlement in 2015. Ignoring those items, operating expenses increased approximately 32% as a result of building a solid base for future growth.</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Within the remaining operating expenses, there were a variety of increases. Salaries, wages and benefits increased as a result of additional staff in 2015, as well as bonuses to executive officers totaling $195,000. We expect additional increases in compensation in 2016 as we hire additional high-level staff, as well as the impact of a full year of 2015 hires and the payout and severance benefits we are required to pay to our prior CEO. Professional fees increased as a result of the litigation in process, primarily related to the PDR/LDM lawsuit. We expect a continued increase in professional fees in 2016 as a result of increased activity on our litigation. Advertising and promotion increased as a result of our sponsorship of e-Coupon conferences. Development and maintenance increased as a result of expansion of our system capacity and capabilities and the move to a more robust Oracle database. Exclusivity fees of $250,000 in 2015 resulted from the initial payment related to the Allscripts Touchworks integration. An additional $650,000 is due under the Allscripts Touchworks agreement when e-Coupon functionality becomes widely available within the Touchworks platform, which is expected to be in early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finished the year ended December 31, 2015 with a loss of approximately $600,000, as compared to a loss of approximately $1.0 million during the year ended December 31, 2014. The reasons for specific components are discussed above. Overall, we had an increase in revenue and resulting gross margin as well as decreased operating expenses. In addition, the loss in both periods included noncash items. We had approximately $600,000 of stock based compensation and $335,000 of depreciation and amortization in 2015, and approximately $1.2 million related to stock based compensation and approximately $265,000 of depreciation and amortization in 2014. Excluding noncash expenses, we would have been profitable in both years. In addition, ignoring working capital changes, we had positive cash flow from operations in both years - approximately $325,000 during the year ended December 31, 2015 and approximately $400,000 during the year ended December 31, 2014.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Quarterly Financial Information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20" w:type="dxa"/>
            <w:vAlign w:val="bottom"/>
            <w:gridSpan w:val="6"/>
          </w:tcPr>
          <w:p>
            <w:pPr>
              <w:spacing w:after="0"/>
              <w:rPr>
                <w:sz w:val="20"/>
                <w:szCs w:val="20"/>
                <w:color w:val="auto"/>
              </w:rPr>
            </w:pPr>
            <w:r>
              <w:rPr>
                <w:rFonts w:ascii="Arial" w:cs="Arial" w:eastAsia="Arial" w:hAnsi="Arial"/>
                <w:sz w:val="18"/>
                <w:szCs w:val="18"/>
                <w:color w:val="auto"/>
                <w:w w:val="97"/>
              </w:rPr>
              <w:t>Following is our quarterly operating results for 2015 for information purposes.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First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Second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Third</w:t>
            </w:r>
          </w:p>
        </w:tc>
        <w:tc>
          <w:tcPr>
            <w:tcW w:w="20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Fourth</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Quarter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Quarter</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Quarter</w:t>
            </w: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Quarter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1,487,553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1,705,457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2,007,409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2,020,259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7,220,678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756,440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882,327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929,020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731,113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823,130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962,994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1,081,239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842,610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980,659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875,425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4,195,882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(157,529)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87,569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(415,949)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87,937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87,937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2015, we had total current assets of approximately $11.1 million, compared with current liabilities of approximately $3.4 million, resulting in working capital of approximately $6.7 million and a current ratio of approximately 3.3 to 1. This significant improvement over the working capital balance of approximately $3.2 million and the current ratio of 2.3 to 1 at December 31, 2014 is largely a result of our financing transaction with WPP. We are currently generating positive cash flow from operations and we expect our working capital balance to continue to improve in future quarters.</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operating activities generated approximately $500,000 in the year ended December 31, 2015 as comparted with approximately $50,000 used by operating activities in the year ended December 31, 2014. The positive cash flow from operations in the year ended December 31, 2015 resulted from positive cash flow from operations prior to working capital items of approximately $350,000 and approximately $250,000 of working capital improvements. We expect to have positive cash flow from operations in future quarters in 2016, however severance payments due at the end of March 2016, may make that unlikely in Q1.</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used approximately $400,000 in investing activities in the year ended December 31, 2014 compared with about $100,000 in the year ended December 31, 2015. These investment activities relate to improvements being implemented in our SampleMD website, as well as protection and expansion of our patent portfolio. These items both represent important components of our business strategy moving forward. The 2014 was significantly higher as a result of the launch of our upgraded SampleMD 2.0 platform in early 2014, as well as the initial work on our migration to Oracle Software started in 2014 and completed in 2015.</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Financing activities provided approximately $4.3 million in the year ended December 31, 2015, resulting from the strategic investment of approximately $4.7 million by WPP, net of costs associated with the investment. Financing activities provided approximately $2.8 million during the year ended December 31, 2014. This results from a $10 million equity raise in March 2014, partially offset by costs of the raise and redemption of all the common stock, preferred stock, and warrants held by a major shareholder that significantly reduced the potential fully diluted shares count, even when considering the new equity issued. With the financing and cash on hand, we have sufficient cash to operate our business for more than the next twelve months and we do not anticipate the need to raise additional equity for operating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accounting policies are discussed in detail in the footnotes to our financial statements included in this Annual Report on Form 10-K for the year ended December 31, 2015, however we consider our critical accounting policies to be those related to determining the amount of revenue to be billed, the timing of revenue recognition, calculation of revenue share expense, stock-based compensation, capitalization and related amortization of intangible assets, and impairment of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expect the adoption of recently issued accounting pronouncements to have a significant impact on our results of operation, financial position or cash flow.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2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F-1</w:t>
      </w:r>
      <w:r>
        <w:rPr>
          <w:sz w:val="20"/>
          <w:szCs w:val="20"/>
          <w:color w:val="auto"/>
        </w:rPr>
        <w:tab/>
      </w:r>
      <w:hyperlink w:anchor="page23">
        <w:r>
          <w:rPr>
            <w:rFonts w:ascii="Arial" w:cs="Arial" w:eastAsia="Arial" w:hAnsi="Arial"/>
            <w:sz w:val="16"/>
            <w:szCs w:val="16"/>
            <w:u w:val="single" w:color="auto"/>
            <w:color w:val="0000EE"/>
          </w:rPr>
          <w:t>Report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F-2</w:t>
      </w:r>
      <w:r>
        <w:rPr>
          <w:sz w:val="20"/>
          <w:szCs w:val="20"/>
          <w:color w:val="auto"/>
        </w:rPr>
        <w:tab/>
      </w:r>
      <w:hyperlink w:anchor="page24">
        <w:r>
          <w:rPr>
            <w:rFonts w:ascii="Arial" w:cs="Arial" w:eastAsia="Arial" w:hAnsi="Arial"/>
            <w:sz w:val="16"/>
            <w:szCs w:val="16"/>
            <w:u w:val="single" w:color="auto"/>
            <w:color w:val="0000EE"/>
          </w:rPr>
          <w:t>Consolidated Balance Sheets as of December 31, 2015 and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F-3</w:t>
      </w:r>
      <w:r>
        <w:rPr>
          <w:sz w:val="20"/>
          <w:szCs w:val="20"/>
          <w:color w:val="auto"/>
        </w:rPr>
        <w:tab/>
      </w:r>
      <w:hyperlink w:anchor="page25">
        <w:r>
          <w:rPr>
            <w:rFonts w:ascii="Arial" w:cs="Arial" w:eastAsia="Arial" w:hAnsi="Arial"/>
            <w:sz w:val="16"/>
            <w:szCs w:val="16"/>
            <w:u w:val="single" w:color="auto"/>
            <w:color w:val="0000EE"/>
          </w:rPr>
          <w:t>Consolidated Statements of Operations for the years ended December 31, 2015 and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right"/>
        <w:ind w:right="3059"/>
        <w:spacing w:after="0" w:line="530"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F-4      </w:t>
      </w:r>
      <w:hyperlink w:anchor="page26">
        <w:r>
          <w:rPr>
            <w:rFonts w:ascii="Arial" w:cs="Arial" w:eastAsia="Arial" w:hAnsi="Arial"/>
            <w:sz w:val="17"/>
            <w:szCs w:val="17"/>
            <w:u w:val="single" w:color="auto"/>
            <w:color w:val="0000EE"/>
          </w:rPr>
          <w:t>Consolidated Statement of Stockholders’ Equity for the year ended December 31, 2014;</w:t>
        </w:r>
      </w:hyperlink>
      <w:r>
        <w:rPr>
          <w:rFonts w:ascii="Arial" w:cs="Arial" w:eastAsia="Arial" w:hAnsi="Arial"/>
          <w:sz w:val="17"/>
          <w:szCs w:val="17"/>
          <w:color w:val="auto"/>
        </w:rPr>
        <w:t xml:space="preserve"> </w:t>
      </w:r>
      <w:hyperlink w:anchor="page27">
        <w:r>
          <w:rPr>
            <w:rFonts w:ascii="Arial" w:cs="Arial" w:eastAsia="Arial" w:hAnsi="Arial"/>
            <w:sz w:val="17"/>
            <w:szCs w:val="17"/>
            <w:u w:val="single" w:color="auto"/>
            <w:color w:val="0000EE"/>
          </w:rPr>
          <w:t>Consolidated Statement of Stockholders’ Equity for the year ended December 31,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F-5</w:t>
      </w:r>
      <w:r>
        <w:rPr>
          <w:sz w:val="20"/>
          <w:szCs w:val="20"/>
          <w:color w:val="auto"/>
        </w:rPr>
        <w:tab/>
      </w:r>
      <w:hyperlink w:anchor="page28">
        <w:r>
          <w:rPr>
            <w:rFonts w:ascii="Arial" w:cs="Arial" w:eastAsia="Arial" w:hAnsi="Arial"/>
            <w:sz w:val="16"/>
            <w:szCs w:val="16"/>
            <w:u w:val="single" w:color="auto"/>
            <w:color w:val="0000EE"/>
          </w:rPr>
          <w:t>Consolidated Statements of Cash Flows for the years ended December 31, 2015 and 2014;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F-6</w:t>
      </w:r>
      <w:r>
        <w:rPr>
          <w:sz w:val="20"/>
          <w:szCs w:val="20"/>
          <w:color w:val="auto"/>
        </w:rPr>
        <w:tab/>
      </w:r>
      <w:hyperlink w:anchor="page29">
        <w:r>
          <w:rPr>
            <w:rFonts w:ascii="Arial" w:cs="Arial" w:eastAsia="Arial" w:hAnsi="Arial"/>
            <w:sz w:val="16"/>
            <w:szCs w:val="16"/>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5201 Eden Ave.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Edina, MN 55436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Office: 630-277-2330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763-592-8238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OptimizeRx Corporation as of December 31, 2015 and 2014, and the related consolidated statements of operations, shareholders' equity (deficit), and cash flows for the years then ended. These consolidated financial statements are the responsibility of the Company's management. Our responsibility is to express an opinion on these consolidated financial statements based on our audits.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2015 and 2014 and the results of their operations and their cash flows for years ended December 31, 2015 and 2014,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Consolidated Balance Sheets as of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December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December 31,</w:t>
            </w:r>
          </w:p>
        </w:tc>
        <w:tc>
          <w:tcPr>
            <w:tcW w:w="8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8,207,565</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2,847,450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2,100,381</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70,623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11,125,638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5,575,447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832,884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930,854</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Web development costs, net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340,470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504,643</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deposit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1,178,403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1,440,546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12,314,280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7,028,806</w:t>
            </w:r>
          </w:p>
        </w:tc>
        <w:tc>
          <w:tcPr>
            <w:tcW w:w="0" w:type="dxa"/>
            <w:vAlign w:val="bottom"/>
          </w:tcPr>
          <w:p>
            <w:pPr>
              <w:spacing w:after="0"/>
              <w:rPr>
                <w:sz w:val="1"/>
                <w:szCs w:val="1"/>
                <w:color w:val="auto"/>
              </w:rPr>
            </w:pPr>
          </w:p>
        </w:tc>
      </w:tr>
      <w:tr>
        <w:trPr>
          <w:trHeight w:val="21"/>
        </w:trPr>
        <w:tc>
          <w:tcPr>
            <w:tcW w:w="8620" w:type="dxa"/>
            <w:vAlign w:val="bottom"/>
            <w:tcBorders>
              <w:top w:val="single" w:sz="8" w:color="CCEEFF"/>
              <w:bottom w:val="single" w:sz="8" w:color="CCEEFF"/>
            </w:tcBorders>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Accounts payable - trade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212,191</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200,372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related party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25,459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2,355,608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1,502,761</w:t>
            </w:r>
          </w:p>
        </w:tc>
        <w:tc>
          <w:tcPr>
            <w:tcW w:w="0" w:type="dxa"/>
            <w:vAlign w:val="bottom"/>
          </w:tcPr>
          <w:p>
            <w:pPr>
              <w:spacing w:after="0"/>
              <w:rPr>
                <w:sz w:val="1"/>
                <w:szCs w:val="1"/>
                <w:color w:val="auto"/>
              </w:rPr>
            </w:pPr>
          </w:p>
        </w:tc>
      </w:tr>
      <w:tr>
        <w:trPr>
          <w:trHeight w:val="237"/>
        </w:trPr>
        <w:tc>
          <w:tcPr>
            <w:tcW w:w="86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227,002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120,130</w:t>
            </w:r>
          </w:p>
        </w:tc>
        <w:tc>
          <w:tcPr>
            <w:tcW w:w="0" w:type="dxa"/>
            <w:vAlign w:val="bottom"/>
          </w:tcPr>
          <w:p>
            <w:pPr>
              <w:spacing w:after="0"/>
              <w:rPr>
                <w:sz w:val="1"/>
                <w:szCs w:val="1"/>
                <w:color w:val="auto"/>
              </w:rPr>
            </w:pPr>
          </w:p>
        </w:tc>
      </w:tr>
      <w:tr>
        <w:trPr>
          <w:trHeight w:val="236"/>
        </w:trPr>
        <w:tc>
          <w:tcPr>
            <w:tcW w:w="8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3,371,784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2,418,722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2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Preferred stock, $.001 par value, 10,000,000 shares authorized, no issued and outstanding at December 31, 2015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2014,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$.001 par value, 500,000,000 shares authorized, 29,030,925 and 22,867,319 shares issued and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340"/>
              <w:spacing w:after="0"/>
              <w:rPr>
                <w:sz w:val="20"/>
                <w:szCs w:val="20"/>
                <w:color w:val="auto"/>
              </w:rPr>
            </w:pPr>
            <w:r>
              <w:rPr>
                <w:rFonts w:ascii="Arial" w:cs="Arial" w:eastAsia="Arial" w:hAnsi="Arial"/>
                <w:sz w:val="18"/>
                <w:szCs w:val="18"/>
                <w:color w:val="auto"/>
              </w:rPr>
              <w:t>outstanding at December 31, 2015 and 2014, respectively</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29,031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22,867</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warrants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2,329,508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2,153,295</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32,185,499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27,595,609</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Payable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1,132,148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963,063</w:t>
            </w:r>
          </w:p>
        </w:tc>
        <w:tc>
          <w:tcPr>
            <w:tcW w:w="0" w:type="dxa"/>
            <w:vAlign w:val="bottom"/>
          </w:tcPr>
          <w:p>
            <w:pPr>
              <w:spacing w:after="0"/>
              <w:rPr>
                <w:sz w:val="1"/>
                <w:szCs w:val="1"/>
                <w:color w:val="auto"/>
              </w:rPr>
            </w:pPr>
          </w:p>
        </w:tc>
      </w:tr>
      <w:tr>
        <w:trPr>
          <w:trHeight w:val="216"/>
        </w:trPr>
        <w:tc>
          <w:tcPr>
            <w:tcW w:w="8620" w:type="dxa"/>
            <w:vAlign w:val="bottom"/>
          </w:tcPr>
          <w:p>
            <w:pPr>
              <w:ind w:left="340"/>
              <w:spacing w:after="0"/>
              <w:rPr>
                <w:sz w:val="20"/>
                <w:szCs w:val="20"/>
                <w:color w:val="auto"/>
              </w:rPr>
            </w:pPr>
            <w:r>
              <w:rPr>
                <w:rFonts w:ascii="Arial" w:cs="Arial" w:eastAsia="Arial" w:hAnsi="Arial"/>
                <w:sz w:val="18"/>
                <w:szCs w:val="18"/>
                <w:color w:val="auto"/>
              </w:rPr>
              <w:t>Deferred stock 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(26,719,890)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(26,124,750)</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8,942,496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4,610,084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12,314,280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7,028,806</w:t>
            </w:r>
          </w:p>
        </w:tc>
        <w:tc>
          <w:tcPr>
            <w:tcW w:w="0" w:type="dxa"/>
            <w:vAlign w:val="bottom"/>
          </w:tcPr>
          <w:p>
            <w:pPr>
              <w:spacing w:after="0"/>
              <w:rPr>
                <w:sz w:val="1"/>
                <w:szCs w:val="1"/>
                <w:color w:val="auto"/>
              </w:rPr>
            </w:pPr>
          </w:p>
        </w:tc>
      </w:tr>
      <w:tr>
        <w:trPr>
          <w:trHeight w:val="21"/>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31,</w:t>
            </w:r>
          </w:p>
        </w:tc>
        <w:tc>
          <w:tcPr>
            <w:tcW w:w="20" w:type="dxa"/>
            <w:vAlign w:val="bottom"/>
          </w:tcPr>
          <w:p>
            <w:pPr>
              <w:spacing w:after="0"/>
              <w:rPr>
                <w:sz w:val="19"/>
                <w:szCs w:val="19"/>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7,220,678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6,502,962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REVENUE SHARE EXPENSE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3,622,203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3,221,534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3,598,475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3,281,428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spacing w:after="0" w:line="203" w:lineRule="exact"/>
              <w:rPr>
                <w:sz w:val="20"/>
                <w:szCs w:val="20"/>
                <w:color w:val="auto"/>
              </w:rPr>
            </w:pPr>
            <w:r>
              <w:rPr>
                <w:rFonts w:ascii="Arial" w:cs="Arial" w:eastAsia="Arial" w:hAnsi="Arial"/>
                <w:sz w:val="18"/>
                <w:szCs w:val="18"/>
                <w:color w:val="auto"/>
              </w:rPr>
              <w:t>EXPENSES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581,106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1,172,242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333,950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Lawsuit settlement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expenses</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3,280,826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2,471,174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4,195,882</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4,307,756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(597,407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(1,026,328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spacing w:after="0" w:line="203" w:lineRule="exact"/>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INCOME</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0" w:type="dxa"/>
            <w:vAlign w:val="bottom"/>
          </w:tcPr>
          <w:p>
            <w:pPr>
              <w:ind w:left="160"/>
              <w:spacing w:after="0" w:line="203" w:lineRule="exact"/>
              <w:rPr>
                <w:sz w:val="20"/>
                <w:szCs w:val="20"/>
                <w:color w:val="auto"/>
              </w:rPr>
            </w:pPr>
            <w:r>
              <w:rPr>
                <w:rFonts w:ascii="Arial" w:cs="Arial" w:eastAsia="Arial" w:hAnsi="Arial"/>
                <w:sz w:val="18"/>
                <w:szCs w:val="18"/>
                <w:color w:val="auto"/>
              </w:rPr>
              <w:t>LOSS BEFORE PROVISION FOR INCOME TAXES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(595,140)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(1,025,393)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400" w:type="dxa"/>
            <w:vAlign w:val="bottom"/>
            <w:vMerge w:val="continue"/>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(595,140</w:t>
            </w:r>
          </w:p>
        </w:tc>
        <w:tc>
          <w:tcPr>
            <w:tcW w:w="220" w:type="dxa"/>
            <w:vAlign w:val="bottom"/>
            <w:vMerge w:val="continue"/>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(1,025,393</w:t>
            </w: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BASIC</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24,562,438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22,382,415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0" w:type="dxa"/>
            <w:vAlign w:val="bottom"/>
            <w:vMerge w:val="restart"/>
          </w:tcPr>
          <w:p>
            <w:pPr>
              <w:spacing w:after="0"/>
              <w:rPr>
                <w:sz w:val="20"/>
                <w:szCs w:val="20"/>
                <w:color w:val="auto"/>
              </w:rPr>
            </w:pPr>
            <w:r>
              <w:rPr>
                <w:rFonts w:ascii="Arial" w:cs="Arial" w:eastAsia="Arial" w:hAnsi="Arial"/>
                <w:sz w:val="18"/>
                <w:szCs w:val="18"/>
                <w:color w:val="auto"/>
                <w:w w:val="95"/>
              </w:rPr>
              <w:t>NET LOSS PER SHARE: BASIC (no separate per share amount shown for diluted because loss is antidilutive)</w:t>
            </w: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Balance,</w:t>
      </w:r>
    </w:p>
    <w:p>
      <w:pPr>
        <w:spacing w:after="0"/>
        <w:rPr>
          <w:sz w:val="20"/>
          <w:szCs w:val="20"/>
          <w:color w:val="auto"/>
        </w:rPr>
      </w:pPr>
      <w:r>
        <w:rPr>
          <w:rFonts w:ascii="Arial" w:cs="Arial" w:eastAsia="Arial" w:hAnsi="Arial"/>
          <w:sz w:val="13"/>
          <w:szCs w:val="13"/>
          <w:color w:val="auto"/>
        </w:rPr>
        <w:t>December 31,</w:t>
      </w:r>
    </w:p>
    <w:p>
      <w:pPr>
        <w:spacing w:after="0" w:line="221" w:lineRule="auto"/>
        <w:rPr>
          <w:sz w:val="20"/>
          <w:szCs w:val="20"/>
          <w:color w:val="auto"/>
        </w:rPr>
      </w:pPr>
      <w:r>
        <w:rPr>
          <w:rFonts w:ascii="Arial" w:cs="Arial" w:eastAsia="Arial" w:hAnsi="Arial"/>
          <w:sz w:val="14"/>
          <w:szCs w:val="14"/>
          <w:color w:val="auto"/>
        </w:rPr>
        <w:t>2013</w:t>
      </w:r>
    </w:p>
    <w:p>
      <w:pPr>
        <w:spacing w:after="0" w:line="221" w:lineRule="auto"/>
        <w:rPr>
          <w:sz w:val="20"/>
          <w:szCs w:val="20"/>
          <w:color w:val="auto"/>
        </w:rPr>
      </w:pPr>
      <w:r>
        <w:rPr>
          <w:rFonts w:ascii="Arial" w:cs="Arial" w:eastAsia="Arial" w:hAnsi="Arial"/>
          <w:sz w:val="14"/>
          <w:szCs w:val="14"/>
          <w:color w:val="auto"/>
        </w:rPr>
        <w:t>Issuance of</w:t>
      </w:r>
    </w:p>
    <w:p>
      <w:pPr>
        <w:spacing w:after="0"/>
        <w:rPr>
          <w:sz w:val="20"/>
          <w:szCs w:val="20"/>
          <w:color w:val="auto"/>
        </w:rPr>
      </w:pPr>
      <w:r>
        <w:rPr>
          <w:rFonts w:ascii="Arial" w:cs="Arial" w:eastAsia="Arial" w:hAnsi="Arial"/>
          <w:sz w:val="13"/>
          <w:szCs w:val="13"/>
          <w:color w:val="auto"/>
        </w:rPr>
        <w:t>stock options:</w:t>
      </w:r>
    </w:p>
    <w:p>
      <w:pPr>
        <w:ind w:left="180"/>
        <w:spacing w:after="0" w:line="221" w:lineRule="auto"/>
        <w:rPr>
          <w:sz w:val="20"/>
          <w:szCs w:val="20"/>
          <w:color w:val="auto"/>
        </w:rPr>
      </w:pPr>
      <w:r>
        <w:rPr>
          <w:rFonts w:ascii="Arial" w:cs="Arial" w:eastAsia="Arial" w:hAnsi="Arial"/>
          <w:sz w:val="14"/>
          <w:szCs w:val="14"/>
          <w:color w:val="auto"/>
        </w:rPr>
        <w:t>to</w:t>
      </w:r>
    </w:p>
    <w:p>
      <w:pPr>
        <w:ind w:left="180"/>
        <w:spacing w:after="0"/>
        <w:rPr>
          <w:sz w:val="20"/>
          <w:szCs w:val="20"/>
          <w:color w:val="auto"/>
        </w:rPr>
      </w:pPr>
      <w:r>
        <w:rPr>
          <w:rFonts w:ascii="Arial" w:cs="Arial" w:eastAsia="Arial" w:hAnsi="Arial"/>
          <w:sz w:val="13"/>
          <w:szCs w:val="13"/>
          <w:color w:val="auto"/>
        </w:rPr>
        <w:t>employees</w:t>
      </w:r>
    </w:p>
    <w:p>
      <w:pPr>
        <w:ind w:left="180"/>
        <w:spacing w:after="0" w:line="221" w:lineRule="auto"/>
        <w:rPr>
          <w:sz w:val="20"/>
          <w:szCs w:val="20"/>
          <w:color w:val="auto"/>
        </w:rPr>
      </w:pPr>
      <w:r>
        <w:rPr>
          <w:rFonts w:ascii="Arial" w:cs="Arial" w:eastAsia="Arial" w:hAnsi="Arial"/>
          <w:sz w:val="14"/>
          <w:szCs w:val="14"/>
          <w:color w:val="auto"/>
        </w:rPr>
        <w:t>to</w:t>
      </w:r>
    </w:p>
    <w:p>
      <w:pPr>
        <w:ind w:left="180"/>
        <w:spacing w:after="0"/>
        <w:rPr>
          <w:sz w:val="20"/>
          <w:szCs w:val="20"/>
          <w:color w:val="auto"/>
        </w:rPr>
      </w:pPr>
      <w:r>
        <w:rPr>
          <w:rFonts w:ascii="Arial" w:cs="Arial" w:eastAsia="Arial" w:hAnsi="Arial"/>
          <w:sz w:val="12"/>
          <w:szCs w:val="12"/>
          <w:color w:val="auto"/>
        </w:rPr>
        <w:t>consultants</w:t>
      </w:r>
    </w:p>
    <w:p>
      <w:pPr>
        <w:spacing w:after="0" w:line="11" w:lineRule="exact"/>
        <w:rPr>
          <w:sz w:val="20"/>
          <w:szCs w:val="20"/>
          <w:color w:val="auto"/>
        </w:rPr>
      </w:pPr>
    </w:p>
    <w:p>
      <w:pPr>
        <w:ind w:right="160"/>
        <w:spacing w:after="0" w:line="238" w:lineRule="auto"/>
        <w:rPr>
          <w:sz w:val="20"/>
          <w:szCs w:val="20"/>
          <w:color w:val="auto"/>
        </w:rPr>
      </w:pPr>
      <w:r>
        <w:rPr>
          <w:rFonts w:ascii="Arial" w:cs="Arial" w:eastAsia="Arial" w:hAnsi="Arial"/>
          <w:sz w:val="13"/>
          <w:szCs w:val="13"/>
          <w:color w:val="auto"/>
        </w:rPr>
        <w:t>Issuance of common stock:</w:t>
      </w:r>
    </w:p>
    <w:p>
      <w:pPr>
        <w:ind w:left="180"/>
        <w:spacing w:after="0" w:line="222" w:lineRule="auto"/>
        <w:rPr>
          <w:sz w:val="20"/>
          <w:szCs w:val="20"/>
          <w:color w:val="auto"/>
        </w:rPr>
      </w:pPr>
      <w:r>
        <w:rPr>
          <w:rFonts w:ascii="Arial" w:cs="Arial" w:eastAsia="Arial" w:hAnsi="Arial"/>
          <w:sz w:val="14"/>
          <w:szCs w:val="14"/>
          <w:color w:val="auto"/>
        </w:rPr>
        <w:t>for</w:t>
      </w:r>
    </w:p>
    <w:p>
      <w:pPr>
        <w:ind w:left="180"/>
        <w:spacing w:after="0" w:line="222" w:lineRule="auto"/>
        <w:rPr>
          <w:sz w:val="20"/>
          <w:szCs w:val="20"/>
          <w:color w:val="auto"/>
        </w:rPr>
      </w:pPr>
      <w:r>
        <w:rPr>
          <w:rFonts w:ascii="Arial" w:cs="Arial" w:eastAsia="Arial" w:hAnsi="Arial"/>
          <w:sz w:val="14"/>
          <w:szCs w:val="14"/>
          <w:color w:val="auto"/>
        </w:rPr>
        <w:t>services</w:t>
      </w:r>
    </w:p>
    <w:p>
      <w:pPr>
        <w:ind w:left="180"/>
        <w:spacing w:after="0" w:line="221" w:lineRule="auto"/>
        <w:rPr>
          <w:sz w:val="20"/>
          <w:szCs w:val="20"/>
          <w:color w:val="auto"/>
        </w:rPr>
      </w:pPr>
      <w:r>
        <w:rPr>
          <w:rFonts w:ascii="Arial" w:cs="Arial" w:eastAsia="Arial" w:hAnsi="Arial"/>
          <w:sz w:val="14"/>
          <w:szCs w:val="14"/>
          <w:color w:val="auto"/>
        </w:rPr>
        <w:t>for cash</w:t>
      </w:r>
    </w:p>
    <w:p>
      <w:pPr>
        <w:ind w:left="180"/>
        <w:spacing w:after="0"/>
        <w:rPr>
          <w:sz w:val="20"/>
          <w:szCs w:val="20"/>
          <w:color w:val="auto"/>
        </w:rPr>
      </w:pPr>
      <w:r>
        <w:rPr>
          <w:rFonts w:ascii="Arial" w:cs="Arial" w:eastAsia="Arial" w:hAnsi="Arial"/>
          <w:sz w:val="13"/>
          <w:szCs w:val="13"/>
          <w:color w:val="auto"/>
        </w:rPr>
        <w:t>for warrant</w:t>
      </w:r>
    </w:p>
    <w:p>
      <w:pPr>
        <w:ind w:left="180"/>
        <w:spacing w:after="0" w:line="221" w:lineRule="auto"/>
        <w:rPr>
          <w:sz w:val="20"/>
          <w:szCs w:val="20"/>
          <w:color w:val="auto"/>
        </w:rPr>
      </w:pPr>
      <w:r>
        <w:rPr>
          <w:rFonts w:ascii="Arial" w:cs="Arial" w:eastAsia="Arial" w:hAnsi="Arial"/>
          <w:sz w:val="14"/>
          <w:szCs w:val="14"/>
          <w:color w:val="auto"/>
        </w:rPr>
        <w:t>exercise</w:t>
      </w:r>
    </w:p>
    <w:p>
      <w:pPr>
        <w:spacing w:after="0" w:line="221" w:lineRule="auto"/>
        <w:rPr>
          <w:sz w:val="20"/>
          <w:szCs w:val="20"/>
          <w:color w:val="auto"/>
        </w:rPr>
      </w:pPr>
      <w:r>
        <w:rPr>
          <w:rFonts w:ascii="Arial" w:cs="Arial" w:eastAsia="Arial" w:hAnsi="Arial"/>
          <w:sz w:val="14"/>
          <w:szCs w:val="14"/>
          <w:color w:val="auto"/>
        </w:rPr>
        <w:t>Issue</w:t>
      </w:r>
    </w:p>
    <w:p>
      <w:pPr>
        <w:spacing w:after="0" w:line="222" w:lineRule="auto"/>
        <w:rPr>
          <w:sz w:val="20"/>
          <w:szCs w:val="20"/>
          <w:color w:val="auto"/>
        </w:rPr>
      </w:pPr>
      <w:r>
        <w:rPr>
          <w:rFonts w:ascii="Arial" w:cs="Arial" w:eastAsia="Arial" w:hAnsi="Arial"/>
          <w:sz w:val="14"/>
          <w:szCs w:val="14"/>
          <w:color w:val="auto"/>
        </w:rPr>
        <w:t>warrants for</w:t>
      </w:r>
    </w:p>
    <w:p>
      <w:pPr>
        <w:spacing w:after="0" w:line="221" w:lineRule="auto"/>
        <w:rPr>
          <w:sz w:val="20"/>
          <w:szCs w:val="20"/>
          <w:color w:val="auto"/>
        </w:rPr>
      </w:pPr>
      <w:r>
        <w:rPr>
          <w:rFonts w:ascii="Arial" w:cs="Arial" w:eastAsia="Arial" w:hAnsi="Arial"/>
          <w:sz w:val="14"/>
          <w:szCs w:val="14"/>
          <w:color w:val="auto"/>
        </w:rPr>
        <w:t>equity raise</w:t>
      </w:r>
    </w:p>
    <w:p>
      <w:pPr>
        <w:spacing w:after="0" w:line="222" w:lineRule="auto"/>
        <w:rPr>
          <w:sz w:val="20"/>
          <w:szCs w:val="20"/>
          <w:color w:val="auto"/>
        </w:rPr>
      </w:pPr>
      <w:r>
        <w:rPr>
          <w:rFonts w:ascii="Arial" w:cs="Arial" w:eastAsia="Arial" w:hAnsi="Arial"/>
          <w:sz w:val="14"/>
          <w:szCs w:val="14"/>
          <w:color w:val="auto"/>
        </w:rPr>
        <w:t>Issue stock</w:t>
      </w:r>
    </w:p>
    <w:p>
      <w:pPr>
        <w:spacing w:after="0" w:line="221" w:lineRule="auto"/>
        <w:rPr>
          <w:sz w:val="20"/>
          <w:szCs w:val="20"/>
          <w:color w:val="auto"/>
        </w:rPr>
      </w:pPr>
      <w:r>
        <w:rPr>
          <w:rFonts w:ascii="Arial" w:cs="Arial" w:eastAsia="Arial" w:hAnsi="Arial"/>
          <w:sz w:val="14"/>
          <w:szCs w:val="14"/>
          <w:color w:val="auto"/>
        </w:rPr>
        <w:t>rights to</w:t>
      </w:r>
    </w:p>
    <w:p>
      <w:pPr>
        <w:spacing w:after="0" w:line="222" w:lineRule="auto"/>
        <w:rPr>
          <w:sz w:val="20"/>
          <w:szCs w:val="20"/>
          <w:color w:val="auto"/>
        </w:rPr>
      </w:pPr>
      <w:r>
        <w:rPr>
          <w:rFonts w:ascii="Arial" w:cs="Arial" w:eastAsia="Arial" w:hAnsi="Arial"/>
          <w:sz w:val="14"/>
          <w:szCs w:val="14"/>
          <w:color w:val="auto"/>
        </w:rPr>
        <w:t>officers</w:t>
      </w:r>
    </w:p>
    <w:p>
      <w:pPr>
        <w:spacing w:after="0" w:line="221" w:lineRule="auto"/>
        <w:rPr>
          <w:sz w:val="20"/>
          <w:szCs w:val="20"/>
          <w:color w:val="auto"/>
        </w:rPr>
      </w:pPr>
      <w:r>
        <w:rPr>
          <w:rFonts w:ascii="Arial" w:cs="Arial" w:eastAsia="Arial" w:hAnsi="Arial"/>
          <w:sz w:val="14"/>
          <w:szCs w:val="14"/>
          <w:color w:val="auto"/>
        </w:rPr>
        <w:t>Reclassify</w:t>
      </w:r>
    </w:p>
    <w:p>
      <w:pPr>
        <w:spacing w:after="0" w:line="222" w:lineRule="auto"/>
        <w:rPr>
          <w:sz w:val="20"/>
          <w:szCs w:val="20"/>
          <w:color w:val="auto"/>
        </w:rPr>
      </w:pPr>
      <w:r>
        <w:rPr>
          <w:rFonts w:ascii="Arial" w:cs="Arial" w:eastAsia="Arial" w:hAnsi="Arial"/>
          <w:sz w:val="14"/>
          <w:szCs w:val="14"/>
          <w:color w:val="auto"/>
        </w:rPr>
        <w:t>expired and</w:t>
      </w:r>
    </w:p>
    <w:p>
      <w:pPr>
        <w:spacing w:after="0" w:line="221" w:lineRule="auto"/>
        <w:rPr>
          <w:sz w:val="20"/>
          <w:szCs w:val="20"/>
          <w:color w:val="auto"/>
        </w:rPr>
      </w:pPr>
      <w:r>
        <w:rPr>
          <w:rFonts w:ascii="Arial" w:cs="Arial" w:eastAsia="Arial" w:hAnsi="Arial"/>
          <w:sz w:val="14"/>
          <w:szCs w:val="14"/>
          <w:color w:val="auto"/>
        </w:rPr>
        <w:t>redeemed</w:t>
      </w:r>
    </w:p>
    <w:p>
      <w:pPr>
        <w:spacing w:after="0" w:line="222" w:lineRule="auto"/>
        <w:rPr>
          <w:sz w:val="20"/>
          <w:szCs w:val="20"/>
          <w:color w:val="auto"/>
        </w:rPr>
      </w:pPr>
      <w:r>
        <w:rPr>
          <w:rFonts w:ascii="Arial" w:cs="Arial" w:eastAsia="Arial" w:hAnsi="Arial"/>
          <w:sz w:val="14"/>
          <w:szCs w:val="14"/>
          <w:color w:val="auto"/>
        </w:rPr>
        <w:t>warrants</w:t>
      </w:r>
    </w:p>
    <w:p>
      <w:pPr>
        <w:spacing w:after="0" w:line="221" w:lineRule="auto"/>
        <w:rPr>
          <w:sz w:val="20"/>
          <w:szCs w:val="20"/>
          <w:color w:val="auto"/>
        </w:rPr>
      </w:pPr>
      <w:r>
        <w:rPr>
          <w:rFonts w:ascii="Arial" w:cs="Arial" w:eastAsia="Arial" w:hAnsi="Arial"/>
          <w:sz w:val="14"/>
          <w:szCs w:val="14"/>
          <w:color w:val="auto"/>
        </w:rPr>
        <w:t>Expense</w:t>
      </w:r>
    </w:p>
    <w:p>
      <w:pPr>
        <w:spacing w:after="0" w:line="221" w:lineRule="auto"/>
        <w:rPr>
          <w:sz w:val="20"/>
          <w:szCs w:val="20"/>
          <w:color w:val="auto"/>
        </w:rPr>
      </w:pPr>
      <w:r>
        <w:rPr>
          <w:rFonts w:ascii="Arial" w:cs="Arial" w:eastAsia="Arial" w:hAnsi="Arial"/>
          <w:sz w:val="14"/>
          <w:szCs w:val="14"/>
          <w:color w:val="auto"/>
        </w:rPr>
        <w:t>consulting</w:t>
      </w:r>
    </w:p>
    <w:p>
      <w:pPr>
        <w:spacing w:after="0" w:line="222" w:lineRule="auto"/>
        <w:rPr>
          <w:sz w:val="20"/>
          <w:szCs w:val="20"/>
          <w:color w:val="auto"/>
        </w:rPr>
      </w:pPr>
      <w:r>
        <w:rPr>
          <w:rFonts w:ascii="Arial" w:cs="Arial" w:eastAsia="Arial" w:hAnsi="Arial"/>
          <w:sz w:val="14"/>
          <w:szCs w:val="14"/>
          <w:color w:val="auto"/>
        </w:rPr>
        <w:t>services</w:t>
      </w:r>
    </w:p>
    <w:p>
      <w:pPr>
        <w:spacing w:after="0" w:line="221" w:lineRule="auto"/>
        <w:rPr>
          <w:sz w:val="20"/>
          <w:szCs w:val="20"/>
          <w:color w:val="auto"/>
        </w:rPr>
      </w:pPr>
      <w:r>
        <w:rPr>
          <w:rFonts w:ascii="Arial" w:cs="Arial" w:eastAsia="Arial" w:hAnsi="Arial"/>
          <w:sz w:val="14"/>
          <w:szCs w:val="14"/>
          <w:color w:val="auto"/>
        </w:rPr>
        <w:t>Redeem</w:t>
      </w:r>
    </w:p>
    <w:p>
      <w:pPr>
        <w:spacing w:after="0" w:line="222" w:lineRule="auto"/>
        <w:rPr>
          <w:sz w:val="20"/>
          <w:szCs w:val="20"/>
          <w:color w:val="auto"/>
        </w:rPr>
      </w:pPr>
      <w:r>
        <w:rPr>
          <w:rFonts w:ascii="Arial" w:cs="Arial" w:eastAsia="Arial" w:hAnsi="Arial"/>
          <w:sz w:val="14"/>
          <w:szCs w:val="14"/>
          <w:color w:val="auto"/>
        </w:rPr>
        <w:t>shares for</w:t>
      </w:r>
    </w:p>
    <w:p>
      <w:pPr>
        <w:spacing w:after="0" w:line="221" w:lineRule="auto"/>
        <w:rPr>
          <w:sz w:val="20"/>
          <w:szCs w:val="20"/>
          <w:color w:val="auto"/>
        </w:rPr>
      </w:pPr>
      <w:r>
        <w:rPr>
          <w:rFonts w:ascii="Arial" w:cs="Arial" w:eastAsia="Arial" w:hAnsi="Arial"/>
          <w:sz w:val="14"/>
          <w:szCs w:val="14"/>
          <w:color w:val="auto"/>
        </w:rPr>
        <w:t>cash</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3"/>
          <w:szCs w:val="13"/>
          <w:color w:val="auto"/>
        </w:rPr>
        <w:t>Net loss for the year</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Balance, December 31, 2014</w:t>
      </w:r>
    </w:p>
    <w:p>
      <w:pPr>
        <w:spacing w:after="0" w:line="20" w:lineRule="exact"/>
        <w:rPr>
          <w:sz w:val="20"/>
          <w:szCs w:val="20"/>
          <w:color w:val="auto"/>
        </w:rPr>
      </w:pPr>
      <w:r>
        <w:rPr>
          <w:sz w:val="20"/>
          <w:szCs w:val="20"/>
          <w:color w:val="auto"/>
        </w:rPr>
        <w:br w:type="column"/>
      </w:r>
    </w:p>
    <w:p>
      <w:pPr>
        <w:jc w:val="center"/>
        <w:ind w:right="8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Ended December 31,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Preferred</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Preferred</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w w:val="99"/>
              </w:rPr>
              <w:t>Deferred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Total</w:t>
            </w:r>
          </w:p>
        </w:tc>
      </w:tr>
      <w:tr>
        <w:trPr>
          <w:trHeight w:val="162"/>
        </w:trPr>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Stock</w:t>
            </w:r>
          </w:p>
        </w:tc>
        <w:tc>
          <w:tcPr>
            <w:tcW w:w="10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Stock</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Paid-in</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Stock</w:t>
            </w: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Stockholders’</w:t>
            </w:r>
          </w:p>
        </w:tc>
      </w:tr>
      <w:tr>
        <w:trPr>
          <w:trHeight w:val="174"/>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1"/>
              </w:rPr>
              <w:t>Warrants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6"/>
              </w:rPr>
              <w:t>Payable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Compensation</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7"/>
              </w:rPr>
              <w:t>Equity</w:t>
            </w:r>
          </w:p>
        </w:tc>
        <w:tc>
          <w:tcPr>
            <w:tcW w:w="40" w:type="dxa"/>
            <w:vAlign w:val="bottom"/>
          </w:tcPr>
          <w:p>
            <w:pPr>
              <w:spacing w:after="0"/>
              <w:rPr>
                <w:sz w:val="15"/>
                <w:szCs w:val="15"/>
                <w:color w:val="auto"/>
              </w:rPr>
            </w:pPr>
          </w:p>
        </w:tc>
      </w:tr>
      <w:tr>
        <w:trPr>
          <w:trHeight w:val="447"/>
        </w:trPr>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14,817,496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14,817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18,148,049</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8,875,155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(270,462)</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(25,099,357)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1,668,202</w:t>
            </w:r>
          </w:p>
        </w:tc>
        <w:tc>
          <w:tcPr>
            <w:tcW w:w="40" w:type="dxa"/>
            <w:vAlign w:val="bottom"/>
          </w:tcPr>
          <w:p>
            <w:pPr>
              <w:spacing w:after="0"/>
              <w:rPr>
                <w:sz w:val="24"/>
                <w:szCs w:val="24"/>
                <w:color w:val="auto"/>
              </w:rPr>
            </w:pPr>
          </w:p>
        </w:tc>
      </w:tr>
      <w:tr>
        <w:trPr>
          <w:trHeight w:val="594"/>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272,804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272,804</w:t>
            </w:r>
          </w:p>
        </w:tc>
        <w:tc>
          <w:tcPr>
            <w:tcW w:w="40" w:type="dxa"/>
            <w:vAlign w:val="bottom"/>
          </w:tcPr>
          <w:p>
            <w:pPr>
              <w:spacing w:after="0"/>
              <w:rPr>
                <w:sz w:val="24"/>
                <w:szCs w:val="24"/>
                <w:color w:val="auto"/>
              </w:rPr>
            </w:pPr>
          </w:p>
        </w:tc>
      </w:tr>
      <w:tr>
        <w:trPr>
          <w:trHeight w:val="297"/>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16,935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(16,935)</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709"/>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167,065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26,812</w:t>
            </w: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14,688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41,667</w:t>
            </w:r>
          </w:p>
        </w:tc>
        <w:tc>
          <w:tcPr>
            <w:tcW w:w="40" w:type="dxa"/>
            <w:vAlign w:val="bottom"/>
          </w:tcPr>
          <w:p>
            <w:pPr>
              <w:spacing w:after="0"/>
              <w:rPr>
                <w:sz w:val="24"/>
                <w:szCs w:val="24"/>
                <w:color w:val="auto"/>
              </w:rPr>
            </w:pPr>
          </w:p>
        </w:tc>
      </w:tr>
      <w:tr>
        <w:trPr>
          <w:trHeight w:val="182"/>
        </w:trPr>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8,333,333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8,333</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8,408,699</w:t>
            </w:r>
          </w:p>
        </w:tc>
        <w:tc>
          <w:tcPr>
            <w:tcW w:w="12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378,000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8,795,032</w:t>
            </w:r>
          </w:p>
        </w:tc>
        <w:tc>
          <w:tcPr>
            <w:tcW w:w="40" w:type="dxa"/>
            <w:vAlign w:val="bottom"/>
          </w:tcPr>
          <w:p>
            <w:pPr>
              <w:spacing w:after="0"/>
              <w:rPr>
                <w:sz w:val="15"/>
                <w:szCs w:val="15"/>
                <w:color w:val="auto"/>
              </w:rPr>
            </w:pPr>
          </w:p>
        </w:tc>
      </w:tr>
      <w:tr>
        <w:trPr>
          <w:trHeight w:val="297"/>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445,765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(694,133)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693,687</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1,110,211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(1,110,211)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570,375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570,375</w:t>
            </w:r>
          </w:p>
        </w:tc>
        <w:tc>
          <w:tcPr>
            <w:tcW w:w="40" w:type="dxa"/>
            <w:vAlign w:val="bottom"/>
          </w:tcPr>
          <w:p>
            <w:pPr>
              <w:spacing w:after="0"/>
              <w:rPr>
                <w:sz w:val="24"/>
                <w:szCs w:val="24"/>
                <w:color w:val="auto"/>
              </w:rPr>
            </w:pPr>
          </w:p>
        </w:tc>
      </w:tr>
      <w:tr>
        <w:trPr>
          <w:trHeight w:val="594"/>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(16,410,832)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16,410,832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r>
      <w:tr>
        <w:trPr>
          <w:trHeight w:val="44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287,397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287,397</w:t>
            </w:r>
          </w:p>
        </w:tc>
        <w:tc>
          <w:tcPr>
            <w:tcW w:w="40" w:type="dxa"/>
            <w:vAlign w:val="bottom"/>
          </w:tcPr>
          <w:p>
            <w:pPr>
              <w:spacing w:after="0"/>
              <w:rPr>
                <w:sz w:val="24"/>
                <w:szCs w:val="24"/>
                <w:color w:val="auto"/>
              </w:rPr>
            </w:pPr>
          </w:p>
        </w:tc>
      </w:tr>
      <w:tr>
        <w:trPr>
          <w:trHeight w:val="446"/>
        </w:trPr>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(896,340)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(5,999,104)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(6,000,000)</w:t>
            </w:r>
          </w:p>
        </w:tc>
      </w:tr>
      <w:tr>
        <w:trPr>
          <w:trHeight w:val="296"/>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(1,025,393)</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(1,025,393)</w:t>
            </w:r>
          </w:p>
        </w:tc>
      </w:tr>
      <w:tr>
        <w:trPr>
          <w:trHeight w:val="27"/>
        </w:trPr>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80"/>
        </w:trPr>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22,867,319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22,867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2,153,295</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27,595,609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963,063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(26,124,750</w:t>
            </w:r>
            <w:r>
              <w:rPr>
                <w:rFonts w:ascii="Arial" w:cs="Arial" w:eastAsia="Arial" w:hAnsi="Arial"/>
                <w:sz w:val="28"/>
                <w:szCs w:val="28"/>
                <w:color w:val="auto"/>
                <w:w w:val="98"/>
                <w:vertAlign w:val="superscript"/>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4,610,084</w:t>
            </w:r>
          </w:p>
        </w:tc>
        <w:tc>
          <w:tcPr>
            <w:tcW w:w="40" w:type="dxa"/>
            <w:vAlign w:val="bottom"/>
          </w:tcPr>
          <w:p>
            <w:pPr>
              <w:spacing w:after="0"/>
              <w:rPr>
                <w:sz w:val="24"/>
                <w:szCs w:val="24"/>
                <w:color w:val="auto"/>
              </w:rPr>
            </w:pPr>
          </w:p>
        </w:tc>
      </w:tr>
      <w:tr>
        <w:trPr>
          <w:trHeight w:val="21"/>
        </w:trPr>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-3669665</wp:posOffset>
            </wp:positionV>
            <wp:extent cx="7246620"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-3197860</wp:posOffset>
            </wp:positionV>
            <wp:extent cx="72466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-2820670</wp:posOffset>
            </wp:positionV>
            <wp:extent cx="7246620" cy="283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-2348865</wp:posOffset>
            </wp:positionV>
            <wp:extent cx="7246620" cy="94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-2066290</wp:posOffset>
            </wp:positionV>
            <wp:extent cx="7246620"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-1499870</wp:posOffset>
            </wp:positionV>
            <wp:extent cx="7246620" cy="377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-840105</wp:posOffset>
            </wp:positionV>
            <wp:extent cx="7246620"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-351155</wp:posOffset>
            </wp:positionV>
            <wp:extent cx="7246620" cy="325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18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ectPr>
          <w:pgSz w:w="11900" w:h="16838" w:orient="portrait"/>
          <w:cols w:equalWidth="0" w:num="2">
            <w:col w:w="820" w:space="80"/>
            <w:col w:w="10460"/>
          </w:cols>
          <w:pgMar w:left="240" w:top="904" w:right="299" w:bottom="1440" w:gutter="0" w:footer="0" w:header="0"/>
        </w:sect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Balance,</w:t>
      </w:r>
    </w:p>
    <w:p>
      <w:pPr>
        <w:spacing w:after="0"/>
        <w:rPr>
          <w:sz w:val="20"/>
          <w:szCs w:val="20"/>
          <w:color w:val="auto"/>
        </w:rPr>
      </w:pPr>
      <w:r>
        <w:rPr>
          <w:rFonts w:ascii="Arial" w:cs="Arial" w:eastAsia="Arial" w:hAnsi="Arial"/>
          <w:sz w:val="13"/>
          <w:szCs w:val="13"/>
          <w:color w:val="auto"/>
        </w:rPr>
        <w:t>December 31,</w:t>
      </w:r>
    </w:p>
    <w:p>
      <w:pPr>
        <w:spacing w:after="0" w:line="221" w:lineRule="auto"/>
        <w:rPr>
          <w:sz w:val="20"/>
          <w:szCs w:val="20"/>
          <w:color w:val="auto"/>
        </w:rPr>
      </w:pPr>
      <w:r>
        <w:rPr>
          <w:rFonts w:ascii="Arial" w:cs="Arial" w:eastAsia="Arial" w:hAnsi="Arial"/>
          <w:sz w:val="14"/>
          <w:szCs w:val="14"/>
          <w:color w:val="auto"/>
        </w:rPr>
        <w:t>2014</w:t>
      </w:r>
    </w:p>
    <w:p>
      <w:pPr>
        <w:spacing w:after="0" w:line="221" w:lineRule="auto"/>
        <w:rPr>
          <w:sz w:val="20"/>
          <w:szCs w:val="20"/>
          <w:color w:val="auto"/>
        </w:rPr>
      </w:pPr>
      <w:r>
        <w:rPr>
          <w:rFonts w:ascii="Arial" w:cs="Arial" w:eastAsia="Arial" w:hAnsi="Arial"/>
          <w:sz w:val="14"/>
          <w:szCs w:val="14"/>
          <w:color w:val="auto"/>
        </w:rPr>
        <w:t>Issuance of</w:t>
      </w:r>
    </w:p>
    <w:p>
      <w:pPr>
        <w:spacing w:after="0" w:line="222" w:lineRule="auto"/>
        <w:rPr>
          <w:sz w:val="20"/>
          <w:szCs w:val="20"/>
          <w:color w:val="auto"/>
        </w:rPr>
      </w:pPr>
      <w:r>
        <w:rPr>
          <w:rFonts w:ascii="Arial" w:cs="Arial" w:eastAsia="Arial" w:hAnsi="Arial"/>
          <w:sz w:val="14"/>
          <w:szCs w:val="14"/>
          <w:color w:val="auto"/>
        </w:rPr>
        <w:t>stock options</w:t>
      </w:r>
    </w:p>
    <w:p>
      <w:pPr>
        <w:spacing w:after="0"/>
        <w:rPr>
          <w:sz w:val="20"/>
          <w:szCs w:val="20"/>
          <w:color w:val="auto"/>
        </w:rPr>
      </w:pPr>
      <w:r>
        <w:rPr>
          <w:rFonts w:ascii="Arial" w:cs="Arial" w:eastAsia="Arial" w:hAnsi="Arial"/>
          <w:sz w:val="13"/>
          <w:szCs w:val="13"/>
          <w:color w:val="auto"/>
        </w:rPr>
        <w:t>to employees</w:t>
      </w:r>
    </w:p>
    <w:p>
      <w:pPr>
        <w:spacing w:after="0" w:line="221" w:lineRule="auto"/>
        <w:rPr>
          <w:sz w:val="20"/>
          <w:szCs w:val="20"/>
          <w:color w:val="auto"/>
        </w:rPr>
      </w:pPr>
      <w:r>
        <w:rPr>
          <w:rFonts w:ascii="Arial" w:cs="Arial" w:eastAsia="Arial" w:hAnsi="Arial"/>
          <w:sz w:val="14"/>
          <w:szCs w:val="14"/>
          <w:color w:val="auto"/>
        </w:rPr>
        <w:t>Issuance of</w:t>
      </w:r>
    </w:p>
    <w:p>
      <w:pPr>
        <w:spacing w:after="0" w:line="221" w:lineRule="auto"/>
        <w:rPr>
          <w:sz w:val="20"/>
          <w:szCs w:val="20"/>
          <w:color w:val="auto"/>
        </w:rPr>
      </w:pPr>
      <w:r>
        <w:rPr>
          <w:rFonts w:ascii="Arial" w:cs="Arial" w:eastAsia="Arial" w:hAnsi="Arial"/>
          <w:sz w:val="14"/>
          <w:szCs w:val="14"/>
          <w:color w:val="auto"/>
        </w:rPr>
        <w:t>common</w:t>
      </w:r>
    </w:p>
    <w:p>
      <w:pPr>
        <w:spacing w:after="0" w:line="222" w:lineRule="auto"/>
        <w:rPr>
          <w:sz w:val="20"/>
          <w:szCs w:val="20"/>
          <w:color w:val="auto"/>
        </w:rPr>
      </w:pPr>
      <w:r>
        <w:rPr>
          <w:rFonts w:ascii="Arial" w:cs="Arial" w:eastAsia="Arial" w:hAnsi="Arial"/>
          <w:sz w:val="14"/>
          <w:szCs w:val="14"/>
          <w:color w:val="auto"/>
        </w:rPr>
        <w:t>stock:</w:t>
      </w:r>
    </w:p>
    <w:p>
      <w:pPr>
        <w:ind w:left="180"/>
        <w:spacing w:after="0" w:line="221" w:lineRule="auto"/>
        <w:rPr>
          <w:sz w:val="20"/>
          <w:szCs w:val="20"/>
          <w:color w:val="auto"/>
        </w:rPr>
      </w:pPr>
      <w:r>
        <w:rPr>
          <w:rFonts w:ascii="Arial" w:cs="Arial" w:eastAsia="Arial" w:hAnsi="Arial"/>
          <w:sz w:val="14"/>
          <w:szCs w:val="14"/>
          <w:color w:val="auto"/>
        </w:rPr>
        <w:t>for</w:t>
      </w:r>
    </w:p>
    <w:p>
      <w:pPr>
        <w:ind w:left="180"/>
        <w:spacing w:after="0" w:line="222" w:lineRule="auto"/>
        <w:rPr>
          <w:sz w:val="20"/>
          <w:szCs w:val="20"/>
          <w:color w:val="auto"/>
        </w:rPr>
      </w:pPr>
      <w:r>
        <w:rPr>
          <w:rFonts w:ascii="Arial" w:cs="Arial" w:eastAsia="Arial" w:hAnsi="Arial"/>
          <w:sz w:val="14"/>
          <w:szCs w:val="14"/>
          <w:color w:val="auto"/>
        </w:rPr>
        <w:t>services</w:t>
      </w:r>
    </w:p>
    <w:p>
      <w:pPr>
        <w:ind w:right="140" w:firstLine="162"/>
        <w:spacing w:after="0" w:line="242" w:lineRule="auto"/>
        <w:rPr>
          <w:sz w:val="20"/>
          <w:szCs w:val="20"/>
          <w:color w:val="auto"/>
        </w:rPr>
      </w:pPr>
      <w:r>
        <w:rPr>
          <w:rFonts w:ascii="Arial" w:cs="Arial" w:eastAsia="Arial" w:hAnsi="Arial"/>
          <w:sz w:val="13"/>
          <w:szCs w:val="13"/>
          <w:color w:val="auto"/>
        </w:rPr>
        <w:t>for cash Issue stock rights to officers Expense consulting services Net loss for the year</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Balance, December 31, 2015</w:t>
      </w:r>
    </w:p>
    <w:p>
      <w:pPr>
        <w:spacing w:after="0" w:line="20" w:lineRule="exact"/>
        <w:rPr>
          <w:sz w:val="20"/>
          <w:szCs w:val="20"/>
          <w:color w:val="auto"/>
        </w:rPr>
      </w:pPr>
      <w:r>
        <w:rPr>
          <w:sz w:val="20"/>
          <w:szCs w:val="20"/>
          <w:color w:val="auto"/>
        </w:rPr>
        <w:br w:type="column"/>
      </w:r>
    </w:p>
    <w:p>
      <w:pPr>
        <w:jc w:val="center"/>
        <w:ind w:right="8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Ended December 31,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Preferred</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Preferred</w:t>
            </w: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Common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w w:val="99"/>
              </w:rPr>
              <w:t>Deferred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Total</w:t>
            </w:r>
          </w:p>
        </w:tc>
      </w:tr>
      <w:tr>
        <w:trPr>
          <w:trHeight w:val="162"/>
        </w:trPr>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color w:val="auto"/>
              </w:rPr>
              <w:t>Stock</w:t>
            </w:r>
          </w:p>
        </w:tc>
        <w:tc>
          <w:tcPr>
            <w:tcW w:w="960" w:type="dxa"/>
            <w:vAlign w:val="bottom"/>
            <w:gridSpan w:val="2"/>
          </w:tcPr>
          <w:p>
            <w:pPr>
              <w:ind w:left="26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Paid-in</w:t>
            </w:r>
          </w:p>
        </w:tc>
        <w:tc>
          <w:tcPr>
            <w:tcW w:w="1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Stock</w:t>
            </w: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Stockholders’</w:t>
            </w:r>
          </w:p>
        </w:tc>
      </w:tr>
      <w:tr>
        <w:trPr>
          <w:trHeight w:val="174"/>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Warrants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8"/>
              </w:rPr>
              <w:t>Payable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Compensation</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7"/>
              </w:rPr>
              <w:t>Equity</w:t>
            </w:r>
          </w:p>
        </w:tc>
        <w:tc>
          <w:tcPr>
            <w:tcW w:w="40" w:type="dxa"/>
            <w:vAlign w:val="bottom"/>
          </w:tcPr>
          <w:p>
            <w:pPr>
              <w:spacing w:after="0"/>
              <w:rPr>
                <w:sz w:val="15"/>
                <w:szCs w:val="15"/>
                <w:color w:val="auto"/>
              </w:rPr>
            </w:pPr>
          </w:p>
        </w:tc>
      </w:tr>
      <w:tr>
        <w:trPr>
          <w:trHeight w:val="447"/>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22,867,319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22,867</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2,153,295</w:t>
            </w:r>
          </w:p>
        </w:tc>
        <w:tc>
          <w:tcPr>
            <w:tcW w:w="10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27,595,609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963,083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(26,124,750)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4,610,084</w:t>
            </w:r>
          </w:p>
        </w:tc>
        <w:tc>
          <w:tcPr>
            <w:tcW w:w="40" w:type="dxa"/>
            <w:vAlign w:val="bottom"/>
          </w:tcPr>
          <w:p>
            <w:pPr>
              <w:spacing w:after="0"/>
              <w:rPr>
                <w:sz w:val="24"/>
                <w:szCs w:val="24"/>
                <w:color w:val="auto"/>
              </w:rPr>
            </w:pP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253,358</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253,358</w:t>
            </w:r>
          </w:p>
        </w:tc>
        <w:tc>
          <w:tcPr>
            <w:tcW w:w="40" w:type="dxa"/>
            <w:vAlign w:val="bottom"/>
          </w:tcPr>
          <w:p>
            <w:pPr>
              <w:spacing w:after="0"/>
              <w:rPr>
                <w:sz w:val="24"/>
                <w:szCs w:val="24"/>
                <w:color w:val="auto"/>
              </w:rPr>
            </w:pPr>
          </w:p>
        </w:tc>
      </w:tr>
      <w:tr>
        <w:trPr>
          <w:trHeight w:val="709"/>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152,500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172,310</w:t>
            </w:r>
          </w:p>
        </w:tc>
        <w:tc>
          <w:tcPr>
            <w:tcW w:w="1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(14,688)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(97,650)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60,125</w:t>
            </w:r>
          </w:p>
        </w:tc>
        <w:tc>
          <w:tcPr>
            <w:tcW w:w="4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6,011,106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6,011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176,213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4,164,222</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4,346,446</w:t>
            </w:r>
          </w:p>
        </w:tc>
        <w:tc>
          <w:tcPr>
            <w:tcW w:w="40" w:type="dxa"/>
            <w:vAlign w:val="bottom"/>
          </w:tcPr>
          <w:p>
            <w:pPr>
              <w:spacing w:after="0"/>
              <w:rPr>
                <w:sz w:val="15"/>
                <w:szCs w:val="15"/>
                <w:color w:val="auto"/>
              </w:rPr>
            </w:pP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183,773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183,773</w:t>
            </w:r>
          </w:p>
        </w:tc>
        <w:tc>
          <w:tcPr>
            <w:tcW w:w="40" w:type="dxa"/>
            <w:vAlign w:val="bottom"/>
          </w:tcPr>
          <w:p>
            <w:pPr>
              <w:spacing w:after="0"/>
              <w:rPr>
                <w:sz w:val="24"/>
                <w:szCs w:val="24"/>
                <w:color w:val="auto"/>
              </w:rPr>
            </w:pPr>
          </w:p>
        </w:tc>
      </w:tr>
      <w:tr>
        <w:trPr>
          <w:trHeight w:val="44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83,850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83,850</w:t>
            </w:r>
          </w:p>
        </w:tc>
        <w:tc>
          <w:tcPr>
            <w:tcW w:w="40" w:type="dxa"/>
            <w:vAlign w:val="bottom"/>
          </w:tcPr>
          <w:p>
            <w:pPr>
              <w:spacing w:after="0"/>
              <w:rPr>
                <w:sz w:val="24"/>
                <w:szCs w:val="24"/>
                <w:color w:val="auto"/>
              </w:rPr>
            </w:pPr>
          </w:p>
        </w:tc>
      </w:tr>
      <w:tr>
        <w:trPr>
          <w:trHeight w:val="296"/>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(595,140)</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(595,140)</w:t>
            </w:r>
          </w:p>
        </w:tc>
      </w:tr>
      <w:tr>
        <w:trPr>
          <w:trHeight w:val="27"/>
        </w:trPr>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8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29,030,925</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29,031</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2,329,508</w:t>
            </w:r>
          </w:p>
        </w:tc>
        <w:tc>
          <w:tcPr>
            <w:tcW w:w="10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32,185,499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1,132,168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(13,800</w:t>
            </w:r>
            <w:r>
              <w:rPr>
                <w:rFonts w:ascii="Arial" w:cs="Arial" w:eastAsia="Arial" w:hAnsi="Arial"/>
                <w:sz w:val="28"/>
                <w:szCs w:val="28"/>
                <w:color w:val="auto"/>
                <w:vertAlign w:val="superscript"/>
              </w:rPr>
              <w:t>)</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(26,719,890</w:t>
            </w:r>
            <w:r>
              <w:rPr>
                <w:rFonts w:ascii="Arial" w:cs="Arial" w:eastAsia="Arial" w:hAnsi="Arial"/>
                <w:sz w:val="28"/>
                <w:szCs w:val="28"/>
                <w:color w:val="auto"/>
                <w:w w:val="98"/>
                <w:vertAlign w:val="superscript"/>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8,942,496</w:t>
            </w:r>
          </w:p>
        </w:tc>
        <w:tc>
          <w:tcPr>
            <w:tcW w:w="40" w:type="dxa"/>
            <w:vAlign w:val="bottom"/>
          </w:tcPr>
          <w:p>
            <w:pPr>
              <w:spacing w:after="0"/>
              <w:rPr>
                <w:sz w:val="24"/>
                <w:szCs w:val="24"/>
                <w:color w:val="auto"/>
              </w:rPr>
            </w:pPr>
          </w:p>
        </w:tc>
      </w:tr>
      <w:tr>
        <w:trPr>
          <w:trHeight w:val="21"/>
        </w:trPr>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-2254885</wp:posOffset>
            </wp:positionV>
            <wp:extent cx="7246620"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-1689100</wp:posOffset>
            </wp:positionV>
            <wp:extent cx="7246620" cy="283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-1217295</wp:posOffset>
            </wp:positionV>
            <wp:extent cx="72466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-840105</wp:posOffset>
            </wp:positionV>
            <wp:extent cx="7246620" cy="28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-351155</wp:posOffset>
            </wp:positionV>
            <wp:extent cx="7246620" cy="325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18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ectPr>
          <w:pgSz w:w="11900" w:h="16838" w:orient="portrait"/>
          <w:cols w:equalWidth="0" w:num="2">
            <w:col w:w="820" w:space="80"/>
            <w:col w:w="10460"/>
          </w:cols>
          <w:pgMar w:left="240" w:top="904" w:right="299" w:bottom="1440" w:gutter="0" w:footer="0" w:header="0"/>
        </w:sect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for the period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(595,140)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(1,025,393)</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333,950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264,340</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Loss on disposal of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31,731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issued for services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253,358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272,804</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327,748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899,438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(747,069)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(588,672)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11,819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11,633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 share payable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852,847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215,210</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(18,476)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106,872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(106,142)</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5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515,110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(56,350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rights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(110,551)</w:t>
            </w: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Web development costs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(97,399)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(292,417)</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4,346,446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8,795,032</w:t>
            </w:r>
          </w:p>
        </w:tc>
        <w:tc>
          <w:tcPr>
            <w:tcW w:w="0" w:type="dxa"/>
            <w:vAlign w:val="bottom"/>
          </w:tcPr>
          <w:p>
            <w:pPr>
              <w:spacing w:after="0"/>
              <w:rPr>
                <w:sz w:val="1"/>
                <w:szCs w:val="1"/>
                <w:color w:val="auto"/>
              </w:rPr>
            </w:pPr>
          </w:p>
        </w:tc>
      </w:tr>
      <w:tr>
        <w:trPr>
          <w:trHeight w:val="237"/>
        </w:trPr>
        <w:tc>
          <w:tcPr>
            <w:tcW w:w="8240" w:type="dxa"/>
            <w:vAlign w:val="bottom"/>
          </w:tcPr>
          <w:p>
            <w:pPr>
              <w:ind w:left="360"/>
              <w:spacing w:after="0"/>
              <w:rPr>
                <w:sz w:val="20"/>
                <w:szCs w:val="20"/>
                <w:color w:val="auto"/>
              </w:rPr>
            </w:pPr>
            <w:r>
              <w:rPr>
                <w:rFonts w:ascii="Arial" w:cs="Arial" w:eastAsia="Arial" w:hAnsi="Arial"/>
                <w:sz w:val="18"/>
                <w:szCs w:val="18"/>
                <w:color w:val="auto"/>
              </w:rPr>
              <w:t>Redemption of common and preferred stock</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36"/>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4,346,446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240" w:type="dxa"/>
            <w:vAlign w:val="bottom"/>
          </w:tcPr>
          <w:p>
            <w:pPr>
              <w:spacing w:after="0" w:line="203" w:lineRule="exact"/>
              <w:rPr>
                <w:sz w:val="20"/>
                <w:szCs w:val="20"/>
                <w:color w:val="auto"/>
              </w:rPr>
            </w:pPr>
            <w:r>
              <w:rPr>
                <w:rFonts w:ascii="Arial" w:cs="Arial" w:eastAsia="Arial" w:hAnsi="Arial"/>
                <w:sz w:val="18"/>
                <w:szCs w:val="18"/>
                <w:b w:val="1"/>
                <w:bCs w:val="1"/>
                <w:color w:val="auto"/>
              </w:rPr>
              <w:t>NET INCREASE IN CASH AND CASH EQUIVALENTS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4,760,592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2,328,730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3,446,973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1,118,243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40" w:type="dxa"/>
            <w:vAlign w:val="bottom"/>
            <w:vMerge w:val="continue"/>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8,207,565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3,446,973</w:t>
            </w:r>
          </w:p>
        </w:tc>
        <w:tc>
          <w:tcPr>
            <w:tcW w:w="0" w:type="dxa"/>
            <w:vAlign w:val="bottom"/>
          </w:tcPr>
          <w:p>
            <w:pPr>
              <w:spacing w:after="0"/>
              <w:rPr>
                <w:sz w:val="1"/>
                <w:szCs w:val="1"/>
                <w:color w:val="auto"/>
              </w:rPr>
            </w:pPr>
          </w:p>
        </w:tc>
      </w:tr>
      <w:tr>
        <w:trPr>
          <w:trHeight w:val="216"/>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24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Cash paid for income taxes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2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issued for future services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8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OptimizeRx Corporation is a technology solutions company targeting the healthcare industry. Our objective is to bring better access to better healthcare through connecting patients, physicians and pharmaceutical manufacturers through technology. Originally defined as a marketing and advertising company through our consumer website, we have matured into a technology solutions provider with our direct to physician solution, SampleMD. SampleMD allows physicians to search, print and send available sample trial vouchers and/or co-pay coupons on behalf of their patients. The SampleMD solution is integrated into the physician’s ePrescribing or Electronic Health Record applications, but can also be a stand-alone desktop application. OptimizeRx solutions provide pharmaceutical manufacturers a direct to physician channel for communicating and promoting their products. It allows healthcare providers a means to provide sampling and coupons without having to physically store samples on site, and it provides better access and affordability to patients.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was originally formed as Optimizer Systems, LLC in the State of Michigan on January 31, 2006. It converted its form to a corporation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its wholly-owned subsidiary (together, "OptimizeRx" and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$0 for each of the years ended December 31, 2015 and 2014. The allowance for doubtful accounts was $0 as of both December 31, 2015 and 2014.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Capital assets are being depreciated over their estimated useful lives of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it is earned. Revenues are primarily generated from our content delivery activities in which we deliver eCoupons and eVouchers through a distribution network of ePrescribers and Electronic Health Record technology providers (channel partners), or from reselling services that complement our business for other of our partners.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setup fees that are required for integrating client offerings and campaigns into our rule-based content delivery system and network upon completion of the setup when the client’s campaign is ready to launch within our system. As the eCoupons and or eVouchers are distributed through our platform and network of channel partners (a transaction), these transactions are recorded and revenue is recognized at the time of distribution. Revenue for transactions can be realized based on a price per distribution, a price per redemption, or as a flat fee over a period of time,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some instances, we also resell products and or services that are available through our channel partners, and that are complementary to our core business and client base. In these instances, net revenue is recognized based on the commission based revenue split that the Company receives.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PDR/LDM as a result of a 2014 legal settlement in an amount equal to the greater of 10% of eCoupon distribution revenues generated or $0.37 per eCoupon distributed. The contractual amount due to our channel partners is recorded as an expense at the time the eCoupon is distributed.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amount of revenue to be billed, and the timing of revenue recognition and related revenue share expenses. Actual results could differ from these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expenses research and development expenses as incurred. Our research efforts are focused on understanding the market dynamics that have the potential to affect the business and increase revenue in both the short and long term. Our primary goal is to increase revenue by helping patients better afford and access the medicines their doctors prescribe, as well as other healthcare products and services they need. Based on this, the Company continually seeks ways to improve its technology to enhance user experiences, and to develop new services and solutions for its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0.24% - 0.93%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0.90% - 1.44%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2.5 - 3.5 years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 - 85%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 - 138%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OptimizerRx’s stock options have characteristics significantly different from those of traded options, and changes in the subjective input assumptions could materially affect the fair value estimate.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have not been included in the diluted earnings per share calculation for either year since their effect is anti-dilutive in all years presented.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3 – PREPAID EXPENSES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Prepaid expenses consisted of the following as of December 31, 2015 and 2014: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prepaid expenses</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70,623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NOTE 4 – PROPERTY AND EQUIPMENT</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as of December 31, 2015 and 2014: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(22,414)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(17,794)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$4,620 and $5,933 for the years ended December 31, 2015 and 2014, respectively.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its web-based technology, which consisted of the following as of December 31, 2015 and 2014: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OptimizeRx web-based technology</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SampleMD web-based technology</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602,517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602,517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SampleMD 2.0 web-based technology</w:t>
            </w: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537,877</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440,477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Subtotal, web-based technology</w:t>
            </w:r>
          </w:p>
        </w:tc>
        <w:tc>
          <w:tcPr>
            <w:tcW w:w="3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1,294,527</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1,197,127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(954,057)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(692,484)</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Web-based technology, net</w:t>
            </w:r>
          </w:p>
        </w:tc>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vMerge w:val="continue"/>
          </w:tcPr>
          <w:p>
            <w:pPr>
              <w:spacing w:after="0"/>
              <w:rPr>
                <w:sz w:val="20"/>
                <w:szCs w:val="20"/>
                <w:color w:val="auto"/>
              </w:rPr>
            </w:pPr>
          </w:p>
        </w:tc>
        <w:tc>
          <w:tcPr>
            <w:tcW w:w="32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340,470</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504,643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is recorded using the straight-line method over a period of up to five years. During 2014, the Company launched its SampleMD 2.0 web-based technology. All remaining carrying value at December 31, 2015 relates to the SampleMD 2.0 web-based technology. Amortization expense for the web-based technology costs was $261,572 and $192,760 for the years ended December 31,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the technical contributions and assignment of all exclusive rights to and for a key patent from an officer and shareholder in exchange for 300,000 shares of common stock to be granted at the discretion of the seller and 200,000 stock options, which expired in April 2015, that were valued at $360,000. The shares were valued on the grant date at $570,000 and have been recorded as a payable to the related party.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purchasing and defending its patent, which consisted of the following as of December 31, 2015 and 2014: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Patent rights and intangible assets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Patent defense costs</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172,457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170,937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New patents and trademarks</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90,202</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(328,042)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(260,285)</w:t>
            </w:r>
          </w:p>
        </w:tc>
        <w:tc>
          <w:tcPr>
            <w:tcW w:w="0" w:type="dxa"/>
            <w:vAlign w:val="bottom"/>
          </w:tcPr>
          <w:p>
            <w:pPr>
              <w:spacing w:after="0"/>
              <w:rPr>
                <w:sz w:val="1"/>
                <w:szCs w:val="1"/>
                <w:color w:val="auto"/>
              </w:rPr>
            </w:pPr>
          </w:p>
        </w:tc>
      </w:tr>
      <w:tr>
        <w:trPr>
          <w:trHeight w:val="27"/>
        </w:trPr>
        <w:tc>
          <w:tcPr>
            <w:tcW w:w="58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Patent rights and intangible assets, net</w:t>
            </w:r>
          </w:p>
        </w:tc>
        <w:tc>
          <w:tcPr>
            <w:tcW w:w="2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vMerge w:val="continue"/>
            <w:shd w:val="clear" w:color="auto" w:fill="CCEEFF"/>
          </w:tcPr>
          <w:p>
            <w:pPr>
              <w:spacing w:after="0"/>
              <w:rPr>
                <w:sz w:val="21"/>
                <w:szCs w:val="21"/>
                <w:color w:val="auto"/>
              </w:rPr>
            </w:pPr>
          </w:p>
        </w:tc>
        <w:tc>
          <w:tcPr>
            <w:tcW w:w="31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832,884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930,854</w:t>
            </w:r>
          </w:p>
        </w:tc>
        <w:tc>
          <w:tcPr>
            <w:tcW w:w="0" w:type="dxa"/>
            <w:vAlign w:val="bottom"/>
          </w:tcPr>
          <w:p>
            <w:pPr>
              <w:spacing w:after="0"/>
              <w:rPr>
                <w:sz w:val="1"/>
                <w:szCs w:val="1"/>
                <w:color w:val="auto"/>
              </w:rPr>
            </w:pPr>
          </w:p>
        </w:tc>
      </w:tr>
      <w:tr>
        <w:trPr>
          <w:trHeight w:val="21"/>
        </w:trPr>
        <w:tc>
          <w:tcPr>
            <w:tcW w:w="58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$67,758 and $65,647 for the years ended December 31, 2015 and 2014,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several signed contracts with customers for the distribution of coupons, or other services, which include payment in advance. The payments are not recorded as revenue until the revenue is earned under its revenue recognition policy discussed in Note 2. Deferred revenue was $227,002 and $120,130 as of December 31, 2015 and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the technical contributions and assignment of all exclusive rights to and for the SampleMD patent in process at the time from an officer and shareholder in exchange for 300,000 shares of common stock to be granted at the discretion of the seller and 200,000 stock options, which expired in April 2015, that were valued at $360,000. The shares were valued on the grant date at $570,000 and have been recorded as a payable to the related party.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2015, WPP made a strategic investment in the Company and is a shareholder that owns approximately 20% of the shares of the Company. During 2015, we had billings of $420,503 to agencies that are part of the WPP group and recognized revenue of $178,855 related to those billings. As of December 31, 2015, we have receivables included in trade receivables on the balance sheet of $381,125 from WPP agencies and amounts due to WPP agencies included in revenue share payable of $37,803 as of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500,000,000 shares of common stock, $.001 par value per share, authorized as of December 31, 2015. There were 29,030,925 and 22,867,319 shares of common stock issued and outstanding at December 31, 2015 and 2014, respectively.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2015, we entered into a securities purchase agreement pursuant to which we sold 6,011,106 shares of our common stock for $0.7875 per share, or gross proceeds of $4,733,746. The shares were issue to a subsidiary of WPP, the world’s largest marketing services company, as part of a strategic investment by WPP. Placement agents in the offering received commissions and expenses of $387,300, or approximately 8.2% of the gross proceeds. The net proceeds received were $4,346,446. Placement agents also received warrants to purchase up to 240,444 shares of our common stock with an exercise price of $0.7875 per share and a term of 5 years. The warrants were valued at $176,213 and have been recorded as equity issuance costs.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2014, the Company adopted a Director Compensation plan covering its independent non-employee Directors. A total of 50,000 shares, valued at $60,125, were granted and issued in 2015 in connection with this compensation plan. A total of 19,565 shares were granted in 2014 with a total value of $23,166. A total of 7,065 of these shares were issued in 2014 and the remaining 12,500 shares were included in stock payable at December 31, 2014 and issued in January 2015.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we entered into a capital markets advisory agreement covering a one-year period, which called for 90,000 shares of common stock to be issued as compensation. These shares were valued at $112,500 and were amortized to expense over the period of service. 45,000 of these shares were issued in March 2015. The agreement was terminated in July 2015, effective in August, and the remaining 45,000 shares were not issued. The total expense recognized was $56,250.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2015, we agreed to grant 197,605 fully vested shares of our common stock to two executive officers as bonuses. These shares have not been issued, but are recorded as stock payable and can be requested by the officers at any time.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(CONTINUED)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2015 we entered into a new capital markets advisory agreement covering a one-year period, which called for 90,000 shares of common stock to be issued as compensation. The first 45,000 shares were issued in September 2015 and valued at $41,400. These shares are being amortized over a six-month period. The agreement was cancelled in February 2016 and the remaining 45,000 shares will not be issued.</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the Company entered into a securities purchase agreement, pursuant to which the Company sold 8,333,333 shares of the Company’s common stock for $1.20 per share, or gross proceeds of $10,000,000.</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warrants were valued at $1,110,211, have been recorded as equity issuance costs, and were registered on a registration statement dated May 28, 2014. In addition to the warrants to placement agents, the Company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respective officers at any time.</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the net proceeds of the 2014 offering to exercise the securities redemption option agreement, as amended, with Vicis Capital Master Fund that provided the Company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was used for working capital purposes.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2014, an officer exercised 500,000 stock warrants using the cashless exercise feature included in the warrants. In exchange for the 500,000 warrants, 410,348 shares of common stock were issued. In October 2014, a consultant exercised 50,000 stock warrants using the cashless exercise feature included in the warrants. In exchange for the 50,000 warrants, 35,417 shares of common stock were issued.</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2014, the Company agreed to grant 337,500 shares of common stock, half of which vested immediately and half of which vested in August 2014, to two executive officers as bonuses based on their efforts to recapitalize the Company to secure approximately $3 million in working capital while reducing potential fully diluted shares by approximately 7 million shares. Stock-based compensation related to these bonuses was $570,375 during the year ended December 31, 2014. These shares have not yet been issued and are recorded as stock payable, but can be requested by the officers at any time.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 An additional 10,000 shares were issued in 2014 before the agreement was terminated by the Company. The 2014 shares were valued at $1.85, the closing price of the Company’s common stock on the date of issuance.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COMMON STOCK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10, 2013, the Company entered into a capital markets advisory agreement with Taglich Brothers, Inc. for various services. The agreement covered a one-year period and the Company agreed to issue 44,000 shares of common stock to Taglich over the term of the agreement. The shares were valued at $1.66, the closing price of the stock on the date of the agreement and were written off over the term of the agreement. The shares were issued in June 2014 upon expiration of the contract.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20, 2013, the Company entered into a separation agreement that included post-employment consulting services with a former CEO of the Company. The Company agreed to issue 500,000 shares of common stock, 250,000 shares immediately and 250,000 by January 1, 2014. The shares were issued and the Company recognized the entire issuance in the December 31, 2013 shares outstanding. The shares were valued at $505,000 and $174,808 of that amount remained as deferred stock compensation as of December 31, 2013, but was fully amortized to expense in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were convertible into 3,500,000 shares of common stock and bore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were entitled to semi-annual dividends payable on the stated value of the Series A preferred stock at a rate of 10% per annum, which was cumulative, and accrued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was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could cause this conversion at the time the shares were eligible for resale by the holder. The conversion price was subject to adjustment as hereinafter provided, at any time, or from time to time upon the terms and in the manner hereinafter set forth in the shareholder agreement. There was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had undeclared dividends that were due in February and September 2012 totaling $350,000 and undeclared dividends of $350,000 that were due in February and September 2013 for a total undeclared amount of $700,000 as of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9, all of the Series A Preferred shares were redeemed in 2014.</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were convertible into 1,000,000 shares of common stock and bore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were convertible into 1,000,000 shares of common stock and bore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were entitled to semi-annual dividends payable on the stated value of the Series B preferred stock at a rate of 10% per annum, which was cumulative, and accrued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was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holder could cause this conversion at the time the shares were eligible for resale by the holder. The conversion price was subject to adjustment as hereinafter provided, at any time, or from time to time upon the terms and in the manner hereinafter set forth in the shareholder agreement.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had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greater detail in Note 9, all of the Series B Preferred shares were redeemed in 2014.</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sponsors a stock-based incentive compensation plan known as the 2013 Equity Compensation Plan (the “Plan”), which was established by the Board of Directors of the Company in June 2013. A total of 1,500,000 shares were initially reserved for issuance under the Plan, of which 1,085,000 options have been granted and remain outstanding and 735,105 shares have been granted, but not issued. Of the shares granted but not issued, the Company has committed to retire 295,384 of those shares for cash. The Company has no remaining shares available to grant under the Plan, but intends to amend the Plan to increase the number of shares authorized.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are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Prior to establishment of the Plan, the Board granted options under terms similar to those described in the preceding paragraphs.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cost that has been charged against income related to options for the years ended December 31, 2015 and 2014, was $253,358 and $272,804, respectively. No income tax benefit was recognized in the income statement and no compensation was capitalized in any of the years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The Company had the following option activity during the years ended December 31, 2015 and 2014:</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2014</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Granted - 2014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387,500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Expired – 2014</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2014</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Granted – 2015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Exercised – 2015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Expired – 2015</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(242,500)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88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Balance, December 31, 2015</w:t>
            </w: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vMerge w:val="continue"/>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
        </w:trPr>
        <w:tc>
          <w:tcPr>
            <w:tcW w:w="8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issued warrants, primarily in connection with capital raising activities. As discussed in Note 9, in 2015, we issued 240,444 warrants, with an exercise price of $0.7875 per share in connection with the strategic investment by WPP. As also discussed in Note 9, in 2014 we issued 804,139 warrants, with an exercise price of $1.20 per share, in connection with a $10 million equity raise, the proceeds of which were used to retire common stock, preferred, stock, and previously existing warrants.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The Company had the following warrants outstanding as of December 31, 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color w:val="auto"/>
                <w:w w:val="94"/>
              </w:rPr>
              <w:t>Expiration</w:t>
            </w:r>
          </w:p>
        </w:tc>
        <w:tc>
          <w:tcPr>
            <w:tcW w:w="0" w:type="dxa"/>
            <w:vAlign w:val="bottom"/>
          </w:tcPr>
          <w:p>
            <w:pPr>
              <w:spacing w:after="0"/>
              <w:rPr>
                <w:sz w:val="1"/>
                <w:szCs w:val="1"/>
                <w:color w:val="auto"/>
              </w:rPr>
            </w:pPr>
          </w:p>
        </w:tc>
      </w:tr>
      <w:tr>
        <w:trPr>
          <w:trHeight w:val="237"/>
        </w:trPr>
        <w:tc>
          <w:tcPr>
            <w:tcW w:w="8700" w:type="dxa"/>
            <w:vAlign w:val="bottom"/>
            <w:gridSpan w:val="2"/>
          </w:tcPr>
          <w:p>
            <w:pPr>
              <w:spacing w:after="0"/>
              <w:rPr>
                <w:sz w:val="20"/>
                <w:szCs w:val="20"/>
                <w:color w:val="auto"/>
              </w:rPr>
            </w:pPr>
            <w:r>
              <w:rPr>
                <w:rFonts w:ascii="Arial" w:cs="Arial" w:eastAsia="Arial" w:hAnsi="Arial"/>
                <w:sz w:val="18"/>
                <w:szCs w:val="18"/>
                <w:color w:val="auto"/>
              </w:rPr>
              <w:t>Number of Warrants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Price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50,000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2/17/2016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804,139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3/17/2019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240,444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0.7875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9/24/2020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color w:val="auto"/>
              </w:rPr>
              <w:t>The Company had the following warrant activity during the years ended December 31, 2015 and 2014: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Number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Warrants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804,139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Cancelled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Borders>
              <w:top w:val="single" w:sz="8" w:color="CCEEFF"/>
            </w:tcBorders>
          </w:tcPr>
          <w:p>
            <w:pPr>
              <w:ind w:left="160"/>
              <w:spacing w:after="0" w:line="203" w:lineRule="exact"/>
              <w:rPr>
                <w:sz w:val="20"/>
                <w:szCs w:val="20"/>
                <w:color w:val="auto"/>
              </w:rPr>
            </w:pPr>
            <w:r>
              <w:rPr>
                <w:rFonts w:ascii="Arial" w:cs="Arial" w:eastAsia="Arial" w:hAnsi="Arial"/>
                <w:sz w:val="18"/>
                <w:szCs w:val="18"/>
                <w:color w:val="auto"/>
              </w:rPr>
              <w:t>Balance, December 31, 2014</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1,854,139</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240,444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0.7875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Balance, December 31, 2015</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2,094,583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the lease for its current office space located in Rochester Michigan on December 1, 2011 at an approximate rent of $5,000 per month. The initial lease term was for three years with an option to renew for an additional two years at approximately $5,200 per month. The lease was renewed and now expires on November 30,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tcPr>
          <w:p>
            <w:pPr>
              <w:spacing w:after="0"/>
              <w:rPr>
                <w:sz w:val="20"/>
                <w:szCs w:val="20"/>
                <w:color w:val="auto"/>
              </w:rPr>
            </w:pPr>
            <w:r>
              <w:rPr>
                <w:rFonts w:ascii="Arial" w:cs="Arial" w:eastAsia="Arial" w:hAnsi="Arial"/>
                <w:sz w:val="18"/>
                <w:szCs w:val="18"/>
                <w:color w:val="auto"/>
              </w:rPr>
              <w:t>Minimum annual rent payments are as follows for the remainder term of the lease:</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10180" w:type="dxa"/>
            <w:vAlign w:val="bottom"/>
          </w:tcPr>
          <w:p>
            <w:pPr>
              <w:spacing w:after="0"/>
              <w:rPr>
                <w:sz w:val="20"/>
                <w:szCs w:val="20"/>
                <w:color w:val="auto"/>
              </w:rPr>
            </w:pPr>
            <w:r>
              <w:rPr>
                <w:rFonts w:ascii="Arial" w:cs="Arial" w:eastAsia="Arial" w:hAnsi="Arial"/>
                <w:sz w:val="18"/>
                <w:szCs w:val="18"/>
                <w:color w:val="auto"/>
              </w:rPr>
              <w:t>Total lease commitment</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57,217</w:t>
            </w:r>
          </w:p>
        </w:tc>
        <w:tc>
          <w:tcPr>
            <w:tcW w:w="100" w:type="dxa"/>
            <w:vAlign w:val="bottom"/>
          </w:tcPr>
          <w:p>
            <w:pPr>
              <w:spacing w:after="0"/>
              <w:rPr>
                <w:sz w:val="20"/>
                <w:szCs w:val="20"/>
                <w:color w:val="auto"/>
              </w:rPr>
            </w:pPr>
          </w:p>
        </w:tc>
      </w:tr>
      <w:tr>
        <w:trPr>
          <w:trHeight w:val="21"/>
        </w:trPr>
        <w:tc>
          <w:tcPr>
            <w:tcW w:w="10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major customers that individually accounted for 10% or more of revenue in any one of the years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Percentage</w:t>
            </w:r>
          </w:p>
        </w:tc>
        <w:tc>
          <w:tcPr>
            <w:tcW w:w="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Eli Lilly and Company</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1,409,720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1,270,064</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Alcon Laboratories, Inc.</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958,653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797,972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Astellas Pharma US, Inc.</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341,555</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772,320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Daiichi Sanyko, Inc.</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541,201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644,702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Pfizer</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521,317</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628,741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All other customers</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3,448,232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2,389,163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7,220,678</w:t>
            </w:r>
          </w:p>
        </w:tc>
        <w:tc>
          <w:tcPr>
            <w:tcW w:w="142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6,502,962</w:t>
            </w:r>
          </w:p>
        </w:tc>
        <w:tc>
          <w:tcPr>
            <w:tcW w:w="1300" w:type="dxa"/>
            <w:vAlign w:val="bottom"/>
            <w:gridSpan w:val="2"/>
          </w:tcPr>
          <w:p>
            <w:pPr>
              <w:jc w:val="right"/>
              <w:ind w:right="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NOTE 15 – INCOME TAXES</w:t>
            </w:r>
          </w:p>
        </w:tc>
        <w:tc>
          <w:tcPr>
            <w:tcW w:w="1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12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2015, the Company had net operating loss carry forwards of approximately $9.1 million that expire from 2027 through 2035 that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w w:val="94"/>
              </w:rPr>
              <w:t>The provision for Federal income tax consists of the following for the years ended December 31, 2015 and 2014: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4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benefit attributable to:</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Current operations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202,000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349,000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Permanent and Timing Differences (net)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7"/>
        </w:trPr>
        <w:tc>
          <w:tcPr>
            <w:tcW w:w="84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Net provision for federal income tax</w:t>
            </w:r>
          </w:p>
        </w:tc>
        <w:tc>
          <w:tcPr>
            <w:tcW w:w="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vMerge w:val="continue"/>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8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2015 and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attributable to:</w:t>
            </w:r>
          </w:p>
        </w:tc>
        <w:tc>
          <w:tcPr>
            <w:tcW w:w="3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Net operating loss carryover</w:t>
            </w: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3,110,000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(3,110,000)</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(3,126,000)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vMerge w:val="restart"/>
          </w:tcPr>
          <w:p>
            <w:pPr>
              <w:ind w:left="360"/>
              <w:spacing w:after="0"/>
              <w:rPr>
                <w:sz w:val="20"/>
                <w:szCs w:val="20"/>
                <w:color w:val="auto"/>
              </w:rPr>
            </w:pPr>
            <w:r>
              <w:rPr>
                <w:rFonts w:ascii="Arial" w:cs="Arial" w:eastAsia="Arial" w:hAnsi="Arial"/>
                <w:sz w:val="18"/>
                <w:szCs w:val="18"/>
                <w:color w:val="auto"/>
              </w:rPr>
              <w:t>Net deferred tax asset</w:t>
            </w:r>
          </w:p>
        </w:tc>
        <w:tc>
          <w:tcPr>
            <w:tcW w:w="3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 It is likely that the fundraising activities of 2014 and 2015 have resulted in such an ownership change.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September, 2014, we initiated litigation against Shadron Stastney, our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to prevent Mr. Stastney from continuing to pursue his claims. Mr. Stastney has filed a counterclaim requesting damages in the amount of at least $450,000 related to the nonregistration of his shares. The parties are currently in the discovery process and a dispositive motion has been filed by Mr. Stastney. We are in the process of preparing our response to the motion.</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to resolve previous litigation with LDM. LDM breached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damages in an amount at least equal to the amounts paid to date to LDM under the settlement agreement, which is in excess of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filed a motion to dismissal of our claims except those for breach of contract. In January, the Court dismissed two of six claims asserted against LDM and PDR but allowed the remainder of our claims to continue forward. The parties are currently engaged in in the discovery process.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16 – COMMITMENTS AND CONTINGENT LIABILITIES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Separation benefits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Company hired a new CEO. The previous CEO will terminate as an employee effective March 31, 2016, but remain non-executive chairman of the Board. In connection with his separation from service, he will receive severance pay of 24 months, totaling approximately $405,000 and the Company will redeem 595,384 unissued common shares owing to him for an additional payment of $720,415. This includes the 300,000 shares described in Note 8, related party transactions, and 295,384 shares currently reflected in stock payable on the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Allscripts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2015, we signed an amendment to our Allscripts agreement whereby we became its exclusive eCoupon supplier and Allscripts agreed to integrate our eCoupon functionality into its Touchworks platform. Under the terms of this agreement, we agreed to pay $900,000 in two installments. The first installment of $250,000 was due and paid in November 2015. The second installment of $650,000 is due when the e-Coupon functionality is launched on a widespread basis in the Touchworks platform, which is currently expected to be in early 2017. If e-Coupon functionality is not launched by February, 2018, the initial payment of $250,000 will be refunded.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NOTE 17 – RETIREMENT PLAN</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no expense under this plan in either 2014 or 2015, as the plan became effective in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18 – SUBSEQUENT EVENTS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2015 through the date these financial statements were issued and has determined that it does not have any material subsequent events to disclose in these financial statements other than the events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2016, we made the payment of $720,415 described in more detail in Note 16 to redeem shares of stock due to our former CEO.</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required by Rule 13a-15 under the Securities Exchange Act of 1934, we have carried out an evaluation of the effectiveness of our disclosure controls and procedures as of the end of the period covered by this annual report, being December 31, 2015. This evaluation was carried out under the supervision of, and with the participation of, our management, including our Chief Executive Officer and Chief Financial Officer.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Securities Exchange Act of 1934 is accumulated and communicated to management, including our Chief Executive Officer and Chief Financial Officer, to allow timely decisions regarding required disclosure.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upon that evaluation, we have concluded that our disclosure controls and procedures are not sufficient as of the end of the period covered by this annual report. We intend to implement additional procedures to improve disclosure controls.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Securities Exchange Act of 1934). Management has assessed the effectiveness of our internal control over financial reporting as of December 31, 2015 based on criteria established in Internal Control-Integrated Framework issued by the Committee of Sponsoring Organizations of the Treadway Commission. As a result of this assessment, management concluded that, as of December 31, 2015, our internal control over financial reporting was not effective. Our management identified the following material weaknesses in our internal control over financial reporting, which are indicative of many small companies with small staff: (i) inadequate segregation of duties and effective risk assessment; and (ii) inadequate information technology reporting systems to insure that accurate information is provided for accounting and financial reporting with respect to the requirements and application of both US GAAP and SEC guidelines.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taken steps to enhance and improve the design of our internal control over financial reporting. During the period covered by this annual report on Form 10-K, we have not been able to completely remediate the material weaknesses identified above. To remediate such weaknesses, we plan to implement the following changes during our fiscal year ending December 31, 2016. We have developed, and will continue to develop, analytical procedures and reports which help identify potential errors. In addition, we have hired a new CEO with an operational and technical background and we intend to continue to develop improvements to the reporting systems in our information technology systems. We will continue to establish procedures to mitigate the segregation of duties issues, but it is not possible to completely remediate the issue without hiring additional personnel.</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an exemption for non-accelerated filers set forth in Section 989G of the Dodd-Frank Wall Street Reform and Consumer Protection Act.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2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Name</w:t>
            </w:r>
          </w:p>
        </w:tc>
        <w:tc>
          <w:tcPr>
            <w:tcW w:w="2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742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Positions and Offices Held</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David A. Harrell</w:t>
            </w:r>
          </w:p>
        </w:tc>
        <w:tc>
          <w:tcPr>
            <w:tcW w:w="10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49</w:t>
            </w: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Chairman, Director, Former Chief Executive Officer</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William J. Febbo (1)</w:t>
            </w: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0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VP of Sales and Director</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Douglas Baker</w:t>
            </w: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Gus D. Halas</w:t>
            </w:r>
          </w:p>
        </w:tc>
        <w:tc>
          <w:tcPr>
            <w:tcW w:w="10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65</w:t>
            </w: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Jack Pinney</w:t>
            </w:r>
          </w:p>
        </w:tc>
        <w:tc>
          <w:tcPr>
            <w:tcW w:w="10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Lynn Vos</w:t>
            </w:r>
          </w:p>
        </w:tc>
        <w:tc>
          <w:tcPr>
            <w:tcW w:w="10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60</w:t>
            </w: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Effective February 22, 2016 Mr. Febbo succeeded Mr. Harrell as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Harrell founded the Company in January of 2006. He became a director when the Company changed from a limited liability to a corporation in 2007. He has served as our Chairman since September 20, 2013, and our Chief Executive Officer from September 20, 2013 through February 21, 2016.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Harrell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Mr. Harrell is qualified to serve on our Board of Directors because of his sales, marketing and business development experience in the pharmaceutical sector.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Febbo joined the company as Chief Executive Officer on February 22, 2016. Mr. Febbo brings more than 18 years of experience in building and managing health services and financial businesses. Before joining our company, Mr. Febbo served as Chairman and Founder of Plexus, LLC, a payment processing business for medical professionals. From 2007 to 2015, he worked with Merriman Holdings, Inc., an investment banking firm. There he served as Chief Operating Officer and assisted with capital raises in the tech, biotech, cleantech, consumer and resources industries. From 2013 to 2015, he also worked with Digital Capital Network, Inc., which operated a transaction platform for institutional and accredited investors. There he served as Chief Executive Officer and Co-Founder and managed the day-to-day operations of the digital portal for institutional level investments. Prior to Merriman, Mr Febbo was CEO and co-founder of MedPanel, a provider of market intelligence and communications for the pharmaceutical, biomedical, and medical device industries, which was eventually acquired by MCF Corporation.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Hamilton is qualified to serve on our Board of Directors because of his sales, marketing and business development experience in the pharmaceutical sector.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and Hooper Holmes, Inc.</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Pinney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2007 to the present, Dr. Pinney has served as Team Physician to the Great Lakes Loons baseball team in the LA Dodgers organization. From 2011 to the present, he has served as Medical Director for WellSport MidMichigan Medical Center. From 1992 to the present, he has served as Assistant Clinical Professor of Family Medicine for the Department of Family Medicine at Michigan State University College of Human Medicine. From 1992 to 2012, he served as Assistant Director for the Midland Family Practice Residency Program at MidMichigan Medical Center.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both"/>
        <w:spacing w:after="0" w:line="264" w:lineRule="auto"/>
        <w:rPr>
          <w:sz w:val="20"/>
          <w:szCs w:val="20"/>
          <w:color w:val="auto"/>
        </w:rPr>
      </w:pPr>
      <w:r>
        <w:rPr>
          <w:rFonts w:ascii="Arial" w:cs="Arial" w:eastAsia="Arial" w:hAnsi="Arial"/>
          <w:sz w:val="18"/>
          <w:szCs w:val="18"/>
          <w:color w:val="auto"/>
        </w:rPr>
        <w:t>Aside from that provided above, Dr. Pinney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Dr. Pinney is qualified to serve on our Board of Directors because of his expertise medicine and prescription practices of physicians.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Lynn Vos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Ms. Vos has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Ms. Vos brings extensive executive skills in digital marketing and communications in the healthcare industry to the Board.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authorize no less than three (3) and no more than Seven (7) Directors unless changed by the Board of Directors. The Investor Rights Agreement we signed with WPP Luxembourg Gamma Three Sarl states that our Board of Directors shall consist of five (5) Directors. We currently have five (5)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past 10 years,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firstLine="8"/>
        <w:spacing w:after="0" w:line="312" w:lineRule="auto"/>
        <w:tabs>
          <w:tab w:leader="none" w:pos="17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146" w:lineRule="exact"/>
        <w:rPr>
          <w:rFonts w:ascii="Arial" w:cs="Arial" w:eastAsia="Arial" w:hAnsi="Arial"/>
          <w:sz w:val="16"/>
          <w:szCs w:val="16"/>
          <w:color w:val="auto"/>
        </w:rPr>
      </w:pPr>
    </w:p>
    <w:p>
      <w:pPr>
        <w:ind w:left="180" w:hanging="172"/>
        <w:spacing w:after="0"/>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conviction in a criminal proceeding or being named a subject of a pending criminal proceeding (excluding traffic violations and other minor offenses);</w:t>
      </w:r>
    </w:p>
    <w:p>
      <w:pPr>
        <w:spacing w:after="0" w:line="248" w:lineRule="exact"/>
        <w:rPr>
          <w:rFonts w:ascii="Arial" w:cs="Arial" w:eastAsia="Arial" w:hAnsi="Arial"/>
          <w:sz w:val="16"/>
          <w:szCs w:val="16"/>
          <w:color w:val="auto"/>
        </w:rPr>
      </w:pPr>
    </w:p>
    <w:p>
      <w:pPr>
        <w:ind w:right="20" w:firstLine="8"/>
        <w:spacing w:after="0" w:line="277" w:lineRule="auto"/>
        <w:tabs>
          <w:tab w:leader="none" w:pos="1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71"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Engaging in any type of business practice; or</w:t>
      </w:r>
    </w:p>
    <w:p>
      <w:pPr>
        <w:spacing w:after="0" w:line="225" w:lineRule="exact"/>
        <w:rPr>
          <w:rFonts w:ascii="Arial" w:cs="Arial" w:eastAsia="Arial" w:hAnsi="Arial"/>
          <w:sz w:val="18"/>
          <w:szCs w:val="18"/>
          <w:color w:val="auto"/>
        </w:rPr>
      </w:pPr>
    </w:p>
    <w:p>
      <w:pPr>
        <w:ind w:right="20" w:firstLine="8"/>
        <w:spacing w:after="0" w:line="277" w:lineRule="auto"/>
        <w:tabs>
          <w:tab w:leader="none" w:pos="2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Engaging in any activity in connection with the purchase or sale of any security or commodity or in connection with any violation of Federal or State securities laws or Federal commodities laws;</w:t>
      </w:r>
    </w:p>
    <w:p>
      <w:pPr>
        <w:spacing w:after="0" w:line="170" w:lineRule="exact"/>
        <w:rPr>
          <w:sz w:val="20"/>
          <w:szCs w:val="20"/>
          <w:color w:val="auto"/>
        </w:rPr>
      </w:pPr>
    </w:p>
    <w:p>
      <w:pPr>
        <w:jc w:val="both"/>
        <w:ind w:firstLine="8"/>
        <w:spacing w:after="0" w:line="286" w:lineRule="auto"/>
        <w:tabs>
          <w:tab w:leader="none" w:pos="188" w:val="left"/>
        </w:tabs>
        <w:numPr>
          <w:ilvl w:val="0"/>
          <w:numId w:val="14"/>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165" w:lineRule="exact"/>
        <w:rPr>
          <w:rFonts w:ascii="Arial" w:cs="Arial" w:eastAsia="Arial" w:hAnsi="Arial"/>
          <w:sz w:val="17"/>
          <w:szCs w:val="17"/>
          <w:color w:val="auto"/>
        </w:rPr>
      </w:pPr>
    </w:p>
    <w:p>
      <w:pPr>
        <w:ind w:firstLine="8"/>
        <w:spacing w:after="0" w:line="277" w:lineRule="auto"/>
        <w:tabs>
          <w:tab w:leader="none" w:pos="1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70"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81" w:lineRule="exact"/>
        <w:rPr>
          <w:rFonts w:ascii="Arial" w:cs="Arial" w:eastAsia="Arial" w:hAnsi="Arial"/>
          <w:sz w:val="18"/>
          <w:szCs w:val="18"/>
          <w:color w:val="auto"/>
        </w:rPr>
      </w:pPr>
    </w:p>
    <w:p>
      <w:pPr>
        <w:ind w:firstLine="8"/>
        <w:spacing w:after="0" w:line="277" w:lineRule="auto"/>
        <w:tabs>
          <w:tab w:leader="none" w:pos="1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Any Federal or State securities or commodities law or regulation;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ind w:firstLine="8"/>
        <w:spacing w:after="0" w:line="308" w:lineRule="auto"/>
        <w:tabs>
          <w:tab w:leader="none" w:pos="186"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146" w:lineRule="exact"/>
        <w:rPr>
          <w:rFonts w:ascii="Arial" w:cs="Arial" w:eastAsia="Arial" w:hAnsi="Arial"/>
          <w:sz w:val="17"/>
          <w:szCs w:val="17"/>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law or regulation prohibiting mail or wire fraud or fraud in connection with any business entity; or</w:t>
      </w:r>
    </w:p>
    <w:p>
      <w:pPr>
        <w:spacing w:after="0" w:line="225" w:lineRule="exact"/>
        <w:rPr>
          <w:sz w:val="20"/>
          <w:szCs w:val="20"/>
          <w:color w:val="auto"/>
        </w:rPr>
      </w:pPr>
    </w:p>
    <w:p>
      <w:pPr>
        <w:jc w:val="both"/>
        <w:ind w:firstLine="8"/>
        <w:spacing w:after="0" w:line="259" w:lineRule="auto"/>
        <w:tabs>
          <w:tab w:leader="none" w:pos="1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2015, the board of directors: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upon the board of directors’ review and discussion of the matters above, the board of directors authorized inclusion of the audited financial statements for the year ended December 31, 2015 to be included in this Annual Report on Form 10-K and filed with the Securities and Exchange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2015, other than the Form 3 for Director Vos which was filed late.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2015, we had not adopted a Code of Ethics. We felt, until recently, the small number of individuals comprising our board and management did not warrant the adoption of a Code of Ethics. Now that we have expanded our board and our increasing the size of our organization, we intend to adopt a Code of Ethics in the near future at our next Board Meeting.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Stock</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Name and principal</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Salary</w:t>
            </w: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Bonus</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Awards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Awards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184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120" w:type="dxa"/>
            <w:vAlign w:val="bottom"/>
          </w:tcPr>
          <w:p>
            <w:pPr>
              <w:spacing w:after="0"/>
              <w:rPr>
                <w:sz w:val="20"/>
                <w:szCs w:val="20"/>
                <w:color w:val="auto"/>
              </w:rPr>
            </w:pP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Year</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A. Harrell</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2015</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201,508</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3"/>
              </w:rPr>
              <w:t>75,000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Chairman, Chief</w:t>
            </w:r>
          </w:p>
        </w:tc>
        <w:tc>
          <w:tcPr>
            <w:tcW w:w="138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183,750</w:t>
            </w:r>
          </w:p>
        </w:tc>
        <w:tc>
          <w:tcPr>
            <w:tcW w:w="116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w w:val="86"/>
              </w:rPr>
              <w:t>100,000</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394,969</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678,719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Executive Officer,</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Strategic Officer</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and Director</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165,000</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110,264</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1"/>
              </w:rPr>
              <w:t>VP of Sales and Director</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163,438</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458,906</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692,344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Douglas Baker</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143,750</w:t>
            </w:r>
          </w:p>
        </w:tc>
        <w:tc>
          <w:tcPr>
            <w:tcW w:w="13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60,000</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10,668</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CFO</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78,125</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131,110</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209,235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2008, we entered into an employment agreement with Mr. Harrell to serve as our CEO. The agreement was amended on January 14, 2013 to account for his new positions as CSO and Vice Chairman. The terms of his compensation, was an annual salary of $144,000 with a 5% cost of living increase on each 12 month anniversary. Mr. Harrell was also eligible for additional quarterly and annual bonus compensation, stock options, and stock grants based on performance metrics outlined by our board of directors. He was entitled to vacation and sick days, and other benefits included in the agreement. On March 18, 2010, we entered into an addendum to the employment agreement to increase his compensation to $152,004 annually.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28, 2010, we amended Mr. Harrell’s employment agreement to include a covenant not to compete covering the term of employment and continuing for a period of two years thereafter. As a result of the same amendment, Mr. Harrell is entitled to severance payments if his employment terminated, with or without cause. Such payments would be due monthly at his then current salary rate for a period of 24 months following termination. On August 14, 2013, we further amended the employment agreement with Mr. Harrell. Pursuant to the terms and conditions of the Amendment to Employment Agreement with David Harrell:</w:t>
      </w:r>
    </w:p>
    <w:p>
      <w:pPr>
        <w:spacing w:after="0" w:line="18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14, 2013 we granted restricted stock awards under our 2013 Incentive Plan. Mr. Harrell was awarded 121,875 shares of our common stock. The award vested in 2014 and was valued at $1.69 per share. Mr. Harrell was granted an additional restricted stock award of 100,000 shares under our 2013 Incentive Plan on January 9, 2014. This award was fully vested at the time of grant and was valued at $1.89 per share. In 2015, Mr. Harrell was awarded an additional 79,042 shares of restricted common stock, valued at $0.93 per share. All shares described in this paragraph remain unissued and are recorded as common stock payable at December 31, 2015.</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 2016, the Board of Directors approved termination of Mr. Harrell’s employment effective March 31, 2016 and termination of his role as CEO, effective February 21, 2016. In exchange Mr. Harrell will receive two years severance at his then current rate of $202,584, or a total of $405,176, to be paid monthly over a two year period. In addition, the Board approved an additional payout of $720,415 to retire 595,384 shares due and owing to Mr. Harrell, awarded in prior years, but not yet issued as of that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28, 2010, we amended Mr. Hamilton’s employment agreement to include a covenant not to compete covering the term of employment and continuing for a period of one year thereafter. As a result of the same amendment, Mr. Hamilton is entitled to severance payments if he is terminated with or without cause. Such payments would be due monthly at his then current salary rate for a period of 12 months following termination. On August 14, 2013, we amended the employment agreement with Mr. Hamilton to increase his base salary to $157,500 per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16, 2014, Mr. Hamilton’s salary was increased to a base salary of $165,000, and on February 1, 2016, his base salary was increased to $181,500, but no formal contract amendment was signed, in either instance.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14, 2013 we granted restricted stock awards under our 2013 Incentive Plan. Mr. Hamilton was awarded 215,625 shares of our common stock. The award vested in 2014 and was valued at $1.69 per share. Mr. Hamilton was granted an additional restricted stock award of 50,000 shares under our 2013 Incentive Plan on January 9, 2014. This award was fully vested at the time of grant and was valued at $1.89 per share. In 2015, Mr. Hamilton was awarded an additional 118,563 shares of restricted common stock, valued at $0.93 per share. All shares described in this paragraph remain unissued and are recorded as common stock payable at December 31, 2015.</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12, 2014, we entered into an employment agreement with Mr. Baker, our Chief Financial Officer. Under the agreement, we agreed to compensate Mr. Baker $125,000 annually and we granted him options to purchase 100,000 shares of our common stock, with 50% vesting after one year and 50% vesting after two years of hire. The options were valued at 1.3111 per share, or a total of $131,110, for financial statement purposes using the Black-Scholes pricing model. Effective April 1, 2015, Mr. Baker’s salary was increased to an annual rate of $150,000, and effective February 1, 2016 to an annual rate of $165,000. During 2015, Mr. Baker was granted an additional 100,000 options that vest in 2017.</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Baker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520" w:type="dxa"/>
            <w:vAlign w:val="bottom"/>
            <w:tcBorders>
              <w:top w:val="single" w:sz="8" w:color="auto"/>
              <w:bottom w:val="single" w:sz="8" w:color="auto"/>
            </w:tcBorders>
            <w:gridSpan w:val="4"/>
          </w:tcPr>
          <w:p>
            <w:pPr>
              <w:ind w:left="460"/>
              <w:spacing w:after="0"/>
              <w:rPr>
                <w:sz w:val="20"/>
                <w:szCs w:val="20"/>
                <w:color w:val="auto"/>
              </w:rPr>
            </w:pPr>
            <w:r>
              <w:rPr>
                <w:rFonts w:ascii="Arial" w:cs="Arial" w:eastAsia="Arial" w:hAnsi="Arial"/>
                <w:sz w:val="18"/>
                <w:szCs w:val="18"/>
                <w:color w:val="auto"/>
              </w:rPr>
              <w:t>OPTION AWARDS</w:t>
            </w:r>
          </w:p>
        </w:tc>
        <w:tc>
          <w:tcPr>
            <w:tcW w:w="1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300" w:type="dxa"/>
            <w:vAlign w:val="bottom"/>
            <w:tcBorders>
              <w:top w:val="single" w:sz="8" w:color="auto"/>
              <w:bottom w:val="single" w:sz="8" w:color="auto"/>
            </w:tcBorders>
            <w:gridSpan w:val="4"/>
          </w:tcPr>
          <w:p>
            <w:pPr>
              <w:ind w:left="240"/>
              <w:spacing w:after="0"/>
              <w:rPr>
                <w:sz w:val="20"/>
                <w:szCs w:val="20"/>
                <w:color w:val="auto"/>
              </w:rPr>
            </w:pPr>
            <w:r>
              <w:rPr>
                <w:rFonts w:ascii="Arial" w:cs="Arial" w:eastAsia="Arial" w:hAnsi="Arial"/>
                <w:sz w:val="18"/>
                <w:szCs w:val="18"/>
                <w:color w:val="auto"/>
              </w:rPr>
              <w:t>STOCK AWARDS</w:t>
            </w:r>
          </w:p>
        </w:tc>
        <w:tc>
          <w:tcPr>
            <w:tcW w:w="7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Incentive</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Market</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Plan</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Awards:</w:t>
            </w:r>
          </w:p>
        </w:tc>
        <w:tc>
          <w:tcPr>
            <w:tcW w:w="760" w:type="dxa"/>
            <w:vAlign w:val="bottom"/>
            <w:gridSpan w:val="2"/>
          </w:tcPr>
          <w:p>
            <w:pPr>
              <w:spacing w:after="0"/>
              <w:rPr>
                <w:sz w:val="20"/>
                <w:szCs w:val="20"/>
                <w:color w:val="auto"/>
              </w:rPr>
            </w:pPr>
            <w:r>
              <w:rPr>
                <w:rFonts w:ascii="Arial" w:cs="Arial" w:eastAsia="Arial" w:hAnsi="Arial"/>
                <w:sz w:val="18"/>
                <w:szCs w:val="18"/>
                <w:color w:val="auto"/>
                <w:w w:val="97"/>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of</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Incentive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of</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Plan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of</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or</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Unearned</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Awards: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0"/>
              </w:rPr>
              <w:t>Shares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Units</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Shares,</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Number of</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Number of</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or Units</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of</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Units or</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Securities</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Securities</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of</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Other</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Underlying</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Underlying</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Stock That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That</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Rights</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Unexercised</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Unexercised</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Option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Have</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Have</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That Have</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Options</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Unearned</w:t>
            </w:r>
          </w:p>
        </w:tc>
        <w:tc>
          <w:tcPr>
            <w:tcW w:w="1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Option</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Not</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Not</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Have Not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Price</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Expiration</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2"/>
              </w:rPr>
              <w:t>Vested</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Vested</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Vested</w:t>
            </w: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Vested</w:t>
            </w:r>
          </w:p>
        </w:tc>
        <w:tc>
          <w:tcPr>
            <w:tcW w:w="0" w:type="dxa"/>
            <w:vAlign w:val="bottom"/>
          </w:tcPr>
          <w:p>
            <w:pPr>
              <w:spacing w:after="0"/>
              <w:rPr>
                <w:sz w:val="1"/>
                <w:szCs w:val="1"/>
                <w:color w:val="auto"/>
              </w:rPr>
            </w:pPr>
          </w:p>
        </w:tc>
      </w:tr>
      <w:tr>
        <w:trPr>
          <w:trHeight w:val="237"/>
        </w:trPr>
        <w:tc>
          <w:tcPr>
            <w:tcW w:w="1120" w:type="dxa"/>
            <w:vAlign w:val="bottom"/>
            <w:gridSpan w:val="2"/>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Exercisable</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Unexercisable</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90"/>
              </w:rPr>
              <w:t>($)</w:t>
            </w:r>
          </w:p>
        </w:tc>
        <w:tc>
          <w:tcPr>
            <w:tcW w:w="180" w:type="dxa"/>
            <w:vAlign w:val="bottom"/>
          </w:tcPr>
          <w:p>
            <w:pPr>
              <w:spacing w:after="0"/>
              <w:rPr>
                <w:sz w:val="20"/>
                <w:szCs w:val="20"/>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Date</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Harrell</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46,850</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5/31/16</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1"/>
              </w:rPr>
              <w:t>Douglas Baker</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5/19/19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6/24/20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1"/>
              </w:rPr>
              <w:t>Terry Hamilton</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122,000</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5/31/16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compensation of our directors as of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Fees Earned or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Paid in Cash</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Stock Awards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Option Awards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Total ($)</w:t>
            </w:r>
          </w:p>
        </w:tc>
      </w:tr>
      <w:tr>
        <w:trPr>
          <w:trHeight w:val="216"/>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Gus D. Halas</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11,315</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20,894</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 Vos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our Director Compensation Plan, independent directors (“Outside Directors”) shall receive (a) a $25,000 annual cash retainer, payable in equal quarterly installments, and (b) reimbursement for expenses related to Board meeting attendance and any committee participation. Directors are expected to attend four meetings per year as well as spend an additional 10 – 20 hours per month on company matters. In addition, Outside Directors shall receive 25,000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sets forth the beneficial ownership by each person, other than executive officers and directors, known to us to beneficially own 5% or more of our outstanding common stock as of March 10. 2016. This information is based on public filings as of March 10, 2016. For the purposes of this Annual Report on Form 10-K,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Common</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Percentage of</w:t>
            </w:r>
          </w:p>
        </w:tc>
      </w:tr>
      <w:tr>
        <w:trPr>
          <w:trHeight w:val="241"/>
        </w:trPr>
        <w:tc>
          <w:tcPr>
            <w:tcW w:w="3880" w:type="dxa"/>
            <w:vAlign w:val="bottom"/>
          </w:tcPr>
          <w:p>
            <w:pPr>
              <w:spacing w:after="0"/>
              <w:rPr>
                <w:sz w:val="20"/>
                <w:szCs w:val="20"/>
                <w:color w:val="auto"/>
              </w:rPr>
            </w:pPr>
            <w:r>
              <w:rPr>
                <w:rFonts w:ascii="Arial" w:cs="Arial" w:eastAsia="Arial" w:hAnsi="Arial"/>
                <w:sz w:val="18"/>
                <w:szCs w:val="18"/>
                <w:b w:val="1"/>
                <w:bCs w:val="1"/>
                <w:color w:val="auto"/>
              </w:rPr>
              <w:t>More Than 5% Beneficial Owners:</w:t>
            </w:r>
          </w:p>
        </w:tc>
        <w:tc>
          <w:tcPr>
            <w:tcW w:w="4900" w:type="dxa"/>
            <w:vAlign w:val="bottom"/>
            <w:gridSpan w:val="3"/>
          </w:tcPr>
          <w:p>
            <w:pPr>
              <w:ind w:left="120"/>
              <w:spacing w:after="0"/>
              <w:rPr>
                <w:sz w:val="20"/>
                <w:szCs w:val="20"/>
                <w:color w:val="auto"/>
              </w:rPr>
            </w:pPr>
            <w:r>
              <w:rPr>
                <w:rFonts w:ascii="Arial" w:cs="Arial" w:eastAsia="Arial" w:hAnsi="Arial"/>
                <w:sz w:val="18"/>
                <w:szCs w:val="18"/>
                <w:b w:val="1"/>
                <w:bCs w:val="1"/>
                <w:color w:val="auto"/>
              </w:rPr>
              <w:t>Name and Address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Shares Owned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Class</w:t>
            </w:r>
          </w:p>
        </w:tc>
      </w:tr>
      <w:tr>
        <w:trPr>
          <w:trHeight w:val="202"/>
        </w:trPr>
        <w:tc>
          <w:tcPr>
            <w:tcW w:w="38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120" w:type="dxa"/>
            <w:vAlign w:val="bottom"/>
            <w:tcBorders>
              <w:top w:val="single" w:sz="8" w:color="CCEEFF"/>
            </w:tcBorders>
            <w:shd w:val="clear" w:color="auto" w:fill="CCEEFF"/>
          </w:tcPr>
          <w:p>
            <w:pPr>
              <w:spacing w:after="0"/>
              <w:rPr>
                <w:sz w:val="17"/>
                <w:szCs w:val="17"/>
                <w:color w:val="auto"/>
              </w:rPr>
            </w:pPr>
          </w:p>
        </w:tc>
        <w:tc>
          <w:tcPr>
            <w:tcW w:w="46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WPP PLC</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27 Farm Street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8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London, United Kingdom</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880" w:type="dxa"/>
            <w:vAlign w:val="bottom"/>
            <w:shd w:val="clear" w:color="auto" w:fill="CCEEFF"/>
          </w:tcPr>
          <w:p>
            <w:pPr>
              <w:spacing w:after="0"/>
              <w:rPr>
                <w:sz w:val="20"/>
                <w:szCs w:val="20"/>
                <w:color w:val="auto"/>
              </w:rPr>
            </w:pPr>
          </w:p>
        </w:tc>
        <w:tc>
          <w:tcPr>
            <w:tcW w:w="4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W1J 5RJ</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6,011,106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Common</w:t>
            </w:r>
          </w:p>
        </w:tc>
        <w:tc>
          <w:tcPr>
            <w:tcW w:w="49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Ronald L. Chez</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880" w:type="dxa"/>
            <w:vAlign w:val="bottom"/>
          </w:tcPr>
          <w:p>
            <w:pPr>
              <w:spacing w:after="0"/>
              <w:rPr>
                <w:sz w:val="18"/>
                <w:szCs w:val="18"/>
                <w:color w:val="auto"/>
              </w:rPr>
            </w:pP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55 East Monroe Street, Suite 3700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Chicago, IL 60603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2,721,976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02"/>
        </w:trPr>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490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Wolverine Flagship Fund</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88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Trading Limited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8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175 W Jackson Blvd, 3rd Flr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880" w:type="dxa"/>
            <w:vAlign w:val="bottom"/>
            <w:shd w:val="clear" w:color="auto" w:fill="CCEEFF"/>
          </w:tcPr>
          <w:p>
            <w:pPr>
              <w:spacing w:after="0"/>
              <w:rPr>
                <w:sz w:val="20"/>
                <w:szCs w:val="20"/>
                <w:color w:val="auto"/>
              </w:rPr>
            </w:pPr>
          </w:p>
        </w:tc>
        <w:tc>
          <w:tcPr>
            <w:tcW w:w="4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Chicago, IL 60604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2,154,500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Common</w:t>
            </w:r>
          </w:p>
        </w:tc>
        <w:tc>
          <w:tcPr>
            <w:tcW w:w="49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Harvey L. Poppel</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880" w:type="dxa"/>
            <w:vAlign w:val="bottom"/>
          </w:tcPr>
          <w:p>
            <w:pPr>
              <w:spacing w:after="0"/>
              <w:rPr>
                <w:sz w:val="18"/>
                <w:szCs w:val="18"/>
                <w:color w:val="auto"/>
              </w:rPr>
            </w:pP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110 El Mirasol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Palm Beach, FL 33480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2,129,028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05"/>
        </w:trPr>
        <w:tc>
          <w:tcPr>
            <w:tcW w:w="3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Common</w:t>
            </w:r>
          </w:p>
        </w:tc>
        <w:tc>
          <w:tcPr>
            <w:tcW w:w="4900" w:type="dxa"/>
            <w:vAlign w:val="bottom"/>
            <w:gridSpan w:val="3"/>
            <w:shd w:val="clear" w:color="auto" w:fill="CCEEFF"/>
          </w:tcPr>
          <w:p>
            <w:pPr>
              <w:ind w:left="120"/>
              <w:spacing w:after="0" w:line="206" w:lineRule="exact"/>
              <w:rPr>
                <w:sz w:val="20"/>
                <w:szCs w:val="20"/>
                <w:color w:val="auto"/>
              </w:rPr>
            </w:pPr>
            <w:r>
              <w:rPr>
                <w:rFonts w:ascii="Arial" w:cs="Arial" w:eastAsia="Arial" w:hAnsi="Arial"/>
                <w:sz w:val="18"/>
                <w:szCs w:val="18"/>
                <w:color w:val="auto"/>
              </w:rPr>
              <w:t>Goldman Capital Management, Inc.</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3"/>
        </w:trPr>
        <w:tc>
          <w:tcPr>
            <w:tcW w:w="3880" w:type="dxa"/>
            <w:vAlign w:val="bottom"/>
            <w:shd w:val="clear" w:color="auto" w:fill="CCEEFF"/>
          </w:tcPr>
          <w:p>
            <w:pPr>
              <w:spacing w:after="0"/>
              <w:rPr>
                <w:sz w:val="21"/>
                <w:szCs w:val="21"/>
                <w:color w:val="auto"/>
              </w:rPr>
            </w:pPr>
          </w:p>
        </w:tc>
        <w:tc>
          <w:tcPr>
            <w:tcW w:w="4900" w:type="dxa"/>
            <w:vAlign w:val="bottom"/>
            <w:gridSpan w:val="3"/>
            <w:shd w:val="clear" w:color="auto" w:fill="CCEEFF"/>
          </w:tcPr>
          <w:p>
            <w:pPr>
              <w:ind w:left="120"/>
              <w:spacing w:after="0" w:line="253" w:lineRule="exact"/>
              <w:rPr>
                <w:sz w:val="20"/>
                <w:szCs w:val="20"/>
                <w:color w:val="auto"/>
              </w:rPr>
            </w:pPr>
            <w:r>
              <w:rPr>
                <w:rFonts w:ascii="Arial" w:cs="Arial" w:eastAsia="Arial" w:hAnsi="Arial"/>
                <w:sz w:val="18"/>
                <w:szCs w:val="18"/>
                <w:color w:val="auto"/>
              </w:rPr>
              <w:t>767 Third Ave.,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30"/>
        </w:trPr>
        <w:tc>
          <w:tcPr>
            <w:tcW w:w="3880" w:type="dxa"/>
            <w:vAlign w:val="bottom"/>
            <w:shd w:val="clear" w:color="auto" w:fill="CCEEFF"/>
          </w:tcPr>
          <w:p>
            <w:pPr>
              <w:spacing w:after="0"/>
              <w:rPr>
                <w:sz w:val="20"/>
                <w:szCs w:val="20"/>
                <w:color w:val="auto"/>
              </w:rPr>
            </w:pPr>
          </w:p>
        </w:tc>
        <w:tc>
          <w:tcPr>
            <w:tcW w:w="4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New York, NY 10017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1,532,394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r>
      <w:tr>
        <w:trPr>
          <w:trHeight w:val="655"/>
        </w:trPr>
        <w:tc>
          <w:tcPr>
            <w:tcW w:w="38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2"/>
          </w:tcPr>
          <w:p>
            <w:pPr>
              <w:ind w:left="176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March 10, 2016, by each director, each executive officer, and by the directors and executive officers as a group. Unless otherwise indicated, each person or member of the group listed has sole voting and investment power with respect to the shares of common stock listed.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0"/>
              </w:rPr>
              <w:t>Options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Shares Related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2"/>
              </w:rPr>
              <w:t>to Stock</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3"/>
              </w:rPr>
              <w:t>Included</w:t>
            </w:r>
          </w:p>
        </w:tc>
        <w:tc>
          <w:tcPr>
            <w:tcW w:w="1340" w:type="dxa"/>
            <w:vAlign w:val="bottom"/>
            <w:gridSpan w:val="2"/>
            <w:vMerge w:val="continue"/>
          </w:tcPr>
          <w:p>
            <w:pPr>
              <w:spacing w:after="0"/>
              <w:rPr>
                <w:sz w:val="7"/>
                <w:szCs w:val="7"/>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0"/>
              </w:rPr>
              <w:t>Common</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8"/>
              </w:rPr>
              <w:t>Awards and</w:t>
            </w: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4"/>
              </w:rPr>
              <w:t>in Beneficial</w:t>
            </w:r>
          </w:p>
        </w:tc>
        <w:tc>
          <w:tcPr>
            <w:tcW w:w="1340" w:type="dxa"/>
            <w:vAlign w:val="bottom"/>
            <w:gridSpan w:val="2"/>
            <w:vMerge w:val="continue"/>
          </w:tcPr>
          <w:p>
            <w:pPr>
              <w:spacing w:after="0"/>
              <w:rPr>
                <w:sz w:val="5"/>
                <w:szCs w:val="5"/>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Beneficial</w:t>
            </w:r>
          </w:p>
        </w:tc>
        <w:tc>
          <w:tcPr>
            <w:tcW w:w="13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Note Payable</w:t>
            </w:r>
          </w:p>
        </w:tc>
        <w:tc>
          <w:tcPr>
            <w:tcW w:w="13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ind w:left="1960"/>
              <w:spacing w:after="0"/>
              <w:rPr>
                <w:sz w:val="20"/>
                <w:szCs w:val="20"/>
                <w:color w:val="auto"/>
              </w:rPr>
            </w:pPr>
            <w:r>
              <w:rPr>
                <w:rFonts w:ascii="Arial" w:cs="Arial" w:eastAsia="Arial" w:hAnsi="Arial"/>
                <w:sz w:val="18"/>
                <w:szCs w:val="18"/>
                <w:color w:val="auto"/>
              </w:rPr>
              <w:t>Name(1)</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Ownership (2)</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2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Owned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Ownership</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of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Harrell</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46,850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2,583,750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2,630,600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William J. Febbo</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9,433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9,433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384,188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364,500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870,688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Brooks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Douglas P. Baker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Gus D. Halas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777,079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777,079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9"/>
              </w:rPr>
              <w:t>All Executive Officers and Directors as a group (6 persons)</w:t>
            </w:r>
          </w:p>
        </w:tc>
        <w:tc>
          <w:tcPr>
            <w:tcW w:w="1160" w:type="dxa"/>
            <w:vAlign w:val="bottom"/>
          </w:tcPr>
          <w:p>
            <w:pPr>
              <w:jc w:val="right"/>
              <w:spacing w:after="0"/>
              <w:rPr>
                <w:sz w:val="20"/>
                <w:szCs w:val="20"/>
                <w:color w:val="auto"/>
              </w:rPr>
            </w:pPr>
            <w:r>
              <w:rPr>
                <w:rFonts w:ascii="Arial" w:cs="Arial" w:eastAsia="Arial" w:hAnsi="Arial"/>
                <w:sz w:val="18"/>
                <w:szCs w:val="18"/>
                <w:color w:val="auto"/>
              </w:rPr>
              <w:t>218,850</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384,188</w:t>
            </w:r>
          </w:p>
        </w:tc>
        <w:tc>
          <w:tcPr>
            <w:tcW w:w="1140" w:type="dxa"/>
            <w:vAlign w:val="bottom"/>
          </w:tcPr>
          <w:p>
            <w:pPr>
              <w:jc w:val="right"/>
              <w:spacing w:after="0"/>
              <w:rPr>
                <w:sz w:val="20"/>
                <w:szCs w:val="20"/>
                <w:color w:val="auto"/>
              </w:rPr>
            </w:pPr>
            <w:r>
              <w:rPr>
                <w:rFonts w:ascii="Arial" w:cs="Arial" w:eastAsia="Arial" w:hAnsi="Arial"/>
                <w:sz w:val="18"/>
                <w:szCs w:val="18"/>
                <w:color w:val="auto"/>
              </w:rPr>
              <w:t>3,799,781</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4,402,819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address of each person named in this table is c/o OptimizeRx Corp., 400 Water Street, Suite 200, Rochester, MI 48307.</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March XX, 2016, and are included in common stock beneficial ownership pursuant to Rule 13d-3(d)(1) of the Exchange Act.</w:t>
      </w: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column lists shares that are obtainable as result of stock awards for shares not yet issued or notes that are payable in stock as of March 10, 2015.</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2015, WPP made a strategic investment in the Company and is a shareholder that owns approximately 20% of the shares of the Company. During 2015, we had billings of $420,503 to agencies that are part of the WPP group and recognized revenue of $178,855 related to those billings. As of December 31, 2015, we have receivables included in trade receivables on the balance sheet of $381,125 from WPP agencies and amounts due to WPP agencies included in revenue share payable of $37,803 as of December 31, 2015.</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On September 24, 2015, we entered into an Investor Rights Agreement with WPP (the “Rights Agreement”), pursuant to which we agreed to the following:</w:t>
      </w:r>
    </w:p>
    <w:p>
      <w:pPr>
        <w:spacing w:after="0" w:line="248" w:lineRule="exact"/>
        <w:rPr>
          <w:sz w:val="20"/>
          <w:szCs w:val="20"/>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We granted WPP registration rights for its shares and any securities acquired in connection with an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Co-Marketing Agreement (described below) after a period of two years.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Inspection Rights</w:t>
      </w:r>
      <w:r>
        <w:rPr>
          <w:rFonts w:ascii="Arial" w:cs="Arial" w:eastAsia="Arial" w:hAnsi="Arial"/>
          <w:sz w:val="17"/>
          <w:szCs w:val="17"/>
          <w:color w:val="auto"/>
        </w:rPr>
        <w:t>. So long as WPP owns not less than 25% of the shares, we granted WPP an annual right to inspect our books and records.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Observer Rights</w:t>
      </w:r>
      <w:r>
        <w:rPr>
          <w:rFonts w:ascii="Arial" w:cs="Arial" w:eastAsia="Arial" w:hAnsi="Arial"/>
          <w:sz w:val="18"/>
          <w:szCs w:val="18"/>
          <w:color w:val="auto"/>
        </w:rPr>
        <w:t>. So long as WPP owns not less than 25% of the shares, we will allow WPP to choose a representative to attend our board meetings</w:t>
      </w:r>
      <w:r>
        <w:rPr>
          <w:rFonts w:ascii="Arial" w:cs="Arial" w:eastAsia="Arial" w:hAnsi="Arial"/>
          <w:sz w:val="18"/>
          <w:szCs w:val="18"/>
          <w:i w:val="1"/>
          <w:iCs w:val="1"/>
          <w:color w:val="auto"/>
        </w:rPr>
        <w:t xml:space="preserve"> </w:t>
      </w:r>
      <w:r>
        <w:rPr>
          <w:rFonts w:ascii="Arial" w:cs="Arial" w:eastAsia="Arial" w:hAnsi="Arial"/>
          <w:sz w:val="18"/>
          <w:szCs w:val="18"/>
          <w:color w:val="auto"/>
        </w:rPr>
        <w:t>as a nonvoting observer.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Board Seat</w:t>
      </w:r>
      <w:r>
        <w:rPr>
          <w:rFonts w:ascii="Arial" w:cs="Arial" w:eastAsia="Arial" w:hAnsi="Arial"/>
          <w:sz w:val="18"/>
          <w:szCs w:val="18"/>
          <w:color w:val="auto"/>
        </w:rPr>
        <w:t>. So long as WPP owns not less than 25% of the shares, we agreed to appoint a nominee of WPP as a member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agreed to a five member Board of Directors provided that it is not prohibited by the rules and regulations of an exchange that we trade on. We also agreed to enter into an indemnity agreement with the nominee.</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Budget Review</w:t>
      </w:r>
      <w:r>
        <w:rPr>
          <w:rFonts w:ascii="Arial" w:cs="Arial" w:eastAsia="Arial" w:hAnsi="Arial"/>
          <w:sz w:val="18"/>
          <w:szCs w:val="18"/>
          <w:color w:val="auto"/>
        </w:rPr>
        <w:t>. So long as WPP owns not less than 25% of the shares, we agreed to review our budget plans with WPP’s nominee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submission to the Board of Directors, at the request of WPP.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Right of First Refusal</w:t>
      </w:r>
      <w:r>
        <w:rPr>
          <w:rFonts w:ascii="Arial" w:cs="Arial" w:eastAsia="Arial" w:hAnsi="Arial"/>
          <w:sz w:val="17"/>
          <w:szCs w:val="17"/>
          <w:color w:val="auto"/>
        </w:rPr>
        <w:t>. We agreed that, in the event that we propose to sell new securities, we will first offer such new securities to WPP.</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Special Approval Matters</w:t>
      </w:r>
      <w:r>
        <w:rPr>
          <w:rFonts w:ascii="Arial" w:cs="Arial" w:eastAsia="Arial" w:hAnsi="Arial"/>
          <w:sz w:val="18"/>
          <w:szCs w:val="18"/>
          <w:color w:val="auto"/>
        </w:rPr>
        <w:t>. So long as WPP owns not less than 25% of the shares, and provided that it is not prohibited by the rules and regulations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an exchange that we trade on, we agreed that 80% Board approval will be required for certain decisions, including:</w:t>
      </w:r>
    </w:p>
    <w:p>
      <w:pPr>
        <w:spacing w:after="0" w:line="170"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spacing w:after="0" w:line="170" w:lineRule="exact"/>
        <w:rPr>
          <w:rFonts w:ascii="Arial" w:cs="Arial" w:eastAsia="Arial" w:hAnsi="Arial"/>
          <w:sz w:val="18"/>
          <w:szCs w:val="18"/>
          <w:color w:val="auto"/>
        </w:rPr>
      </w:pPr>
    </w:p>
    <w:p>
      <w:pPr>
        <w:jc w:val="both"/>
        <w:ind w:left="1300" w:right="300" w:hanging="320"/>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our then issued and outstanding capital stock.</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24, 2015, we amended and restated an existing Co-Marketing Agreement with Grey Healthcare Group, LLC (“GHG”) an affiliate of WPP (the “Amended and Restated Co-Marketing Agreement”). The Amended and Restated Co-Marketing Agreement was amended to give the GHG the option to receive all or part of the compensation due under the agreement in shares of our common stock. Shares issuable under the Amended and Restated Co-Marketing Agreement will be issued to WPP or any other affiliate of GHG designated in writing by GHG at the following rates:</w:t>
      </w:r>
    </w:p>
    <w:p>
      <w:pPr>
        <w:spacing w:after="0" w:line="171"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Until June 30, 2016, we will issue the number of shares of common stock equal to GHG’s share of net revenues received for sales of new services to GHG or Company clients (“GHG Net Revenues”) divided by $0.7875.</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June 30, 2016, we will issue the number of shares of common stock equal to the GHG Net Revenues divided by a price equal to 80% multiplied by the average trading price of one share of common stock during the 30 trading day period immediately prior to the date of the most recent statement of GHG Net Revenues set forth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Below is the table of Audit Fees (amounts in US$) billed by our auditor in connection with the audit of the Company’s annual financial statements and review of the quarterly financial statements for the years ended: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jc w:val="center"/>
              <w:ind w:left="1050"/>
              <w:spacing w:after="0"/>
              <w:rPr>
                <w:sz w:val="20"/>
                <w:szCs w:val="20"/>
                <w:color w:val="auto"/>
              </w:rPr>
            </w:pPr>
            <w:r>
              <w:rPr>
                <w:rFonts w:ascii="Arial" w:cs="Arial" w:eastAsia="Arial" w:hAnsi="Arial"/>
                <w:sz w:val="18"/>
                <w:szCs w:val="18"/>
                <w:color w:val="auto"/>
                <w:w w:val="91"/>
              </w:rPr>
              <w:t>Financial Statements for the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15"/>
              <w:spacing w:after="0"/>
              <w:rPr>
                <w:sz w:val="20"/>
                <w:szCs w:val="20"/>
                <w:color w:val="auto"/>
              </w:rPr>
            </w:pPr>
            <w:r>
              <w:rPr>
                <w:rFonts w:ascii="Arial" w:cs="Arial" w:eastAsia="Arial" w:hAnsi="Arial"/>
                <w:sz w:val="18"/>
                <w:szCs w:val="18"/>
                <w:color w:val="auto"/>
              </w:rPr>
              <w:t>Audit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820" w:type="dxa"/>
            <w:vAlign w:val="bottom"/>
          </w:tcPr>
          <w:p>
            <w:pPr>
              <w:jc w:val="center"/>
              <w:ind w:left="105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Audit Services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Related Fees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Tax Fees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Other Fees</w:t>
            </w:r>
          </w:p>
        </w:tc>
      </w:tr>
      <w:tr>
        <w:trPr>
          <w:trHeight w:val="216"/>
        </w:trPr>
        <w:tc>
          <w:tcPr>
            <w:tcW w:w="4820" w:type="dxa"/>
            <w:vAlign w:val="bottom"/>
            <w:tcBorders>
              <w:top w:val="single" w:sz="8" w:color="auto"/>
            </w:tcBorders>
            <w:shd w:val="clear" w:color="auto" w:fill="CCEEFF"/>
          </w:tcPr>
          <w:p>
            <w:pPr>
              <w:jc w:val="center"/>
              <w:ind w:left="1050"/>
              <w:spacing w:after="0"/>
              <w:rPr>
                <w:sz w:val="20"/>
                <w:szCs w:val="20"/>
                <w:color w:val="auto"/>
              </w:rPr>
            </w:pPr>
            <w:r>
              <w:rPr>
                <w:rFonts w:ascii="Arial" w:cs="Arial" w:eastAsia="Arial" w:hAnsi="Arial"/>
                <w:sz w:val="18"/>
                <w:szCs w:val="18"/>
                <w:color w:val="auto"/>
                <w:w w:val="89"/>
              </w:rPr>
              <w:t>2015</w:t>
            </w: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7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820" w:type="dxa"/>
            <w:vAlign w:val="bottom"/>
          </w:tcPr>
          <w:p>
            <w:pPr>
              <w:jc w:val="center"/>
              <w:ind w:left="1050"/>
              <w:spacing w:after="0"/>
              <w:rPr>
                <w:sz w:val="20"/>
                <w:szCs w:val="20"/>
                <w:color w:val="auto"/>
              </w:rPr>
            </w:pPr>
            <w:r>
              <w:rPr>
                <w:rFonts w:ascii="Arial" w:cs="Arial" w:eastAsia="Arial" w:hAnsi="Arial"/>
                <w:sz w:val="18"/>
                <w:szCs w:val="18"/>
                <w:color w:val="auto"/>
                <w:w w:val="89"/>
              </w:rPr>
              <w:t>2014</w:t>
            </w:r>
          </w:p>
        </w:tc>
        <w:tc>
          <w:tcPr>
            <w:tcW w:w="1640" w:type="dxa"/>
            <w:vAlign w:val="bottom"/>
            <w:gridSpan w:val="3"/>
          </w:tcPr>
          <w:p>
            <w:pPr>
              <w:jc w:val="right"/>
              <w:ind w:right="21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36,100</w:t>
            </w:r>
          </w:p>
        </w:tc>
        <w:tc>
          <w:tcPr>
            <w:tcW w:w="1160" w:type="dxa"/>
            <w:vAlign w:val="bottom"/>
            <w:gridSpan w:val="2"/>
          </w:tcPr>
          <w:p>
            <w:pPr>
              <w:jc w:val="right"/>
              <w:ind w:right="875"/>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641"/>
        </w:trPr>
        <w:tc>
          <w:tcPr>
            <w:tcW w:w="4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035"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u w:val="single" w:color="auto"/>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12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Financial Statements and Schedules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and schedules listed below are included in this Form 10-K.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 (See Item 8)</w:t>
      </w:r>
    </w:p>
    <w:p>
      <w:pPr>
        <w:spacing w:after="0" w:line="117"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Exhibits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spacing w:after="0"/>
              <w:rPr>
                <w:sz w:val="18"/>
                <w:szCs w:val="18"/>
                <w:color w:val="auto"/>
              </w:rPr>
            </w:pPr>
          </w:p>
        </w:tc>
      </w:tr>
      <w:tr>
        <w:trPr>
          <w:trHeight w:val="241"/>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3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57"/>
        </w:trPr>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22"/>
                <w:szCs w:val="22"/>
                <w:color w:val="auto"/>
              </w:rPr>
            </w:pPr>
          </w:p>
        </w:tc>
        <w:tc>
          <w:tcPr>
            <w:tcW w:w="10380" w:type="dxa"/>
            <w:vAlign w:val="bottom"/>
            <w:tcBorders>
              <w:top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29"/>
                <w:szCs w:val="29"/>
                <w:color w:val="auto"/>
                <w:vertAlign w:val="superscript"/>
              </w:rPr>
              <w:t>1</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0380" w:type="dxa"/>
            <w:vAlign w:val="bottom"/>
          </w:tcPr>
          <w:p>
            <w:pPr>
              <w:spacing w:after="0" w:line="256" w:lineRule="exact"/>
              <w:rPr>
                <w:sz w:val="20"/>
                <w:szCs w:val="20"/>
                <w:color w:val="auto"/>
              </w:rPr>
            </w:pPr>
            <w:r>
              <w:rPr>
                <w:rFonts w:ascii="Arial" w:cs="Arial" w:eastAsia="Arial" w:hAnsi="Arial"/>
                <w:sz w:val="18"/>
                <w:szCs w:val="18"/>
                <w:color w:val="auto"/>
              </w:rPr>
              <w:t>Amended and Restated Bylaws of the Company</w:t>
            </w:r>
            <w:r>
              <w:rPr>
                <w:rFonts w:ascii="Arial" w:cs="Arial" w:eastAsia="Arial" w:hAnsi="Arial"/>
                <w:sz w:val="29"/>
                <w:szCs w:val="29"/>
                <w:color w:val="auto"/>
                <w:vertAlign w:val="superscript"/>
              </w:rPr>
              <w:t>2</w:t>
            </w:r>
          </w:p>
        </w:tc>
      </w:tr>
      <w:tr>
        <w:trPr>
          <w:trHeight w:val="25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2"/>
                <w:szCs w:val="22"/>
                <w:color w:val="auto"/>
              </w:rPr>
            </w:pPr>
          </w:p>
        </w:tc>
        <w:tc>
          <w:tcPr>
            <w:tcW w:w="10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29"/>
                <w:szCs w:val="29"/>
                <w:color w:val="auto"/>
                <w:vertAlign w:val="superscript"/>
              </w:rPr>
              <w:t>1</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10380" w:type="dxa"/>
            <w:vAlign w:val="bottom"/>
          </w:tcPr>
          <w:p>
            <w:pPr>
              <w:spacing w:after="0" w:line="256" w:lineRule="exact"/>
              <w:rPr>
                <w:sz w:val="20"/>
                <w:szCs w:val="20"/>
                <w:color w:val="auto"/>
              </w:rPr>
            </w:pPr>
            <w:r>
              <w:rPr>
                <w:rFonts w:ascii="Arial" w:cs="Arial" w:eastAsia="Arial" w:hAnsi="Arial"/>
                <w:sz w:val="18"/>
                <w:szCs w:val="18"/>
                <w:color w:val="auto"/>
              </w:rPr>
              <w:t>Certificate of Designation, filed on June 3, 2010 with the Secretary of State of the State of Nevada by the Company</w:t>
            </w:r>
            <w:r>
              <w:rPr>
                <w:rFonts w:ascii="Arial" w:cs="Arial" w:eastAsia="Arial" w:hAnsi="Arial"/>
                <w:sz w:val="29"/>
                <w:szCs w:val="29"/>
                <w:color w:val="auto"/>
                <w:vertAlign w:val="superscript"/>
              </w:rPr>
              <w:t>3</w:t>
            </w:r>
          </w:p>
        </w:tc>
      </w:tr>
      <w:tr>
        <w:trPr>
          <w:trHeight w:val="25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2"/>
                <w:szCs w:val="22"/>
                <w:color w:val="auto"/>
              </w:rPr>
            </w:pPr>
          </w:p>
        </w:tc>
        <w:tc>
          <w:tcPr>
            <w:tcW w:w="10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Employment Agreement between the Company and Terry Hamilton, dated August 1, 2008</w:t>
            </w:r>
            <w:r>
              <w:rPr>
                <w:rFonts w:ascii="Arial" w:cs="Arial" w:eastAsia="Arial" w:hAnsi="Arial"/>
                <w:sz w:val="29"/>
                <w:szCs w:val="29"/>
                <w:color w:val="auto"/>
                <w:vertAlign w:val="superscript"/>
              </w:rPr>
              <w:t>4</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10380" w:type="dxa"/>
            <w:vAlign w:val="bottom"/>
          </w:tcPr>
          <w:p>
            <w:pPr>
              <w:spacing w:after="0" w:line="256" w:lineRule="exact"/>
              <w:rPr>
                <w:sz w:val="20"/>
                <w:szCs w:val="20"/>
                <w:color w:val="auto"/>
              </w:rPr>
            </w:pPr>
            <w:r>
              <w:rPr>
                <w:rFonts w:ascii="Arial" w:cs="Arial" w:eastAsia="Arial" w:hAnsi="Arial"/>
                <w:sz w:val="18"/>
                <w:szCs w:val="18"/>
                <w:color w:val="auto"/>
              </w:rPr>
              <w:t>Employment Agreement between the Company and David Harrell, dated June 1, 2008</w:t>
            </w:r>
            <w:r>
              <w:rPr>
                <w:rFonts w:ascii="Arial" w:cs="Arial" w:eastAsia="Arial" w:hAnsi="Arial"/>
                <w:sz w:val="29"/>
                <w:szCs w:val="29"/>
                <w:color w:val="auto"/>
                <w:vertAlign w:val="superscript"/>
              </w:rPr>
              <w:t>4</w:t>
            </w:r>
          </w:p>
        </w:tc>
      </w:tr>
      <w:tr>
        <w:trPr>
          <w:trHeight w:val="25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2"/>
                <w:szCs w:val="22"/>
                <w:color w:val="auto"/>
              </w:rPr>
            </w:pPr>
          </w:p>
        </w:tc>
        <w:tc>
          <w:tcPr>
            <w:tcW w:w="10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Employment Agreement Addendum between the Company and Terry Hamilton, dated March 18, 2010</w:t>
            </w:r>
            <w:r>
              <w:rPr>
                <w:rFonts w:ascii="Arial" w:cs="Arial" w:eastAsia="Arial" w:hAnsi="Arial"/>
                <w:sz w:val="29"/>
                <w:szCs w:val="29"/>
                <w:color w:val="auto"/>
                <w:vertAlign w:val="superscript"/>
              </w:rPr>
              <w:t>4</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10380" w:type="dxa"/>
            <w:vAlign w:val="bottom"/>
          </w:tcPr>
          <w:p>
            <w:pPr>
              <w:spacing w:after="0" w:line="256" w:lineRule="exact"/>
              <w:rPr>
                <w:sz w:val="20"/>
                <w:szCs w:val="20"/>
                <w:color w:val="auto"/>
              </w:rPr>
            </w:pPr>
            <w:r>
              <w:rPr>
                <w:rFonts w:ascii="Arial" w:cs="Arial" w:eastAsia="Arial" w:hAnsi="Arial"/>
                <w:sz w:val="18"/>
                <w:szCs w:val="18"/>
                <w:color w:val="auto"/>
              </w:rPr>
              <w:t>Employment Agreement Addendum between the Company and David Harrell, dated March 18, 2010</w:t>
            </w:r>
            <w:r>
              <w:rPr>
                <w:rFonts w:ascii="Arial" w:cs="Arial" w:eastAsia="Arial" w:hAnsi="Arial"/>
                <w:sz w:val="29"/>
                <w:szCs w:val="29"/>
                <w:color w:val="auto"/>
                <w:vertAlign w:val="superscript"/>
              </w:rPr>
              <w:t>4</w:t>
            </w:r>
          </w:p>
        </w:tc>
      </w:tr>
      <w:tr>
        <w:trPr>
          <w:trHeight w:val="25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2"/>
                <w:szCs w:val="22"/>
                <w:color w:val="auto"/>
              </w:rPr>
            </w:pPr>
          </w:p>
        </w:tc>
        <w:tc>
          <w:tcPr>
            <w:tcW w:w="10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Amendment to Employment Agreement between the Company and Terry Hamilton, dated July 28, 2010</w:t>
            </w:r>
            <w:r>
              <w:rPr>
                <w:rFonts w:ascii="Arial" w:cs="Arial" w:eastAsia="Arial" w:hAnsi="Arial"/>
                <w:sz w:val="29"/>
                <w:szCs w:val="29"/>
                <w:color w:val="auto"/>
                <w:vertAlign w:val="superscript"/>
              </w:rPr>
              <w:t>5</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10380" w:type="dxa"/>
            <w:vAlign w:val="bottom"/>
          </w:tcPr>
          <w:p>
            <w:pPr>
              <w:spacing w:after="0" w:line="256" w:lineRule="exact"/>
              <w:rPr>
                <w:sz w:val="20"/>
                <w:szCs w:val="20"/>
                <w:color w:val="auto"/>
              </w:rPr>
            </w:pPr>
            <w:r>
              <w:rPr>
                <w:rFonts w:ascii="Arial" w:cs="Arial" w:eastAsia="Arial" w:hAnsi="Arial"/>
                <w:sz w:val="18"/>
                <w:szCs w:val="18"/>
                <w:color w:val="auto"/>
              </w:rPr>
              <w:t>Amendment to Employment Agreement and David Harrell, dated July 28, 2010</w:t>
            </w:r>
            <w:r>
              <w:rPr>
                <w:rFonts w:ascii="Arial" w:cs="Arial" w:eastAsia="Arial" w:hAnsi="Arial"/>
                <w:sz w:val="29"/>
                <w:szCs w:val="29"/>
                <w:color w:val="auto"/>
                <w:vertAlign w:val="superscript"/>
              </w:rPr>
              <w:t>5</w:t>
            </w:r>
          </w:p>
        </w:tc>
      </w:tr>
      <w:tr>
        <w:trPr>
          <w:trHeight w:val="25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2"/>
                <w:szCs w:val="22"/>
                <w:color w:val="auto"/>
              </w:rPr>
            </w:pPr>
          </w:p>
        </w:tc>
        <w:tc>
          <w:tcPr>
            <w:tcW w:w="10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Amendment to Employment Agreement between the Company and Terry Hamilton, dated August 14, 2013</w:t>
            </w:r>
            <w:r>
              <w:rPr>
                <w:rFonts w:ascii="Arial" w:cs="Arial" w:eastAsia="Arial" w:hAnsi="Arial"/>
                <w:sz w:val="29"/>
                <w:szCs w:val="29"/>
                <w:color w:val="auto"/>
                <w:vertAlign w:val="superscript"/>
              </w:rPr>
              <w:t>6</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10380" w:type="dxa"/>
            <w:vAlign w:val="bottom"/>
          </w:tcPr>
          <w:p>
            <w:pPr>
              <w:spacing w:after="0" w:line="256" w:lineRule="exact"/>
              <w:rPr>
                <w:sz w:val="20"/>
                <w:szCs w:val="20"/>
                <w:color w:val="auto"/>
              </w:rPr>
            </w:pPr>
            <w:r>
              <w:rPr>
                <w:rFonts w:ascii="Arial" w:cs="Arial" w:eastAsia="Arial" w:hAnsi="Arial"/>
                <w:sz w:val="18"/>
                <w:szCs w:val="18"/>
                <w:color w:val="auto"/>
              </w:rPr>
              <w:t>Amendment to Employment Agreement between the Company and David Harrell, dated August 14, 2013</w:t>
            </w:r>
            <w:r>
              <w:rPr>
                <w:rFonts w:ascii="Arial" w:cs="Arial" w:eastAsia="Arial" w:hAnsi="Arial"/>
                <w:sz w:val="29"/>
                <w:szCs w:val="29"/>
                <w:color w:val="auto"/>
                <w:vertAlign w:val="superscript"/>
              </w:rPr>
              <w:t>6</w:t>
            </w:r>
          </w:p>
        </w:tc>
      </w:tr>
      <w:tr>
        <w:trPr>
          <w:trHeight w:val="25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2"/>
                <w:szCs w:val="22"/>
                <w:color w:val="auto"/>
              </w:rPr>
            </w:pPr>
          </w:p>
        </w:tc>
        <w:tc>
          <w:tcPr>
            <w:tcW w:w="10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Separation Agreement, dated September 20, 2013</w:t>
            </w:r>
            <w:r>
              <w:rPr>
                <w:rFonts w:ascii="Arial" w:cs="Arial" w:eastAsia="Arial" w:hAnsi="Arial"/>
                <w:sz w:val="29"/>
                <w:szCs w:val="29"/>
                <w:color w:val="auto"/>
                <w:vertAlign w:val="superscript"/>
              </w:rPr>
              <w:t>7</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10380" w:type="dxa"/>
            <w:vAlign w:val="bottom"/>
          </w:tcPr>
          <w:p>
            <w:pPr>
              <w:spacing w:after="0" w:line="256" w:lineRule="exact"/>
              <w:rPr>
                <w:sz w:val="20"/>
                <w:szCs w:val="20"/>
                <w:color w:val="auto"/>
              </w:rPr>
            </w:pPr>
            <w:r>
              <w:rPr>
                <w:rFonts w:ascii="Arial" w:cs="Arial" w:eastAsia="Arial" w:hAnsi="Arial"/>
                <w:sz w:val="18"/>
                <w:szCs w:val="18"/>
                <w:color w:val="auto"/>
              </w:rPr>
              <w:t>Securities Purchase Agreement</w:t>
            </w:r>
            <w:r>
              <w:rPr>
                <w:rFonts w:ascii="Arial" w:cs="Arial" w:eastAsia="Arial" w:hAnsi="Arial"/>
                <w:sz w:val="29"/>
                <w:szCs w:val="29"/>
                <w:color w:val="auto"/>
                <w:vertAlign w:val="superscript"/>
              </w:rPr>
              <w:t>8</w:t>
            </w:r>
          </w:p>
        </w:tc>
      </w:tr>
      <w:tr>
        <w:trPr>
          <w:trHeight w:val="25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22"/>
                <w:szCs w:val="22"/>
                <w:color w:val="auto"/>
              </w:rPr>
            </w:pPr>
          </w:p>
        </w:tc>
        <w:tc>
          <w:tcPr>
            <w:tcW w:w="10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Registration Rights Agreement</w:t>
            </w:r>
            <w:r>
              <w:rPr>
                <w:rFonts w:ascii="Arial" w:cs="Arial" w:eastAsia="Arial" w:hAnsi="Arial"/>
                <w:sz w:val="29"/>
                <w:szCs w:val="29"/>
                <w:color w:val="auto"/>
                <w:vertAlign w:val="superscript"/>
              </w:rPr>
              <w:t>8</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2"/>
                <w:szCs w:val="22"/>
                <w:color w:val="auto"/>
              </w:rPr>
            </w:pPr>
          </w:p>
        </w:tc>
        <w:tc>
          <w:tcPr>
            <w:tcW w:w="10380" w:type="dxa"/>
            <w:vAlign w:val="bottom"/>
          </w:tcPr>
          <w:p>
            <w:pPr>
              <w:spacing w:after="0" w:line="256" w:lineRule="exact"/>
              <w:rPr>
                <w:sz w:val="20"/>
                <w:szCs w:val="20"/>
                <w:color w:val="auto"/>
              </w:rPr>
            </w:pPr>
            <w:r>
              <w:rPr>
                <w:rFonts w:ascii="Arial" w:cs="Arial" w:eastAsia="Arial" w:hAnsi="Arial"/>
                <w:sz w:val="18"/>
                <w:szCs w:val="18"/>
                <w:color w:val="auto"/>
              </w:rPr>
              <w:t>Investor Agreement</w:t>
            </w:r>
            <w:r>
              <w:rPr>
                <w:rFonts w:ascii="Arial" w:cs="Arial" w:eastAsia="Arial" w:hAnsi="Arial"/>
                <w:sz w:val="29"/>
                <w:szCs w:val="29"/>
                <w:color w:val="auto"/>
                <w:vertAlign w:val="superscript"/>
              </w:rPr>
              <w:t>8</w:t>
            </w:r>
          </w:p>
        </w:tc>
      </w:tr>
      <w:tr>
        <w:trPr>
          <w:trHeight w:val="25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22"/>
                <w:szCs w:val="22"/>
                <w:color w:val="auto"/>
              </w:rPr>
            </w:pPr>
          </w:p>
        </w:tc>
        <w:tc>
          <w:tcPr>
            <w:tcW w:w="10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Warrant Agreement</w:t>
            </w:r>
            <w:r>
              <w:rPr>
                <w:rFonts w:ascii="Arial" w:cs="Arial" w:eastAsia="Arial" w:hAnsi="Arial"/>
                <w:sz w:val="29"/>
                <w:szCs w:val="29"/>
                <w:color w:val="auto"/>
                <w:vertAlign w:val="superscript"/>
              </w:rPr>
              <w:t>9</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10380" w:type="dxa"/>
            <w:vAlign w:val="bottom"/>
          </w:tcPr>
          <w:p>
            <w:pPr>
              <w:spacing w:after="0" w:line="256" w:lineRule="exact"/>
              <w:rPr>
                <w:sz w:val="20"/>
                <w:szCs w:val="20"/>
                <w:color w:val="auto"/>
              </w:rPr>
            </w:pPr>
            <w:r>
              <w:rPr>
                <w:rFonts w:ascii="Arial" w:cs="Arial" w:eastAsia="Arial" w:hAnsi="Arial"/>
                <w:sz w:val="18"/>
                <w:szCs w:val="18"/>
                <w:color w:val="auto"/>
              </w:rPr>
              <w:t>Warrant Agreement</w:t>
            </w:r>
            <w:r>
              <w:rPr>
                <w:rFonts w:ascii="Arial" w:cs="Arial" w:eastAsia="Arial" w:hAnsi="Arial"/>
                <w:sz w:val="29"/>
                <w:szCs w:val="29"/>
                <w:color w:val="auto"/>
                <w:vertAlign w:val="superscript"/>
              </w:rPr>
              <w:t>9</w:t>
            </w:r>
          </w:p>
        </w:tc>
      </w:tr>
      <w:tr>
        <w:trPr>
          <w:trHeight w:val="25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CCEEFF"/>
          </w:tcPr>
          <w:p>
            <w:pPr>
              <w:spacing w:after="0"/>
              <w:rPr>
                <w:sz w:val="22"/>
                <w:szCs w:val="22"/>
                <w:color w:val="auto"/>
              </w:rPr>
            </w:pPr>
          </w:p>
        </w:tc>
        <w:tc>
          <w:tcPr>
            <w:tcW w:w="10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Employment Agreement between the Company and Douglas P. Baker, dated May 12, 2014</w:t>
            </w:r>
            <w:r>
              <w:rPr>
                <w:rFonts w:ascii="Arial" w:cs="Arial" w:eastAsia="Arial" w:hAnsi="Arial"/>
                <w:sz w:val="29"/>
                <w:szCs w:val="29"/>
                <w:color w:val="auto"/>
                <w:vertAlign w:val="superscript"/>
              </w:rPr>
              <w:t>10</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10380" w:type="dxa"/>
            <w:vAlign w:val="bottom"/>
          </w:tcPr>
          <w:p>
            <w:pPr>
              <w:spacing w:after="0" w:line="256" w:lineRule="exact"/>
              <w:rPr>
                <w:sz w:val="20"/>
                <w:szCs w:val="20"/>
                <w:color w:val="auto"/>
              </w:rPr>
            </w:pPr>
            <w:r>
              <w:rPr>
                <w:rFonts w:ascii="Arial" w:cs="Arial" w:eastAsia="Arial" w:hAnsi="Arial"/>
                <w:sz w:val="18"/>
                <w:szCs w:val="18"/>
                <w:color w:val="auto"/>
              </w:rPr>
              <w:t>Stock Purchase Agreement, dated September 24, 2015</w:t>
            </w:r>
            <w:r>
              <w:rPr>
                <w:rFonts w:ascii="Arial" w:cs="Arial" w:eastAsia="Arial" w:hAnsi="Arial"/>
                <w:sz w:val="29"/>
                <w:szCs w:val="29"/>
                <w:color w:val="auto"/>
                <w:vertAlign w:val="superscript"/>
              </w:rPr>
              <w:t>11</w:t>
            </w:r>
          </w:p>
        </w:tc>
      </w:tr>
      <w:tr>
        <w:trPr>
          <w:trHeight w:val="25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22"/>
                <w:szCs w:val="22"/>
                <w:color w:val="auto"/>
              </w:rPr>
            </w:pPr>
          </w:p>
        </w:tc>
        <w:tc>
          <w:tcPr>
            <w:tcW w:w="10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Investor Rights Agreement, dated September 24, 2015</w:t>
            </w:r>
            <w:r>
              <w:rPr>
                <w:rFonts w:ascii="Arial" w:cs="Arial" w:eastAsia="Arial" w:hAnsi="Arial"/>
                <w:sz w:val="29"/>
                <w:szCs w:val="29"/>
                <w:color w:val="auto"/>
                <w:vertAlign w:val="superscript"/>
              </w:rPr>
              <w:t>11</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2"/>
                <w:szCs w:val="22"/>
                <w:color w:val="auto"/>
              </w:rPr>
            </w:pPr>
          </w:p>
        </w:tc>
        <w:tc>
          <w:tcPr>
            <w:tcW w:w="10380" w:type="dxa"/>
            <w:vAlign w:val="bottom"/>
          </w:tcPr>
          <w:p>
            <w:pPr>
              <w:spacing w:after="0" w:line="256" w:lineRule="exact"/>
              <w:rPr>
                <w:sz w:val="20"/>
                <w:szCs w:val="20"/>
                <w:color w:val="auto"/>
              </w:rPr>
            </w:pPr>
            <w:r>
              <w:rPr>
                <w:rFonts w:ascii="Arial" w:cs="Arial" w:eastAsia="Arial" w:hAnsi="Arial"/>
                <w:sz w:val="18"/>
                <w:szCs w:val="18"/>
                <w:color w:val="auto"/>
              </w:rPr>
              <w:t>Indemnity Agreement, dated September 24, 2015</w:t>
            </w:r>
            <w:r>
              <w:rPr>
                <w:rFonts w:ascii="Arial" w:cs="Arial" w:eastAsia="Arial" w:hAnsi="Arial"/>
                <w:sz w:val="29"/>
                <w:szCs w:val="29"/>
                <w:color w:val="auto"/>
                <w:vertAlign w:val="superscript"/>
              </w:rPr>
              <w:t>11</w:t>
            </w:r>
          </w:p>
        </w:tc>
      </w:tr>
      <w:tr>
        <w:trPr>
          <w:trHeight w:val="25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22"/>
                <w:szCs w:val="22"/>
                <w:color w:val="auto"/>
              </w:rPr>
            </w:pPr>
          </w:p>
        </w:tc>
        <w:tc>
          <w:tcPr>
            <w:tcW w:w="10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Employment Agreement between the Company and James Brooks, dated December 4, 2015</w:t>
            </w:r>
            <w:r>
              <w:rPr>
                <w:rFonts w:ascii="Arial" w:cs="Arial" w:eastAsia="Arial" w:hAnsi="Arial"/>
                <w:sz w:val="29"/>
                <w:szCs w:val="29"/>
                <w:color w:val="auto"/>
                <w:vertAlign w:val="superscript"/>
              </w:rPr>
              <w:t>12</w:t>
            </w: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2"/>
                <w:szCs w:val="22"/>
                <w:color w:val="auto"/>
              </w:rPr>
            </w:pPr>
          </w:p>
        </w:tc>
        <w:tc>
          <w:tcPr>
            <w:tcW w:w="10380" w:type="dxa"/>
            <w:vAlign w:val="bottom"/>
          </w:tcPr>
          <w:p>
            <w:pPr>
              <w:spacing w:after="0" w:line="256" w:lineRule="exact"/>
              <w:rPr>
                <w:sz w:val="20"/>
                <w:szCs w:val="20"/>
                <w:color w:val="auto"/>
              </w:rPr>
            </w:pPr>
            <w:r>
              <w:rPr>
                <w:rFonts w:ascii="Arial" w:cs="Arial" w:eastAsia="Arial" w:hAnsi="Arial"/>
                <w:sz w:val="18"/>
                <w:szCs w:val="18"/>
                <w:color w:val="auto"/>
              </w:rPr>
              <w:t>Employment Agreement between the Company and William Febbo, dated February 12, 2016</w:t>
            </w:r>
            <w:r>
              <w:rPr>
                <w:rFonts w:ascii="Arial" w:cs="Arial" w:eastAsia="Arial" w:hAnsi="Arial"/>
                <w:sz w:val="29"/>
                <w:szCs w:val="29"/>
                <w:color w:val="auto"/>
                <w:vertAlign w:val="superscript"/>
              </w:rPr>
              <w:t>13</w:t>
            </w:r>
          </w:p>
        </w:tc>
      </w:tr>
      <w:tr>
        <w:trPr>
          <w:trHeight w:val="25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2"/>
                <w:szCs w:val="22"/>
                <w:color w:val="auto"/>
              </w:rPr>
            </w:pPr>
          </w:p>
        </w:tc>
        <w:tc>
          <w:tcPr>
            <w:tcW w:w="10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List of Subsidiaries</w:t>
            </w:r>
            <w:r>
              <w:rPr>
                <w:rFonts w:ascii="Arial" w:cs="Arial" w:eastAsia="Arial" w:hAnsi="Arial"/>
                <w:sz w:val="29"/>
                <w:szCs w:val="29"/>
                <w:color w:val="auto"/>
                <w:vertAlign w:val="superscript"/>
              </w:rPr>
              <w:t>1</w:t>
            </w: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2"/>
              </w:rPr>
              <w:t>Certification of Chief Executive Officer pursuant to Securities Exchange Act Rule 13a-14(a)/15d-14(a), as adopted pursuant to Section 302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202"/>
        </w:trPr>
        <w:tc>
          <w:tcPr>
            <w:tcW w:w="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Certification of Chief Financial Officer pursuant to Securities Exchange Act Rule 13a-14(a)/15d-14(a), as adopted pursuant to Section 302 of</w:t>
            </w: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the Sarbanes-Oxley Act of 2002</w:t>
            </w: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 to Section 906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202"/>
        </w:trPr>
        <w:tc>
          <w:tcPr>
            <w:tcW w:w="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The following materials from the Company’s Annual Report on Form 10-K for the year ended December 31, 2015 formatted in Extensible</w:t>
            </w: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Business Reporting Language (XBRL).</w:t>
            </w:r>
          </w:p>
        </w:tc>
      </w:tr>
    </w:tbl>
    <w:p>
      <w:pPr>
        <w:spacing w:after="0" w:line="20" w:lineRule="exact"/>
        <w:rPr>
          <w:sz w:val="20"/>
          <w:szCs w:val="20"/>
          <w:color w:val="auto"/>
        </w:rPr>
      </w:pPr>
    </w:p>
    <w:p>
      <w:pPr>
        <w:ind w:left="120" w:hanging="112"/>
        <w:spacing w:after="0"/>
        <w:tabs>
          <w:tab w:leader="none" w:pos="12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S-1, filed by the Company with the Securities and Exchange Commission on November 12, 2008.</w:t>
      </w:r>
    </w:p>
    <w:p>
      <w:pPr>
        <w:spacing w:after="0" w:line="42"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Incorporated by reference to the Form 8-K, filed by the Company with the Securities and Exchange Commission on July 16,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Incorporated by reference to the Form 8-K, filed by the Company with the Securities and Exchange Commission on June 11,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Incorporated by reference to the Form 10-K, filed by the Company with the Securities and Exchange Commission on March 31,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Incorporated by reference to the Form 8-K, filed by the Company with the Securities and Exchange Commission on July 30, 2010.</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Incorporated by reference to the Form 8-K, filed by the Company with the Securities and Exchange Commission on August 15, 2013.</w:t>
      </w:r>
    </w:p>
    <w:p>
      <w:pPr>
        <w:ind w:right="1420"/>
        <w:spacing w:after="0" w:line="255"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7</w:t>
      </w:r>
      <w:r>
        <w:rPr>
          <w:rFonts w:ascii="Arial" w:cs="Arial" w:eastAsia="Arial" w:hAnsi="Arial"/>
          <w:sz w:val="16"/>
          <w:szCs w:val="16"/>
          <w:color w:val="auto"/>
        </w:rPr>
        <w:t xml:space="preserve"> Incorporated by reference to the Form 8-K, filed by the Company with the Securities and Exchange Commission on September 20, 2013. </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Incorporated by reference to the Form 8-K, filed by the Company with the Securities and Exchange Commission on March 18, 2014.</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9</w:t>
      </w:r>
      <w:r>
        <w:rPr>
          <w:rFonts w:ascii="Arial" w:cs="Arial" w:eastAsia="Arial" w:hAnsi="Arial"/>
          <w:sz w:val="18"/>
          <w:szCs w:val="18"/>
          <w:color w:val="auto"/>
        </w:rPr>
        <w:t xml:space="preserve"> Incorporated by reference to the Form S-1/A filed by the Company with the Securities and Exchange Commission on May 12, 2014.</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10</w:t>
      </w:r>
      <w:r>
        <w:rPr>
          <w:rFonts w:ascii="Arial" w:cs="Arial" w:eastAsia="Arial" w:hAnsi="Arial"/>
          <w:sz w:val="18"/>
          <w:szCs w:val="18"/>
          <w:color w:val="auto"/>
        </w:rPr>
        <w:t xml:space="preserve"> Incorporated by reference to the Form 8-K, filed by the Company with the Securities and Exchange Commission on May 14, 2014.</w:t>
      </w:r>
    </w:p>
    <w:p>
      <w:pPr>
        <w:ind w:right="1340"/>
        <w:spacing w:after="0" w:line="205"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11</w:t>
      </w:r>
      <w:r>
        <w:rPr>
          <w:rFonts w:ascii="Arial" w:cs="Arial" w:eastAsia="Arial" w:hAnsi="Arial"/>
          <w:sz w:val="16"/>
          <w:szCs w:val="16"/>
          <w:color w:val="auto"/>
        </w:rPr>
        <w:t xml:space="preserve"> Incorporated by reference to the Form 8-K, filed by the Company with the Securities and Exchange Commission on September 30, 2015. </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Incorporated by reference to the Form 8-K, filed by the Company with the Securities and Exchange Commission on January 8, 2016.</w:t>
      </w:r>
    </w:p>
    <w:p>
      <w:pPr>
        <w:spacing w:after="0" w:line="2" w:lineRule="exact"/>
        <w:rPr>
          <w:rFonts w:ascii="Arial" w:cs="Arial" w:eastAsia="Arial" w:hAnsi="Arial"/>
          <w:sz w:val="30"/>
          <w:szCs w:val="30"/>
          <w:color w:val="auto"/>
          <w:vertAlign w:val="superscript"/>
        </w:rPr>
      </w:pPr>
    </w:p>
    <w:p>
      <w:pPr>
        <w:spacing w:after="0" w:line="225"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13</w:t>
      </w:r>
      <w:r>
        <w:rPr>
          <w:rFonts w:ascii="Arial" w:cs="Arial" w:eastAsia="Arial" w:hAnsi="Arial"/>
          <w:sz w:val="18"/>
          <w:szCs w:val="18"/>
          <w:color w:val="auto"/>
        </w:rPr>
        <w:t xml:space="preserve"> Incorporated by reference to the Form 8-K, filed by the Company with the Securities and Exchange Commission on February 19,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626"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March 15, 2016</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Douglas P. Baker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 Principal Financial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Principal Accounting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March 15, 2016</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Harrell</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David Harrell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Chairman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15,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Vos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Lynn Vos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15,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J. Hamilton</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Terence J. Hamilton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Vice President, Sales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15,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Gus D. Halas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15,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Pinney</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Jack Pinney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15, 2016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2015 of OptimizeRx Corp (the “registrant”);</w:t>
      </w:r>
    </w:p>
    <w:p>
      <w:pPr>
        <w:spacing w:after="0" w:line="225" w:lineRule="exact"/>
        <w:rPr>
          <w:rFonts w:ascii="Arial" w:cs="Arial" w:eastAsia="Arial" w:hAnsi="Arial"/>
          <w:sz w:val="18"/>
          <w:szCs w:val="18"/>
          <w:color w:val="auto"/>
        </w:rPr>
      </w:pPr>
    </w:p>
    <w:p>
      <w:pPr>
        <w:jc w:val="both"/>
        <w:ind w:left="440" w:hanging="432"/>
        <w:spacing w:after="0" w:line="342"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40" w:hanging="432"/>
        <w:spacing w:after="0" w:line="277"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432"/>
        <w:spacing w:after="0" w:line="264"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448"/>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459"/>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448"/>
        <w:spacing w:after="0" w:line="308" w:lineRule="auto"/>
        <w:tabs>
          <w:tab w:leader="none" w:pos="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59"/>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48"/>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459"/>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P. Baker, certify that;</w:t>
      </w:r>
    </w:p>
    <w:p>
      <w:pPr>
        <w:spacing w:after="0" w:line="225"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2015 of OptimizeRx Corp (the “registrant”);</w:t>
      </w:r>
    </w:p>
    <w:p>
      <w:pPr>
        <w:spacing w:after="0" w:line="225" w:lineRule="exact"/>
        <w:rPr>
          <w:rFonts w:ascii="Arial" w:cs="Arial" w:eastAsia="Arial" w:hAnsi="Arial"/>
          <w:sz w:val="18"/>
          <w:szCs w:val="18"/>
          <w:color w:val="auto"/>
        </w:rPr>
      </w:pPr>
    </w:p>
    <w:p>
      <w:pPr>
        <w:jc w:val="both"/>
        <w:ind w:left="440" w:hanging="432"/>
        <w:spacing w:after="0" w:line="342"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40" w:hanging="432"/>
        <w:spacing w:after="0" w:line="277"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432"/>
        <w:spacing w:after="0" w:line="264"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448"/>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459"/>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448"/>
        <w:spacing w:after="0" w:line="308" w:lineRule="auto"/>
        <w:tabs>
          <w:tab w:leader="none" w:pos="9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59"/>
        <w:spacing w:after="0" w:line="26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48"/>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459"/>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1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OptimizeRx Corp (the “Company”) on Form 10-K for the year ended December 31, 2015 filed with the Securities and Exchange Commission (the “Report”), I, William J. Febbo, Chief Executive Officer of the Company, and I, Douglas P. Baker, certify, pursuant to 18 U.S.C. Section 1350, as adopted pursuant to Section 906 of the Sarbanes-Oxley Act of 2002, that:</w:t>
      </w:r>
    </w:p>
    <w:p>
      <w:pPr>
        <w:spacing w:after="0" w:line="181"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William J.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15,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15, 2016</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lowerRoman"/>
      <w:start w:val="2"/>
    </w:lvl>
  </w:abstractNum>
  <w:abstractNum w:abstractNumId="13">
    <w:nsid w:val="333AB105"/>
    <w:multiLevelType w:val="hybridMultilevel"/>
    <w:lvl w:ilvl="0">
      <w:lvlJc w:val="left"/>
      <w:lvlText w:val="%1."/>
      <w:numFmt w:val="decimal"/>
      <w:start w:val="4"/>
    </w:lvl>
  </w:abstractNum>
  <w:abstractNum w:abstractNumId="14">
    <w:nsid w:val="721DA317"/>
    <w:multiLevelType w:val="hybridMultilevel"/>
    <w:lvl w:ilvl="0">
      <w:lvlJc w:val="left"/>
      <w:lvlText w:val="%1."/>
      <w:numFmt w:val="lowerRoman"/>
      <w:start w:val="2"/>
    </w:lvl>
  </w:abstractNum>
  <w:abstractNum w:abstractNumId="15">
    <w:nsid w:val="2443A858"/>
    <w:multiLevelType w:val="hybridMultilevel"/>
    <w:lvl w:ilvl="0">
      <w:lvlJc w:val="left"/>
      <w:lvlText w:val="%1."/>
      <w:numFmt w:val="decimal"/>
      <w:start w:val="8"/>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o"/>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2"/>
    </w:lvl>
  </w:abstractNum>
  <w:abstractNum w:abstractNumId="25">
    <w:nsid w:val="71F32454"/>
    <w:multiLevelType w:val="hybridMultilevel"/>
    <w:lvl w:ilvl="0">
      <w:lvlJc w:val="left"/>
      <w:lvlText w:val="1"/>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2019-12-29T12:03:31Z</dcterms:created>
  <dcterms:modified xsi:type="dcterms:W3CDTF">2019-12-29T12:03:31Z</dcterms:modified>
</cp:coreProperties>
</file>