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05044.xml.htm"/>
      <w:bookmarkStart w:id="1" w:name="kswkform4_17876050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Merrell Brendan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OPTIMIZERX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 CHARLES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OptimizeRx Corp</w:t>
              </w:r>
            </w:hyperlink>
            <w:r>
              <w:rPr/>
              <w:t xml:space="preserve"> [ </w:t>
            </w:r>
            <w:r>
              <w:rPr>
                <w:rFonts w:ascii="Times;serif" w:hAnsi="Times;serif"/>
                <w:color w:val="0000FF"/>
                <w:sz w:val="24"/>
                <w:shd w:fill="FFFFFF" w:val="clear"/>
              </w:rPr>
              <w:t>OPRX</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74"/>
        <w:gridCol w:w="375"/>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57,600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82,787</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representing a contingent right to receive shares of OptimizeRx common stock. The restricted stock units will vest in three equal annual installments beginning on August 20, 2027, which is the first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Marion Odence-Ford,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0383" TargetMode="External"/><Relationship Id="rId5" Type="http://schemas.openxmlformats.org/officeDocument/2006/relationships/hyperlink" Target="http://www.sec.gov/cgi-bin/browse-edgar?action=getcompany&amp;CIK=00014484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673</Words>
  <Characters>3621</Characters>
  <CharactersWithSpaces>4223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