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800" w:hanging="69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UNDER SECTION 13 OR 15(d) OF THE SECURITIES EXCHANGE ACT OF 1934</w:t>
      </w:r>
    </w:p>
    <w:p>
      <w:pPr>
        <w:spacing w:after="0" w:line="221" w:lineRule="exact"/>
        <w:rPr>
          <w:sz w:val="24"/>
          <w:szCs w:val="24"/>
          <w:color w:val="auto"/>
        </w:rPr>
      </w:pPr>
    </w:p>
    <w:p>
      <w:pPr>
        <w:ind w:left="8060"/>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2011</w:t>
      </w:r>
    </w:p>
    <w:p>
      <w:pPr>
        <w:spacing w:after="0" w:line="252" w:lineRule="exact"/>
        <w:rPr>
          <w:sz w:val="24"/>
          <w:szCs w:val="24"/>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UNDER SECTION 13 OR 15(d) OF THE SECURITIES EXCHANGE ACT OF 1934</w:t>
      </w:r>
    </w:p>
    <w:p>
      <w:pPr>
        <w:spacing w:after="0" w:line="225" w:lineRule="exact"/>
        <w:rPr>
          <w:sz w:val="24"/>
          <w:szCs w:val="24"/>
          <w:color w:val="auto"/>
        </w:rPr>
      </w:pPr>
    </w:p>
    <w:p>
      <w:pPr>
        <w:ind w:left="7380"/>
        <w:spacing w:after="0"/>
        <w:rPr>
          <w:sz w:val="20"/>
          <w:szCs w:val="20"/>
          <w:color w:val="auto"/>
        </w:rPr>
      </w:pPr>
      <w:r>
        <w:rPr>
          <w:rFonts w:ascii="Arial" w:cs="Arial" w:eastAsia="Arial" w:hAnsi="Arial"/>
          <w:sz w:val="16"/>
          <w:szCs w:val="16"/>
          <w:color w:val="auto"/>
        </w:rPr>
        <w:t>For the transition period from _________ to ________</w:t>
      </w:r>
    </w:p>
    <w:p>
      <w:pPr>
        <w:spacing w:after="0" w:line="244" w:lineRule="exact"/>
        <w:rPr>
          <w:sz w:val="24"/>
          <w:szCs w:val="24"/>
          <w:color w:val="auto"/>
        </w:rPr>
      </w:pPr>
    </w:p>
    <w:p>
      <w:pPr>
        <w:ind w:left="8660"/>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000-53605</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2980" w:type="dxa"/>
            <w:vAlign w:val="bottom"/>
            <w:gridSpan w:val="2"/>
          </w:tcPr>
          <w:p>
            <w:pPr>
              <w:spacing w:after="0"/>
              <w:rPr>
                <w:sz w:val="17"/>
                <w:szCs w:val="17"/>
                <w:color w:val="auto"/>
              </w:rPr>
            </w:pPr>
          </w:p>
        </w:tc>
        <w:tc>
          <w:tcPr>
            <w:tcW w:w="37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6040" w:type="dxa"/>
            <w:vAlign w:val="bottom"/>
            <w:gridSpan w:val="6"/>
          </w:tcPr>
          <w:p>
            <w:pPr>
              <w:jc w:val="center"/>
              <w:ind w:right="5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gridSpan w:val="5"/>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630"/>
        </w:trPr>
        <w:tc>
          <w:tcPr>
            <w:tcW w:w="604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0"/>
              </w:rPr>
              <w:t>400 Water Street, Ste. 200</w:t>
            </w: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4"/>
        </w:trPr>
        <w:tc>
          <w:tcPr>
            <w:tcW w:w="2220" w:type="dxa"/>
            <w:vAlign w:val="bottom"/>
          </w:tcPr>
          <w:p>
            <w:pPr>
              <w:spacing w:after="0"/>
              <w:rPr>
                <w:sz w:val="16"/>
                <w:szCs w:val="16"/>
                <w:color w:val="auto"/>
              </w:rPr>
            </w:pPr>
          </w:p>
        </w:tc>
        <w:tc>
          <w:tcPr>
            <w:tcW w:w="3820" w:type="dxa"/>
            <w:vAlign w:val="bottom"/>
            <w:gridSpan w:val="5"/>
          </w:tcPr>
          <w:p>
            <w:pPr>
              <w:jc w:val="center"/>
              <w:ind w:right="2740"/>
              <w:spacing w:after="0" w:line="194" w:lineRule="exact"/>
              <w:rPr>
                <w:sz w:val="20"/>
                <w:szCs w:val="20"/>
                <w:color w:val="auto"/>
              </w:rPr>
            </w:pPr>
            <w:r>
              <w:rPr>
                <w:rFonts w:ascii="Arial" w:cs="Arial" w:eastAsia="Arial" w:hAnsi="Arial"/>
                <w:sz w:val="18"/>
                <w:szCs w:val="18"/>
                <w:b w:val="1"/>
                <w:bCs w:val="1"/>
                <w:color w:val="auto"/>
                <w:w w:val="91"/>
              </w:rPr>
              <w:t>Rochester, MI</w:t>
            </w:r>
          </w:p>
        </w:tc>
        <w:tc>
          <w:tcPr>
            <w:tcW w:w="286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48307</w:t>
            </w:r>
          </w:p>
        </w:tc>
        <w:tc>
          <w:tcPr>
            <w:tcW w:w="880" w:type="dxa"/>
            <w:vAlign w:val="bottom"/>
          </w:tcPr>
          <w:p>
            <w:pPr>
              <w:spacing w:after="0"/>
              <w:rPr>
                <w:sz w:val="16"/>
                <w:szCs w:val="16"/>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6040" w:type="dxa"/>
            <w:vAlign w:val="bottom"/>
            <w:gridSpan w:val="6"/>
          </w:tcPr>
          <w:p>
            <w:pPr>
              <w:jc w:val="center"/>
              <w:ind w:right="500"/>
              <w:spacing w:after="0"/>
              <w:rPr>
                <w:sz w:val="20"/>
                <w:szCs w:val="20"/>
                <w:color w:val="auto"/>
              </w:rPr>
            </w:pPr>
            <w:r>
              <w:rPr>
                <w:rFonts w:ascii="Arial" w:cs="Arial" w:eastAsia="Arial" w:hAnsi="Arial"/>
                <w:sz w:val="18"/>
                <w:szCs w:val="18"/>
                <w:color w:val="auto"/>
                <w:w w:val="92"/>
              </w:rPr>
              <w:t>(Address of principal executive offices)</w:t>
            </w:r>
          </w:p>
        </w:tc>
        <w:tc>
          <w:tcPr>
            <w:tcW w:w="200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392"/>
        </w:trPr>
        <w:tc>
          <w:tcPr>
            <w:tcW w:w="6040" w:type="dxa"/>
            <w:vAlign w:val="bottom"/>
            <w:gridSpan w:val="6"/>
          </w:tcPr>
          <w:p>
            <w:pP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color w:val="auto"/>
              </w:rPr>
              <w:t>248-651-6568</w:t>
            </w: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740" w:type="dxa"/>
            <w:vAlign w:val="bottom"/>
            <w:tcBorders>
              <w:left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5700" w:type="dxa"/>
            <w:vAlign w:val="bottom"/>
            <w:gridSpan w:val="3"/>
          </w:tcPr>
          <w:p>
            <w:pPr>
              <w:spacing w:after="0"/>
              <w:rPr>
                <w:sz w:val="20"/>
                <w:szCs w:val="20"/>
                <w:color w:val="auto"/>
              </w:rPr>
            </w:pPr>
            <w:r>
              <w:rPr>
                <w:rFonts w:ascii="Arial" w:cs="Arial" w:eastAsia="Arial" w:hAnsi="Arial"/>
                <w:sz w:val="18"/>
                <w:szCs w:val="18"/>
                <w:color w:val="auto"/>
              </w:rPr>
              <w:t>Securities registered under Section 12(b) of the Exchange Act:</w:t>
            </w:r>
          </w:p>
        </w:tc>
        <w:tc>
          <w:tcPr>
            <w:tcW w:w="2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57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4360" w:type="dxa"/>
            <w:vAlign w:val="bottom"/>
            <w:gridSpan w:val="3"/>
          </w:tcPr>
          <w:p>
            <w:pPr>
              <w:jc w:val="center"/>
              <w:ind w:left="1090"/>
              <w:spacing w:after="0"/>
              <w:rPr>
                <w:sz w:val="20"/>
                <w:szCs w:val="20"/>
                <w:color w:val="auto"/>
              </w:rPr>
            </w:pPr>
            <w:r>
              <w:rPr>
                <w:rFonts w:ascii="Arial" w:cs="Arial" w:eastAsia="Arial" w:hAnsi="Arial"/>
                <w:sz w:val="18"/>
                <w:szCs w:val="18"/>
                <w:color w:val="auto"/>
                <w:w w:val="89"/>
              </w:rPr>
              <w:t>Name of each exchange on which registered</w:t>
            </w:r>
          </w:p>
        </w:tc>
      </w:tr>
      <w:tr>
        <w:trPr>
          <w:trHeight w:val="194"/>
        </w:trPr>
        <w:tc>
          <w:tcPr>
            <w:tcW w:w="2580" w:type="dxa"/>
            <w:vAlign w:val="bottom"/>
          </w:tcPr>
          <w:p>
            <w:pPr>
              <w:spacing w:after="0"/>
              <w:rPr>
                <w:sz w:val="16"/>
                <w:szCs w:val="16"/>
                <w:color w:val="auto"/>
              </w:rPr>
            </w:pPr>
          </w:p>
        </w:tc>
        <w:tc>
          <w:tcPr>
            <w:tcW w:w="3120" w:type="dxa"/>
            <w:vAlign w:val="bottom"/>
            <w:gridSpan w:val="2"/>
          </w:tcPr>
          <w:p>
            <w:pPr>
              <w:jc w:val="center"/>
              <w:ind w:right="2760"/>
              <w:spacing w:after="0" w:line="194" w:lineRule="exact"/>
              <w:rPr>
                <w:sz w:val="20"/>
                <w:szCs w:val="20"/>
                <w:color w:val="auto"/>
              </w:rPr>
            </w:pPr>
            <w:r>
              <w:rPr>
                <w:rFonts w:ascii="Arial" w:cs="Arial" w:eastAsia="Arial" w:hAnsi="Arial"/>
                <w:sz w:val="18"/>
                <w:szCs w:val="18"/>
                <w:b w:val="1"/>
                <w:bCs w:val="1"/>
                <w:color w:val="auto"/>
                <w:w w:val="83"/>
              </w:rPr>
              <w:t>none</w:t>
            </w:r>
          </w:p>
        </w:tc>
        <w:tc>
          <w:tcPr>
            <w:tcW w:w="4360" w:type="dxa"/>
            <w:vAlign w:val="bottom"/>
            <w:gridSpan w:val="3"/>
          </w:tcPr>
          <w:p>
            <w:pPr>
              <w:jc w:val="center"/>
              <w:ind w:left="1090"/>
              <w:spacing w:after="0" w:line="194" w:lineRule="exact"/>
              <w:rPr>
                <w:sz w:val="20"/>
                <w:szCs w:val="20"/>
                <w:color w:val="auto"/>
              </w:rPr>
            </w:pPr>
            <w:r>
              <w:rPr>
                <w:rFonts w:ascii="Arial" w:cs="Arial" w:eastAsia="Arial" w:hAnsi="Arial"/>
                <w:sz w:val="18"/>
                <w:szCs w:val="18"/>
                <w:b w:val="1"/>
                <w:bCs w:val="1"/>
                <w:color w:val="auto"/>
                <w:w w:val="90"/>
              </w:rPr>
              <w:t>not applicable</w:t>
            </w:r>
          </w:p>
        </w:tc>
      </w:tr>
      <w:tr>
        <w:trPr>
          <w:trHeight w:val="20"/>
        </w:trPr>
        <w:tc>
          <w:tcPr>
            <w:tcW w:w="2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5700" w:type="dxa"/>
            <w:vAlign w:val="bottom"/>
            <w:gridSpan w:val="3"/>
          </w:tcPr>
          <w:p>
            <w:pPr>
              <w:spacing w:after="0"/>
              <w:rPr>
                <w:sz w:val="20"/>
                <w:szCs w:val="20"/>
                <w:color w:val="auto"/>
              </w:rPr>
            </w:pPr>
            <w:r>
              <w:rPr>
                <w:rFonts w:ascii="Arial" w:cs="Arial" w:eastAsia="Arial" w:hAnsi="Arial"/>
                <w:sz w:val="18"/>
                <w:szCs w:val="18"/>
                <w:color w:val="auto"/>
              </w:rPr>
              <w:t>Securities registered under Section 12(g) of the Exchange Act:</w:t>
            </w:r>
          </w:p>
        </w:tc>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Arial" w:cs="Arial" w:eastAsia="Arial" w:hAnsi="Arial"/>
          <w:sz w:val="18"/>
          <w:szCs w:val="18"/>
          <w:b w:val="1"/>
          <w:bCs w:val="1"/>
          <w:color w:val="auto"/>
        </w:rPr>
        <w:t>Yes [ ] No [X]</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w:t>
      </w:r>
      <w:r>
        <w:rPr>
          <w:rFonts w:ascii="Arial" w:cs="Arial" w:eastAsia="Arial" w:hAnsi="Arial"/>
          <w:sz w:val="18"/>
          <w:szCs w:val="18"/>
          <w:b w:val="1"/>
          <w:bCs w:val="1"/>
          <w:color w:val="auto"/>
        </w:rPr>
        <w:t>Yes [ ] No [X]</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Yes [ ] No [X]</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Large accelerated filer [ ] Accelerated filer [ ] Non-accelerated filer [ ] Smaller reporting company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 [ ] No [X]</w:t>
      </w:r>
    </w:p>
    <w:p>
      <w:pPr>
        <w:spacing w:after="0" w:line="229"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$15,368,178</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Indicate the number of shares outstanding of each of the registrant’s classes of common stock, as of the latest practicable date. </w:t>
      </w:r>
      <w:r>
        <w:rPr>
          <w:rFonts w:ascii="Arial" w:cs="Arial" w:eastAsia="Arial" w:hAnsi="Arial"/>
          <w:sz w:val="15"/>
          <w:szCs w:val="15"/>
          <w:b w:val="1"/>
          <w:bCs w:val="1"/>
          <w:color w:val="auto"/>
        </w:rPr>
        <w:t>14,192,496 as of February 15,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53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19"/>
          </w:tcPr>
          <w:p>
            <w:pPr>
              <w:jc w:val="center"/>
              <w:ind w:right="1720"/>
              <w:spacing w:after="0"/>
              <w:rPr>
                <w:sz w:val="20"/>
                <w:szCs w:val="20"/>
                <w:color w:val="auto"/>
              </w:rPr>
            </w:pPr>
            <w:r>
              <w:rPr>
                <w:rFonts w:ascii="Arial" w:cs="Arial" w:eastAsia="Arial" w:hAnsi="Arial"/>
                <w:sz w:val="18"/>
                <w:szCs w:val="18"/>
                <w:b w:val="1"/>
                <w:bCs w:val="1"/>
                <w:color w:val="auto"/>
                <w:w w:val="96"/>
              </w:rPr>
              <w:t>TABLE OF CONTENTS</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8"/>
            <w:vMerge w:val="restart"/>
          </w:tcPr>
          <w:p>
            <w:pPr>
              <w:jc w:val="center"/>
              <w:ind w:right="680"/>
              <w:spacing w:after="0"/>
              <w:rPr>
                <w:sz w:val="20"/>
                <w:szCs w:val="20"/>
                <w:color w:val="auto"/>
              </w:rPr>
            </w:pPr>
            <w:r>
              <w:rPr>
                <w:rFonts w:ascii="Arial" w:cs="Arial" w:eastAsia="Arial" w:hAnsi="Arial"/>
                <w:sz w:val="18"/>
                <w:szCs w:val="18"/>
                <w:color w:val="auto"/>
                <w:w w:val="92"/>
              </w:rPr>
              <w:t>PART I</w:t>
            </w:r>
          </w:p>
        </w:tc>
        <w:tc>
          <w:tcPr>
            <w:tcW w:w="1760" w:type="dxa"/>
            <w:vAlign w:val="bottom"/>
            <w:gridSpan w:val="3"/>
            <w:vMerge w:val="restart"/>
          </w:tcPr>
          <w:p>
            <w:pPr>
              <w:spacing w:after="0"/>
              <w:rPr>
                <w:sz w:val="24"/>
                <w:szCs w:val="24"/>
                <w:color w:val="auto"/>
              </w:rPr>
            </w:pPr>
          </w:p>
        </w:tc>
        <w:tc>
          <w:tcPr>
            <w:tcW w:w="1280" w:type="dxa"/>
            <w:vAlign w:val="bottom"/>
            <w:gridSpan w:val="3"/>
          </w:tcPr>
          <w:p>
            <w:pPr>
              <w:ind w:left="520"/>
              <w:spacing w:after="0"/>
              <w:rPr>
                <w:sz w:val="20"/>
                <w:szCs w:val="20"/>
                <w:color w:val="auto"/>
              </w:rPr>
            </w:pPr>
            <w:r>
              <w:rPr>
                <w:rFonts w:ascii="Arial" w:cs="Arial" w:eastAsia="Arial" w:hAnsi="Arial"/>
                <w:sz w:val="18"/>
                <w:szCs w:val="18"/>
                <w:color w:val="auto"/>
              </w:rPr>
              <w:t>Page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auto"/>
            </w:tcBorders>
            <w:gridSpan w:val="8"/>
            <w:vMerge w:val="continue"/>
          </w:tcPr>
          <w:p>
            <w:pPr>
              <w:spacing w:after="0"/>
              <w:rPr>
                <w:sz w:val="17"/>
                <w:szCs w:val="17"/>
                <w:color w:val="auto"/>
              </w:rPr>
            </w:pPr>
          </w:p>
        </w:tc>
        <w:tc>
          <w:tcPr>
            <w:tcW w:w="176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w:t>
            </w:r>
          </w:p>
        </w:tc>
        <w:tc>
          <w:tcPr>
            <w:tcW w:w="5400" w:type="dxa"/>
            <w:vAlign w:val="bottom"/>
            <w:gridSpan w:val="28"/>
            <w:shd w:val="clear" w:color="auto" w:fill="CCEECC"/>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60" w:type="dxa"/>
            <w:vAlign w:val="bottom"/>
            <w:gridSpan w:val="2"/>
            <w:shd w:val="clear" w:color="auto" w:fill="CCEECC"/>
          </w:tcPr>
          <w:p>
            <w:pPr>
              <w:jc w:val="center"/>
              <w:ind w:left="430"/>
              <w:spacing w:after="0" w:line="176" w:lineRule="exact"/>
              <w:rPr>
                <w:sz w:val="20"/>
                <w:szCs w:val="20"/>
                <w:color w:val="auto"/>
              </w:rPr>
            </w:pPr>
            <w:r>
              <w:rPr>
                <w:rFonts w:ascii="Arial" w:cs="Arial" w:eastAsia="Arial" w:hAnsi="Arial"/>
                <w:sz w:val="18"/>
                <w:szCs w:val="18"/>
                <w:color w:val="auto"/>
                <w:w w:val="99"/>
              </w:rPr>
              <w:t>3</w:t>
            </w:r>
          </w:p>
        </w:tc>
        <w:tc>
          <w:tcPr>
            <w:tcW w:w="420" w:type="dxa"/>
            <w:vAlign w:val="bottom"/>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14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CCEECC"/>
            </w:tcBorders>
            <w:shd w:val="clear" w:color="auto" w:fill="CCEECC"/>
          </w:tcPr>
          <w:p>
            <w:pPr>
              <w:spacing w:after="0" w:line="20" w:lineRule="exact"/>
              <w:rPr>
                <w:sz w:val="1"/>
                <w:szCs w:val="1"/>
                <w:color w:val="auto"/>
              </w:rPr>
            </w:pPr>
          </w:p>
        </w:tc>
        <w:tc>
          <w:tcPr>
            <w:tcW w:w="46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1040" w:type="dxa"/>
            <w:vAlign w:val="bottom"/>
            <w:tcBorders>
              <w:top w:val="single" w:sz="8" w:color="CCEECC"/>
            </w:tcBorders>
            <w:shd w:val="clear" w:color="auto" w:fill="CCEECC"/>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4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Pr>
          <w:p>
            <w:pPr>
              <w:ind w:left="100"/>
              <w:spacing w:after="0" w:line="176" w:lineRule="exact"/>
              <w:rPr>
                <w:sz w:val="20"/>
                <w:szCs w:val="20"/>
                <w:color w:val="auto"/>
              </w:rPr>
            </w:pPr>
            <w:r>
              <w:rPr>
                <w:rFonts w:ascii="Arial" w:cs="Arial" w:eastAsia="Arial" w:hAnsi="Arial"/>
                <w:sz w:val="18"/>
                <w:szCs w:val="18"/>
                <w:color w:val="auto"/>
              </w:rPr>
              <w:t>Item 1A.</w:t>
            </w:r>
          </w:p>
        </w:tc>
        <w:tc>
          <w:tcPr>
            <w:tcW w:w="5400" w:type="dxa"/>
            <w:vAlign w:val="bottom"/>
            <w:gridSpan w:val="28"/>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86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auto"/>
                <w:w w:val="99"/>
              </w:rPr>
              <w:t>9</w:t>
            </w: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130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1B.</w:t>
            </w:r>
          </w:p>
        </w:tc>
        <w:tc>
          <w:tcPr>
            <w:tcW w:w="5400" w:type="dxa"/>
            <w:vAlign w:val="bottom"/>
            <w:gridSpan w:val="28"/>
            <w:shd w:val="clear" w:color="auto" w:fill="CCEECC"/>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Unresolved Staff Comments</w:t>
              </w:r>
            </w:hyperlink>
          </w:p>
        </w:tc>
        <w:tc>
          <w:tcPr>
            <w:tcW w:w="860" w:type="dxa"/>
            <w:vAlign w:val="bottom"/>
            <w:gridSpan w:val="2"/>
            <w:shd w:val="clear" w:color="auto" w:fill="CCEECC"/>
          </w:tcPr>
          <w:p>
            <w:pPr>
              <w:jc w:val="center"/>
              <w:ind w:left="430"/>
              <w:spacing w:after="0" w:line="176" w:lineRule="exact"/>
              <w:rPr>
                <w:sz w:val="20"/>
                <w:szCs w:val="20"/>
                <w:color w:val="auto"/>
              </w:rPr>
            </w:pPr>
            <w:r>
              <w:rPr>
                <w:rFonts w:ascii="Arial" w:cs="Arial" w:eastAsia="Arial" w:hAnsi="Arial"/>
                <w:sz w:val="18"/>
                <w:szCs w:val="18"/>
                <w:color w:val="auto"/>
                <w:w w:val="99"/>
              </w:rPr>
              <w:t>9</w:t>
            </w:r>
          </w:p>
        </w:tc>
        <w:tc>
          <w:tcPr>
            <w:tcW w:w="4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Properties</w:t>
              </w:r>
            </w:hyperlink>
          </w:p>
        </w:tc>
        <w:tc>
          <w:tcPr>
            <w:tcW w:w="3360" w:type="dxa"/>
            <w:vAlign w:val="bottom"/>
            <w:tcBorders>
              <w:top w:val="single" w:sz="8" w:color="CCEECC"/>
            </w:tcBorders>
            <w:gridSpan w:val="15"/>
          </w:tcPr>
          <w:p>
            <w:pPr>
              <w:spacing w:after="0"/>
              <w:rPr>
                <w:sz w:val="15"/>
                <w:szCs w:val="15"/>
                <w:color w:val="auto"/>
              </w:rPr>
            </w:pPr>
          </w:p>
        </w:tc>
        <w:tc>
          <w:tcPr>
            <w:tcW w:w="860" w:type="dxa"/>
            <w:vAlign w:val="bottom"/>
            <w:tcBorders>
              <w:top w:val="single" w:sz="8" w:color="CCEECC"/>
            </w:tcBorders>
            <w:gridSpan w:val="2"/>
          </w:tcPr>
          <w:p>
            <w:pPr>
              <w:jc w:val="center"/>
              <w:ind w:left="430"/>
              <w:spacing w:after="0" w:line="176" w:lineRule="exact"/>
              <w:rPr>
                <w:sz w:val="20"/>
                <w:szCs w:val="20"/>
                <w:color w:val="auto"/>
              </w:rPr>
            </w:pPr>
            <w:r>
              <w:rPr>
                <w:rFonts w:ascii="Arial" w:cs="Arial" w:eastAsia="Arial" w:hAnsi="Arial"/>
                <w:sz w:val="18"/>
                <w:szCs w:val="18"/>
                <w:color w:val="auto"/>
                <w:w w:val="99"/>
              </w:rPr>
              <w:t>9</w:t>
            </w:r>
          </w:p>
        </w:tc>
        <w:tc>
          <w:tcPr>
            <w:tcW w:w="420" w:type="dxa"/>
            <w:vAlign w:val="bottom"/>
            <w:tcBorders>
              <w:top w:val="single" w:sz="8" w:color="CCEECC"/>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130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shd w:val="clear" w:color="auto" w:fill="CCEECC"/>
          </w:tcPr>
          <w:p>
            <w:pPr>
              <w:spacing w:after="0" w:line="17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Legal Proceedings</w:t>
              </w:r>
            </w:hyperlink>
          </w:p>
        </w:tc>
        <w:tc>
          <w:tcPr>
            <w:tcW w:w="4060" w:type="dxa"/>
            <w:vAlign w:val="bottom"/>
            <w:tcBorders>
              <w:bottom w:val="single" w:sz="8" w:color="CCEECC"/>
            </w:tcBorders>
            <w:gridSpan w:val="22"/>
            <w:shd w:val="clear" w:color="auto" w:fill="CCEECC"/>
          </w:tcPr>
          <w:p>
            <w:pPr>
              <w:spacing w:after="0"/>
              <w:rPr>
                <w:sz w:val="17"/>
                <w:szCs w:val="17"/>
                <w:color w:val="auto"/>
              </w:rPr>
            </w:pPr>
          </w:p>
        </w:tc>
        <w:tc>
          <w:tcPr>
            <w:tcW w:w="860" w:type="dxa"/>
            <w:vAlign w:val="bottom"/>
            <w:tcBorders>
              <w:bottom w:val="single" w:sz="8" w:color="CCEECC"/>
            </w:tcBorders>
            <w:gridSpan w:val="2"/>
            <w:shd w:val="clear" w:color="auto" w:fill="CCEECC"/>
          </w:tcPr>
          <w:p>
            <w:pPr>
              <w:jc w:val="center"/>
              <w:ind w:left="430"/>
              <w:spacing w:after="0" w:line="176" w:lineRule="exact"/>
              <w:rPr>
                <w:sz w:val="20"/>
                <w:szCs w:val="20"/>
                <w:color w:val="auto"/>
              </w:rPr>
            </w:pPr>
            <w:r>
              <w:rPr>
                <w:rFonts w:ascii="Arial" w:cs="Arial" w:eastAsia="Arial" w:hAnsi="Arial"/>
                <w:sz w:val="18"/>
                <w:szCs w:val="18"/>
                <w:color w:val="auto"/>
                <w:w w:val="99"/>
              </w:rPr>
              <w:t>9</w:t>
            </w:r>
          </w:p>
        </w:tc>
        <w:tc>
          <w:tcPr>
            <w:tcW w:w="4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Pr>
          <w:p>
            <w:pPr>
              <w:ind w:left="100"/>
              <w:spacing w:after="0" w:line="176" w:lineRule="exact"/>
              <w:rPr>
                <w:sz w:val="20"/>
                <w:szCs w:val="20"/>
                <w:color w:val="auto"/>
              </w:rPr>
            </w:pPr>
            <w:r>
              <w:rPr>
                <w:rFonts w:ascii="Arial" w:cs="Arial" w:eastAsia="Arial" w:hAnsi="Arial"/>
                <w:sz w:val="18"/>
                <w:szCs w:val="18"/>
                <w:color w:val="auto"/>
              </w:rPr>
              <w:t>Item 4.</w:t>
            </w:r>
          </w:p>
        </w:tc>
        <w:tc>
          <w:tcPr>
            <w:tcW w:w="5400" w:type="dxa"/>
            <w:vAlign w:val="bottom"/>
            <w:gridSpan w:val="28"/>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Mine Safety Disclosures</w:t>
              </w:r>
            </w:hyperlink>
          </w:p>
        </w:tc>
        <w:tc>
          <w:tcPr>
            <w:tcW w:w="86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auto"/>
                <w:w w:val="99"/>
              </w:rPr>
              <w:t>9</w:t>
            </w: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gridSpan w:val="12"/>
          </w:tcPr>
          <w:p>
            <w:pPr>
              <w:jc w:val="center"/>
              <w:ind w:right="2400"/>
              <w:spacing w:after="0"/>
              <w:rPr>
                <w:sz w:val="20"/>
                <w:szCs w:val="20"/>
                <w:color w:val="auto"/>
              </w:rPr>
            </w:pPr>
            <w:r>
              <w:rPr>
                <w:rFonts w:ascii="Arial" w:cs="Arial" w:eastAsia="Arial" w:hAnsi="Arial"/>
                <w:sz w:val="18"/>
                <w:szCs w:val="18"/>
                <w:color w:val="auto"/>
                <w:w w:val="95"/>
              </w:rPr>
              <w:t>PART II</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5.</w:t>
            </w:r>
          </w:p>
        </w:tc>
        <w:tc>
          <w:tcPr>
            <w:tcW w:w="5400" w:type="dxa"/>
            <w:vAlign w:val="bottom"/>
            <w:tcBorders>
              <w:bottom w:val="single" w:sz="8" w:color="0000EE"/>
            </w:tcBorders>
            <w:gridSpan w:val="28"/>
            <w:shd w:val="clear" w:color="auto" w:fill="CCEECC"/>
          </w:tcPr>
          <w:p>
            <w:pPr>
              <w:spacing w:after="0" w:line="17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Market for Registrant’s Common Equity and Related Stockholder Matters</w:t>
              </w:r>
            </w:hyperlink>
          </w:p>
        </w:tc>
        <w:tc>
          <w:tcPr>
            <w:tcW w:w="860" w:type="dxa"/>
            <w:vAlign w:val="bottom"/>
            <w:tcBorders>
              <w:bottom w:val="single" w:sz="8" w:color="CCEECC"/>
            </w:tcBorders>
            <w:gridSpan w:val="2"/>
            <w:shd w:val="clear" w:color="auto" w:fill="CCEECC"/>
          </w:tcPr>
          <w:p>
            <w:pPr>
              <w:jc w:val="center"/>
              <w:ind w:left="430"/>
              <w:spacing w:after="0" w:line="176" w:lineRule="exact"/>
              <w:rPr>
                <w:sz w:val="20"/>
                <w:szCs w:val="20"/>
                <w:color w:val="auto"/>
              </w:rPr>
            </w:pPr>
            <w:r>
              <w:rPr>
                <w:rFonts w:ascii="Arial" w:cs="Arial" w:eastAsia="Arial" w:hAnsi="Arial"/>
                <w:sz w:val="18"/>
                <w:szCs w:val="18"/>
                <w:color w:val="auto"/>
                <w:w w:val="89"/>
              </w:rPr>
              <w:t>10</w:t>
            </w:r>
          </w:p>
        </w:tc>
        <w:tc>
          <w:tcPr>
            <w:tcW w:w="420" w:type="dxa"/>
            <w:vAlign w:val="bottom"/>
            <w:tcBorders>
              <w:bottom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1300" w:type="dxa"/>
            <w:vAlign w:val="bottom"/>
            <w:tcBorders>
              <w:bottom w:val="single" w:sz="8" w:color="CCEECC"/>
            </w:tcBorders>
            <w:shd w:val="clear" w:color="auto" w:fill="CCEECC"/>
          </w:tcPr>
          <w:p>
            <w:pPr>
              <w:spacing w:after="0"/>
              <w:rPr>
                <w:sz w:val="18"/>
                <w:szCs w:val="18"/>
                <w:color w:val="auto"/>
              </w:rPr>
            </w:pPr>
          </w:p>
        </w:tc>
        <w:tc>
          <w:tcPr>
            <w:tcW w:w="2980" w:type="dxa"/>
            <w:vAlign w:val="bottom"/>
            <w:tcBorders>
              <w:bottom w:val="single" w:sz="8" w:color="0000EE"/>
            </w:tcBorders>
            <w:gridSpan w:val="21"/>
            <w:shd w:val="clear" w:color="auto" w:fill="CCEECC"/>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and Issuer Purchases of Equity Securities</w:t>
              </w:r>
            </w:hyperlink>
          </w:p>
        </w:tc>
        <w:tc>
          <w:tcPr>
            <w:tcW w:w="2420" w:type="dxa"/>
            <w:vAlign w:val="bottom"/>
            <w:tcBorders>
              <w:bottom w:val="single" w:sz="8" w:color="CCEECC"/>
            </w:tcBorders>
            <w:gridSpan w:val="7"/>
            <w:shd w:val="clear" w:color="auto" w:fill="CCEECC"/>
          </w:tcPr>
          <w:p>
            <w:pPr>
              <w:spacing w:after="0"/>
              <w:rPr>
                <w:sz w:val="18"/>
                <w:szCs w:val="18"/>
                <w:color w:val="auto"/>
              </w:rPr>
            </w:pPr>
          </w:p>
        </w:tc>
        <w:tc>
          <w:tcPr>
            <w:tcW w:w="520" w:type="dxa"/>
            <w:vAlign w:val="bottom"/>
            <w:tcBorders>
              <w:bottom w:val="single" w:sz="8" w:color="CCEECC"/>
            </w:tcBorders>
            <w:shd w:val="clear" w:color="auto" w:fill="CCEECC"/>
          </w:tcPr>
          <w:p>
            <w:pPr>
              <w:spacing w:after="0"/>
              <w:rPr>
                <w:sz w:val="18"/>
                <w:szCs w:val="18"/>
                <w:color w:val="auto"/>
              </w:rPr>
            </w:pPr>
          </w:p>
        </w:tc>
        <w:tc>
          <w:tcPr>
            <w:tcW w:w="340" w:type="dxa"/>
            <w:vAlign w:val="bottom"/>
            <w:tcBorders>
              <w:bottom w:val="single" w:sz="8" w:color="CCEECC"/>
            </w:tcBorders>
            <w:shd w:val="clear" w:color="auto" w:fill="CCEECC"/>
          </w:tcPr>
          <w:p>
            <w:pPr>
              <w:spacing w:after="0"/>
              <w:rPr>
                <w:sz w:val="18"/>
                <w:szCs w:val="18"/>
                <w:color w:val="auto"/>
              </w:rPr>
            </w:pPr>
          </w:p>
        </w:tc>
        <w:tc>
          <w:tcPr>
            <w:tcW w:w="420" w:type="dxa"/>
            <w:vAlign w:val="bottom"/>
            <w:tcBorders>
              <w:bottom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Pr>
          <w:p>
            <w:pPr>
              <w:ind w:left="100"/>
              <w:spacing w:after="0" w:line="176" w:lineRule="exact"/>
              <w:rPr>
                <w:sz w:val="20"/>
                <w:szCs w:val="20"/>
                <w:color w:val="auto"/>
              </w:rPr>
            </w:pPr>
            <w:r>
              <w:rPr>
                <w:rFonts w:ascii="Arial" w:cs="Arial" w:eastAsia="Arial" w:hAnsi="Arial"/>
                <w:sz w:val="18"/>
                <w:szCs w:val="18"/>
                <w:color w:val="auto"/>
              </w:rPr>
              <w:t>Item 6.</w:t>
            </w:r>
          </w:p>
        </w:tc>
        <w:tc>
          <w:tcPr>
            <w:tcW w:w="5400" w:type="dxa"/>
            <w:vAlign w:val="bottom"/>
            <w:gridSpan w:val="28"/>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Selected Financial Data</w:t>
              </w:r>
            </w:hyperlink>
          </w:p>
        </w:tc>
        <w:tc>
          <w:tcPr>
            <w:tcW w:w="86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auto"/>
                <w:w w:val="89"/>
              </w:rPr>
              <w:t>12</w:t>
            </w: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7.</w:t>
            </w:r>
          </w:p>
        </w:tc>
        <w:tc>
          <w:tcPr>
            <w:tcW w:w="5400" w:type="dxa"/>
            <w:vAlign w:val="bottom"/>
            <w:tcBorders>
              <w:bottom w:val="single" w:sz="8" w:color="0000EE"/>
            </w:tcBorders>
            <w:gridSpan w:val="28"/>
            <w:shd w:val="clear" w:color="auto" w:fill="CCEECC"/>
          </w:tcPr>
          <w:p>
            <w:pPr>
              <w:spacing w:after="0" w:line="17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Management’s Discussion  and  Analysis  of  Financial  Condition  and</w:t>
              </w:r>
            </w:hyperlink>
          </w:p>
        </w:tc>
        <w:tc>
          <w:tcPr>
            <w:tcW w:w="860" w:type="dxa"/>
            <w:vAlign w:val="bottom"/>
            <w:tcBorders>
              <w:bottom w:val="single" w:sz="8" w:color="CCEECC"/>
            </w:tcBorders>
            <w:gridSpan w:val="2"/>
            <w:shd w:val="clear" w:color="auto" w:fill="CCEECC"/>
          </w:tcPr>
          <w:p>
            <w:pPr>
              <w:jc w:val="center"/>
              <w:ind w:left="430"/>
              <w:spacing w:after="0" w:line="176" w:lineRule="exact"/>
              <w:rPr>
                <w:sz w:val="20"/>
                <w:szCs w:val="20"/>
                <w:color w:val="auto"/>
              </w:rPr>
            </w:pPr>
            <w:r>
              <w:rPr>
                <w:rFonts w:ascii="Arial" w:cs="Arial" w:eastAsia="Arial" w:hAnsi="Arial"/>
                <w:sz w:val="18"/>
                <w:szCs w:val="18"/>
                <w:color w:val="auto"/>
                <w:w w:val="89"/>
              </w:rPr>
              <w:t>13</w:t>
            </w:r>
          </w:p>
        </w:tc>
        <w:tc>
          <w:tcPr>
            <w:tcW w:w="420" w:type="dxa"/>
            <w:vAlign w:val="bottom"/>
            <w:tcBorders>
              <w:bottom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300" w:type="dxa"/>
            <w:vAlign w:val="bottom"/>
            <w:shd w:val="clear" w:color="auto" w:fill="CCEECC"/>
          </w:tcPr>
          <w:p>
            <w:pPr>
              <w:spacing w:after="0"/>
              <w:rPr>
                <w:sz w:val="17"/>
                <w:szCs w:val="17"/>
                <w:color w:val="auto"/>
              </w:rPr>
            </w:pPr>
          </w:p>
        </w:tc>
        <w:tc>
          <w:tcPr>
            <w:tcW w:w="5400" w:type="dxa"/>
            <w:vAlign w:val="bottom"/>
            <w:gridSpan w:val="28"/>
            <w:shd w:val="clear" w:color="auto" w:fill="CCEECC"/>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Results of Operations</w:t>
              </w:r>
            </w:hyperlink>
          </w:p>
        </w:tc>
        <w:tc>
          <w:tcPr>
            <w:tcW w:w="5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4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0000EE"/>
            </w:tcBorders>
            <w:shd w:val="clear" w:color="auto" w:fill="CCEECC"/>
          </w:tcPr>
          <w:p>
            <w:pPr>
              <w:spacing w:after="0" w:line="20" w:lineRule="exact"/>
              <w:rPr>
                <w:sz w:val="1"/>
                <w:szCs w:val="1"/>
                <w:color w:val="auto"/>
              </w:rPr>
            </w:pPr>
          </w:p>
        </w:tc>
        <w:tc>
          <w:tcPr>
            <w:tcW w:w="3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40" w:type="dxa"/>
            <w:vAlign w:val="bottom"/>
            <w:tcBorders>
              <w:top w:val="single" w:sz="8" w:color="0000EE"/>
            </w:tcBorders>
            <w:shd w:val="clear" w:color="auto" w:fill="CCEECC"/>
          </w:tcPr>
          <w:p>
            <w:pPr>
              <w:spacing w:after="0" w:line="20" w:lineRule="exact"/>
              <w:rPr>
                <w:sz w:val="1"/>
                <w:szCs w:val="1"/>
                <w:color w:val="auto"/>
              </w:rPr>
            </w:pPr>
          </w:p>
        </w:tc>
        <w:tc>
          <w:tcPr>
            <w:tcW w:w="8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CCEECC"/>
            </w:tcBorders>
            <w:shd w:val="clear" w:color="auto" w:fill="CCEECC"/>
          </w:tcPr>
          <w:p>
            <w:pPr>
              <w:spacing w:after="0" w:line="20" w:lineRule="exact"/>
              <w:rPr>
                <w:sz w:val="1"/>
                <w:szCs w:val="1"/>
                <w:color w:val="auto"/>
              </w:rPr>
            </w:pPr>
          </w:p>
        </w:tc>
        <w:tc>
          <w:tcPr>
            <w:tcW w:w="46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1040" w:type="dxa"/>
            <w:vAlign w:val="bottom"/>
            <w:tcBorders>
              <w:top w:val="single" w:sz="8" w:color="CCEECC"/>
            </w:tcBorders>
            <w:shd w:val="clear" w:color="auto" w:fill="CCEECC"/>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4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Pr>
          <w:p>
            <w:pPr>
              <w:ind w:left="100"/>
              <w:spacing w:after="0" w:line="176" w:lineRule="exact"/>
              <w:rPr>
                <w:sz w:val="20"/>
                <w:szCs w:val="20"/>
                <w:color w:val="auto"/>
              </w:rPr>
            </w:pPr>
            <w:r>
              <w:rPr>
                <w:rFonts w:ascii="Arial" w:cs="Arial" w:eastAsia="Arial" w:hAnsi="Arial"/>
                <w:sz w:val="18"/>
                <w:szCs w:val="18"/>
                <w:color w:val="auto"/>
              </w:rPr>
              <w:t>Item 7A.</w:t>
            </w:r>
          </w:p>
        </w:tc>
        <w:tc>
          <w:tcPr>
            <w:tcW w:w="5400" w:type="dxa"/>
            <w:vAlign w:val="bottom"/>
            <w:gridSpan w:val="28"/>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About Market Risk</w:t>
              </w:r>
            </w:hyperlink>
          </w:p>
        </w:tc>
        <w:tc>
          <w:tcPr>
            <w:tcW w:w="86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auto"/>
                <w:w w:val="89"/>
              </w:rPr>
              <w:t>15</w:t>
            </w: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130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24"/>
            <w:shd w:val="clear" w:color="auto" w:fill="CCEECC"/>
          </w:tcPr>
          <w:p>
            <w:pPr>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Financial Statements and Supplementary Data</w:t>
              </w:r>
            </w:hyperlink>
          </w:p>
        </w:tc>
        <w:tc>
          <w:tcPr>
            <w:tcW w:w="2060" w:type="dxa"/>
            <w:vAlign w:val="bottom"/>
            <w:tcBorders>
              <w:bottom w:val="single" w:sz="8" w:color="CCEECC"/>
            </w:tcBorders>
            <w:gridSpan w:val="4"/>
            <w:shd w:val="clear" w:color="auto" w:fill="CCEECC"/>
          </w:tcPr>
          <w:p>
            <w:pPr>
              <w:spacing w:after="0"/>
              <w:rPr>
                <w:sz w:val="17"/>
                <w:szCs w:val="17"/>
                <w:color w:val="auto"/>
              </w:rPr>
            </w:pPr>
          </w:p>
        </w:tc>
        <w:tc>
          <w:tcPr>
            <w:tcW w:w="860" w:type="dxa"/>
            <w:vAlign w:val="bottom"/>
            <w:tcBorders>
              <w:bottom w:val="single" w:sz="8" w:color="CCEECC"/>
            </w:tcBorders>
            <w:gridSpan w:val="2"/>
            <w:shd w:val="clear" w:color="auto" w:fill="CCEECC"/>
          </w:tcPr>
          <w:p>
            <w:pPr>
              <w:jc w:val="center"/>
              <w:ind w:left="430"/>
              <w:spacing w:after="0" w:line="176" w:lineRule="exact"/>
              <w:rPr>
                <w:sz w:val="20"/>
                <w:szCs w:val="20"/>
                <w:color w:val="auto"/>
              </w:rPr>
            </w:pPr>
            <w:r>
              <w:rPr>
                <w:rFonts w:ascii="Arial" w:cs="Arial" w:eastAsia="Arial" w:hAnsi="Arial"/>
                <w:sz w:val="18"/>
                <w:szCs w:val="18"/>
                <w:color w:val="auto"/>
                <w:w w:val="89"/>
              </w:rPr>
              <w:t>15</w:t>
            </w:r>
          </w:p>
        </w:tc>
        <w:tc>
          <w:tcPr>
            <w:tcW w:w="4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Pr>
          <w:p>
            <w:pPr>
              <w:ind w:left="100"/>
              <w:spacing w:after="0" w:line="176" w:lineRule="exact"/>
              <w:rPr>
                <w:sz w:val="20"/>
                <w:szCs w:val="20"/>
                <w:color w:val="auto"/>
              </w:rPr>
            </w:pPr>
            <w:r>
              <w:rPr>
                <w:rFonts w:ascii="Arial" w:cs="Arial" w:eastAsia="Arial" w:hAnsi="Arial"/>
                <w:sz w:val="18"/>
                <w:szCs w:val="18"/>
                <w:color w:val="auto"/>
              </w:rPr>
              <w:t>Item 9.</w:t>
            </w:r>
          </w:p>
        </w:tc>
        <w:tc>
          <w:tcPr>
            <w:tcW w:w="5400" w:type="dxa"/>
            <w:vAlign w:val="bottom"/>
            <w:tcBorders>
              <w:bottom w:val="single" w:sz="8" w:color="0000EE"/>
            </w:tcBorders>
            <w:gridSpan w:val="28"/>
          </w:tcPr>
          <w:p>
            <w:pPr>
              <w:spacing w:after="0" w:line="176"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Changes In and Disagreements With Accountants on Accounting and</w:t>
              </w:r>
            </w:hyperlink>
          </w:p>
        </w:tc>
        <w:tc>
          <w:tcPr>
            <w:tcW w:w="86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auto"/>
                <w:w w:val="89"/>
              </w:rPr>
              <w:t>16</w:t>
            </w: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0" w:type="dxa"/>
            <w:vAlign w:val="bottom"/>
            <w:gridSpan w:val="2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Financial Disclosure</w:t>
              </w:r>
            </w:hyperlink>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130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9A(T).</w:t>
            </w:r>
          </w:p>
        </w:tc>
        <w:tc>
          <w:tcPr>
            <w:tcW w:w="1780" w:type="dxa"/>
            <w:vAlign w:val="bottom"/>
            <w:tcBorders>
              <w:bottom w:val="single" w:sz="8" w:color="0000EE"/>
            </w:tcBorders>
            <w:gridSpan w:val="11"/>
            <w:shd w:val="clear" w:color="auto" w:fill="CCEECC"/>
          </w:tcPr>
          <w:p>
            <w:pPr>
              <w:spacing w:after="0" w:line="17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3620" w:type="dxa"/>
            <w:vAlign w:val="bottom"/>
            <w:tcBorders>
              <w:bottom w:val="single" w:sz="8" w:color="CCEECC"/>
            </w:tcBorders>
            <w:gridSpan w:val="17"/>
            <w:shd w:val="clear" w:color="auto" w:fill="CCEECC"/>
          </w:tcPr>
          <w:p>
            <w:pPr>
              <w:spacing w:after="0"/>
              <w:rPr>
                <w:sz w:val="17"/>
                <w:szCs w:val="17"/>
                <w:color w:val="auto"/>
              </w:rPr>
            </w:pPr>
          </w:p>
        </w:tc>
        <w:tc>
          <w:tcPr>
            <w:tcW w:w="860" w:type="dxa"/>
            <w:vAlign w:val="bottom"/>
            <w:tcBorders>
              <w:bottom w:val="single" w:sz="8" w:color="CCEECC"/>
            </w:tcBorders>
            <w:gridSpan w:val="2"/>
            <w:shd w:val="clear" w:color="auto" w:fill="CCEECC"/>
          </w:tcPr>
          <w:p>
            <w:pPr>
              <w:jc w:val="center"/>
              <w:ind w:left="430"/>
              <w:spacing w:after="0" w:line="176" w:lineRule="exact"/>
              <w:rPr>
                <w:sz w:val="20"/>
                <w:szCs w:val="20"/>
                <w:color w:val="auto"/>
              </w:rPr>
            </w:pPr>
            <w:r>
              <w:rPr>
                <w:rFonts w:ascii="Arial" w:cs="Arial" w:eastAsia="Arial" w:hAnsi="Arial"/>
                <w:sz w:val="18"/>
                <w:szCs w:val="18"/>
                <w:color w:val="auto"/>
                <w:w w:val="89"/>
              </w:rPr>
              <w:t>16</w:t>
            </w:r>
          </w:p>
        </w:tc>
        <w:tc>
          <w:tcPr>
            <w:tcW w:w="4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Pr>
          <w:p>
            <w:pPr>
              <w:ind w:left="100"/>
              <w:spacing w:after="0" w:line="176" w:lineRule="exact"/>
              <w:rPr>
                <w:sz w:val="20"/>
                <w:szCs w:val="20"/>
                <w:color w:val="auto"/>
              </w:rPr>
            </w:pPr>
            <w:r>
              <w:rPr>
                <w:rFonts w:ascii="Arial" w:cs="Arial" w:eastAsia="Arial" w:hAnsi="Arial"/>
                <w:sz w:val="18"/>
                <w:szCs w:val="18"/>
                <w:color w:val="auto"/>
              </w:rPr>
              <w:t>Item 9B.</w:t>
            </w:r>
          </w:p>
        </w:tc>
        <w:tc>
          <w:tcPr>
            <w:tcW w:w="5400" w:type="dxa"/>
            <w:vAlign w:val="bottom"/>
            <w:gridSpan w:val="28"/>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86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auto"/>
                <w:w w:val="89"/>
              </w:rPr>
              <w:t>16</w:t>
            </w: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13"/>
          </w:tcPr>
          <w:p>
            <w:pPr>
              <w:jc w:val="center"/>
              <w:ind w:right="2380"/>
              <w:spacing w:after="0"/>
              <w:rPr>
                <w:sz w:val="20"/>
                <w:szCs w:val="20"/>
                <w:color w:val="auto"/>
              </w:rPr>
            </w:pPr>
            <w:r>
              <w:rPr>
                <w:rFonts w:ascii="Arial" w:cs="Arial" w:eastAsia="Arial" w:hAnsi="Arial"/>
                <w:sz w:val="18"/>
                <w:szCs w:val="18"/>
                <w:color w:val="auto"/>
                <w:w w:val="96"/>
              </w:rPr>
              <w:t>PART III</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30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6"/>
            <w:shd w:val="clear" w:color="auto" w:fill="CCEECC"/>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Directors, Executive Officers and Corporate Governance</w:t>
              </w:r>
            </w:hyperlink>
          </w:p>
        </w:tc>
        <w:tc>
          <w:tcPr>
            <w:tcW w:w="1300" w:type="dxa"/>
            <w:vAlign w:val="bottom"/>
            <w:tcBorders>
              <w:bottom w:val="single" w:sz="8" w:color="CCEECC"/>
            </w:tcBorders>
            <w:gridSpan w:val="2"/>
            <w:shd w:val="clear" w:color="auto" w:fill="CCEECC"/>
          </w:tcPr>
          <w:p>
            <w:pPr>
              <w:spacing w:after="0"/>
              <w:rPr>
                <w:sz w:val="17"/>
                <w:szCs w:val="17"/>
                <w:color w:val="auto"/>
              </w:rPr>
            </w:pPr>
          </w:p>
        </w:tc>
        <w:tc>
          <w:tcPr>
            <w:tcW w:w="860" w:type="dxa"/>
            <w:vAlign w:val="bottom"/>
            <w:tcBorders>
              <w:bottom w:val="single" w:sz="8" w:color="CCEECC"/>
            </w:tcBorders>
            <w:gridSpan w:val="2"/>
            <w:shd w:val="clear" w:color="auto" w:fill="CCEECC"/>
          </w:tcPr>
          <w:p>
            <w:pPr>
              <w:jc w:val="center"/>
              <w:ind w:left="430"/>
              <w:spacing w:after="0" w:line="176" w:lineRule="exact"/>
              <w:rPr>
                <w:sz w:val="20"/>
                <w:szCs w:val="20"/>
                <w:color w:val="auto"/>
              </w:rPr>
            </w:pPr>
            <w:r>
              <w:rPr>
                <w:rFonts w:ascii="Arial" w:cs="Arial" w:eastAsia="Arial" w:hAnsi="Arial"/>
                <w:sz w:val="18"/>
                <w:szCs w:val="18"/>
                <w:color w:val="auto"/>
                <w:w w:val="89"/>
              </w:rPr>
              <w:t>17</w:t>
            </w:r>
          </w:p>
        </w:tc>
        <w:tc>
          <w:tcPr>
            <w:tcW w:w="4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Pr>
          <w:p>
            <w:pPr>
              <w:ind w:left="100"/>
              <w:spacing w:after="0" w:line="176" w:lineRule="exact"/>
              <w:rPr>
                <w:sz w:val="20"/>
                <w:szCs w:val="20"/>
                <w:color w:val="auto"/>
              </w:rPr>
            </w:pPr>
            <w:r>
              <w:rPr>
                <w:rFonts w:ascii="Arial" w:cs="Arial" w:eastAsia="Arial" w:hAnsi="Arial"/>
                <w:sz w:val="18"/>
                <w:szCs w:val="18"/>
                <w:color w:val="auto"/>
              </w:rPr>
              <w:t>Item 11.</w:t>
            </w:r>
          </w:p>
        </w:tc>
        <w:tc>
          <w:tcPr>
            <w:tcW w:w="5400" w:type="dxa"/>
            <w:vAlign w:val="bottom"/>
            <w:gridSpan w:val="28"/>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Executive Compensation</w:t>
              </w:r>
            </w:hyperlink>
          </w:p>
        </w:tc>
        <w:tc>
          <w:tcPr>
            <w:tcW w:w="86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auto"/>
                <w:w w:val="89"/>
              </w:rPr>
              <w:t>20</w:t>
            </w: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12.</w:t>
            </w:r>
          </w:p>
        </w:tc>
        <w:tc>
          <w:tcPr>
            <w:tcW w:w="5400" w:type="dxa"/>
            <w:vAlign w:val="bottom"/>
            <w:tcBorders>
              <w:bottom w:val="single" w:sz="8" w:color="0000EE"/>
            </w:tcBorders>
            <w:gridSpan w:val="28"/>
            <w:shd w:val="clear" w:color="auto" w:fill="CCEECC"/>
          </w:tcPr>
          <w:p>
            <w:pPr>
              <w:spacing w:after="0" w:line="17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Security Ownership of Certain Beneficial Owners and Management and</w:t>
              </w:r>
            </w:hyperlink>
          </w:p>
        </w:tc>
        <w:tc>
          <w:tcPr>
            <w:tcW w:w="860" w:type="dxa"/>
            <w:vAlign w:val="bottom"/>
            <w:tcBorders>
              <w:bottom w:val="single" w:sz="8" w:color="CCEECC"/>
            </w:tcBorders>
            <w:gridSpan w:val="2"/>
            <w:shd w:val="clear" w:color="auto" w:fill="CCEECC"/>
          </w:tcPr>
          <w:p>
            <w:pPr>
              <w:jc w:val="center"/>
              <w:ind w:left="430"/>
              <w:spacing w:after="0" w:line="176" w:lineRule="exact"/>
              <w:rPr>
                <w:sz w:val="20"/>
                <w:szCs w:val="20"/>
                <w:color w:val="auto"/>
              </w:rPr>
            </w:pPr>
            <w:r>
              <w:rPr>
                <w:rFonts w:ascii="Arial" w:cs="Arial" w:eastAsia="Arial" w:hAnsi="Arial"/>
                <w:sz w:val="18"/>
                <w:szCs w:val="18"/>
                <w:color w:val="auto"/>
                <w:w w:val="89"/>
              </w:rPr>
              <w:t>22</w:t>
            </w:r>
          </w:p>
        </w:tc>
        <w:tc>
          <w:tcPr>
            <w:tcW w:w="420" w:type="dxa"/>
            <w:vAlign w:val="bottom"/>
            <w:tcBorders>
              <w:bottom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300" w:type="dxa"/>
            <w:vAlign w:val="bottom"/>
            <w:shd w:val="clear" w:color="auto" w:fill="CCEECC"/>
          </w:tcPr>
          <w:p>
            <w:pPr>
              <w:spacing w:after="0"/>
              <w:rPr>
                <w:sz w:val="17"/>
                <w:szCs w:val="17"/>
                <w:color w:val="auto"/>
              </w:rPr>
            </w:pPr>
          </w:p>
        </w:tc>
        <w:tc>
          <w:tcPr>
            <w:tcW w:w="5400" w:type="dxa"/>
            <w:vAlign w:val="bottom"/>
            <w:gridSpan w:val="28"/>
            <w:shd w:val="clear" w:color="auto" w:fill="CCEECC"/>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Related Stockholder Matters</w:t>
              </w:r>
            </w:hyperlink>
          </w:p>
        </w:tc>
        <w:tc>
          <w:tcPr>
            <w:tcW w:w="5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4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0000EE"/>
            </w:tcBorders>
            <w:shd w:val="clear" w:color="auto" w:fill="CCEECC"/>
          </w:tcPr>
          <w:p>
            <w:pPr>
              <w:spacing w:after="0" w:line="20" w:lineRule="exact"/>
              <w:rPr>
                <w:sz w:val="1"/>
                <w:szCs w:val="1"/>
                <w:color w:val="auto"/>
              </w:rPr>
            </w:pPr>
          </w:p>
        </w:tc>
        <w:tc>
          <w:tcPr>
            <w:tcW w:w="3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40" w:type="dxa"/>
            <w:vAlign w:val="bottom"/>
            <w:tcBorders>
              <w:top w:val="single" w:sz="8" w:color="0000EE"/>
            </w:tcBorders>
            <w:shd w:val="clear" w:color="auto" w:fill="CCEECC"/>
          </w:tcPr>
          <w:p>
            <w:pPr>
              <w:spacing w:after="0" w:line="20" w:lineRule="exact"/>
              <w:rPr>
                <w:sz w:val="1"/>
                <w:szCs w:val="1"/>
                <w:color w:val="auto"/>
              </w:rPr>
            </w:pPr>
          </w:p>
        </w:tc>
        <w:tc>
          <w:tcPr>
            <w:tcW w:w="8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2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30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CCEECC"/>
            </w:tcBorders>
            <w:shd w:val="clear" w:color="auto" w:fill="CCEECC"/>
          </w:tcPr>
          <w:p>
            <w:pPr>
              <w:spacing w:after="0" w:line="20" w:lineRule="exact"/>
              <w:rPr>
                <w:sz w:val="1"/>
                <w:szCs w:val="1"/>
                <w:color w:val="auto"/>
              </w:rPr>
            </w:pPr>
          </w:p>
        </w:tc>
        <w:tc>
          <w:tcPr>
            <w:tcW w:w="46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1040" w:type="dxa"/>
            <w:vAlign w:val="bottom"/>
            <w:tcBorders>
              <w:top w:val="single" w:sz="8" w:color="CCEECC"/>
            </w:tcBorders>
            <w:shd w:val="clear" w:color="auto" w:fill="CCEECC"/>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4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tcPr>
          <w:p>
            <w:pPr>
              <w:ind w:left="100"/>
              <w:spacing w:after="0" w:line="176" w:lineRule="exact"/>
              <w:rPr>
                <w:sz w:val="20"/>
                <w:szCs w:val="20"/>
                <w:color w:val="auto"/>
              </w:rPr>
            </w:pPr>
            <w:r>
              <w:rPr>
                <w:rFonts w:ascii="Arial" w:cs="Arial" w:eastAsia="Arial" w:hAnsi="Arial"/>
                <w:sz w:val="18"/>
                <w:szCs w:val="18"/>
                <w:color w:val="auto"/>
              </w:rPr>
              <w:t>Item 13.</w:t>
            </w:r>
          </w:p>
        </w:tc>
        <w:tc>
          <w:tcPr>
            <w:tcW w:w="5400" w:type="dxa"/>
            <w:vAlign w:val="bottom"/>
            <w:tcBorders>
              <w:bottom w:val="single" w:sz="8" w:color="0000EE"/>
            </w:tcBorders>
            <w:gridSpan w:val="28"/>
          </w:tcPr>
          <w:p>
            <w:pPr>
              <w:spacing w:after="0" w:line="176" w:lineRule="exact"/>
              <w:rPr>
                <w:rFonts w:ascii="Arial" w:cs="Arial" w:eastAsia="Arial" w:hAnsi="Arial"/>
                <w:sz w:val="18"/>
                <w:szCs w:val="18"/>
                <w:color w:val="0000EE"/>
                <w:w w:val="98"/>
              </w:rPr>
            </w:pPr>
            <w:hyperlink w:anchor="page40">
              <w:r>
                <w:rPr>
                  <w:rFonts w:ascii="Arial" w:cs="Arial" w:eastAsia="Arial" w:hAnsi="Arial"/>
                  <w:sz w:val="18"/>
                  <w:szCs w:val="18"/>
                  <w:color w:val="0000EE"/>
                  <w:w w:val="98"/>
                </w:rPr>
                <w:t>Certain  Relationships   and   Related   Transactions,   and   Director</w:t>
              </w:r>
            </w:hyperlink>
          </w:p>
        </w:tc>
        <w:tc>
          <w:tcPr>
            <w:tcW w:w="86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auto"/>
                <w:w w:val="89"/>
              </w:rPr>
              <w:t>23</w:t>
            </w: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0" w:type="dxa"/>
            <w:vAlign w:val="bottom"/>
            <w:gridSpan w:val="2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Independence</w:t>
              </w:r>
            </w:hyperlink>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130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14.</w:t>
            </w:r>
          </w:p>
        </w:tc>
        <w:tc>
          <w:tcPr>
            <w:tcW w:w="5400" w:type="dxa"/>
            <w:vAlign w:val="bottom"/>
            <w:gridSpan w:val="28"/>
            <w:shd w:val="clear" w:color="auto" w:fill="CCEECC"/>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Principal Accountant Fees and Services</w:t>
              </w:r>
            </w:hyperlink>
          </w:p>
        </w:tc>
        <w:tc>
          <w:tcPr>
            <w:tcW w:w="860" w:type="dxa"/>
            <w:vAlign w:val="bottom"/>
            <w:gridSpan w:val="2"/>
            <w:shd w:val="clear" w:color="auto" w:fill="CCEECC"/>
          </w:tcPr>
          <w:p>
            <w:pPr>
              <w:jc w:val="center"/>
              <w:ind w:left="430"/>
              <w:spacing w:after="0" w:line="176" w:lineRule="exact"/>
              <w:rPr>
                <w:sz w:val="20"/>
                <w:szCs w:val="20"/>
                <w:color w:val="auto"/>
              </w:rPr>
            </w:pPr>
            <w:r>
              <w:rPr>
                <w:rFonts w:ascii="Arial" w:cs="Arial" w:eastAsia="Arial" w:hAnsi="Arial"/>
                <w:sz w:val="18"/>
                <w:szCs w:val="18"/>
                <w:color w:val="auto"/>
                <w:w w:val="89"/>
              </w:rPr>
              <w:t>23</w:t>
            </w:r>
          </w:p>
        </w:tc>
        <w:tc>
          <w:tcPr>
            <w:tcW w:w="420" w:type="dxa"/>
            <w:vAlign w:val="bottom"/>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30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0000EE"/>
            </w:tcBorders>
            <w:shd w:val="clear" w:color="auto" w:fill="CCEECC"/>
          </w:tcPr>
          <w:p>
            <w:pPr>
              <w:spacing w:after="0" w:line="20" w:lineRule="exact"/>
              <w:rPr>
                <w:sz w:val="1"/>
                <w:szCs w:val="1"/>
                <w:color w:val="auto"/>
              </w:rPr>
            </w:pPr>
          </w:p>
        </w:tc>
        <w:tc>
          <w:tcPr>
            <w:tcW w:w="3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40" w:type="dxa"/>
            <w:vAlign w:val="bottom"/>
            <w:tcBorders>
              <w:top w:val="single" w:sz="8" w:color="0000EE"/>
            </w:tcBorders>
            <w:shd w:val="clear" w:color="auto" w:fill="CCEECC"/>
          </w:tcPr>
          <w:p>
            <w:pPr>
              <w:spacing w:after="0" w:line="20" w:lineRule="exact"/>
              <w:rPr>
                <w:sz w:val="1"/>
                <w:szCs w:val="1"/>
                <w:color w:val="auto"/>
              </w:rPr>
            </w:pPr>
          </w:p>
        </w:tc>
        <w:tc>
          <w:tcPr>
            <w:tcW w:w="8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2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30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44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CCEECC"/>
            </w:tcBorders>
            <w:shd w:val="clear" w:color="auto" w:fill="CCEECC"/>
          </w:tcPr>
          <w:p>
            <w:pPr>
              <w:spacing w:after="0" w:line="20" w:lineRule="exact"/>
              <w:rPr>
                <w:sz w:val="1"/>
                <w:szCs w:val="1"/>
                <w:color w:val="auto"/>
              </w:rPr>
            </w:pPr>
          </w:p>
        </w:tc>
        <w:tc>
          <w:tcPr>
            <w:tcW w:w="46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1040" w:type="dxa"/>
            <w:vAlign w:val="bottom"/>
            <w:tcBorders>
              <w:top w:val="single" w:sz="8" w:color="CCEECC"/>
            </w:tcBorders>
            <w:shd w:val="clear" w:color="auto" w:fill="CCEECC"/>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4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13"/>
          </w:tcPr>
          <w:p>
            <w:pPr>
              <w:jc w:val="center"/>
              <w:ind w:right="2380"/>
              <w:spacing w:after="0"/>
              <w:rPr>
                <w:sz w:val="20"/>
                <w:szCs w:val="20"/>
                <w:color w:val="auto"/>
              </w:rPr>
            </w:pPr>
            <w:r>
              <w:rPr>
                <w:rFonts w:ascii="Arial" w:cs="Arial" w:eastAsia="Arial" w:hAnsi="Arial"/>
                <w:sz w:val="18"/>
                <w:szCs w:val="18"/>
                <w:color w:val="auto"/>
                <w:w w:val="94"/>
              </w:rPr>
              <w:t>PART IV</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360" w:type="dxa"/>
            <w:vAlign w:val="bottom"/>
            <w:gridSpan w:val="15"/>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20" w:type="dxa"/>
            <w:vAlign w:val="bottom"/>
            <w:gridSpan w:val="4"/>
            <w:shd w:val="clear" w:color="auto" w:fill="000000"/>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2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Item 15.</w:t>
            </w:r>
          </w:p>
        </w:tc>
        <w:tc>
          <w:tcPr>
            <w:tcW w:w="5400" w:type="dxa"/>
            <w:vAlign w:val="bottom"/>
            <w:gridSpan w:val="2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 Financial Statement Schedules</w:t>
              </w:r>
            </w:hyperlink>
          </w:p>
        </w:tc>
        <w:tc>
          <w:tcPr>
            <w:tcW w:w="86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23</w:t>
            </w: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60" w:type="dxa"/>
            <w:vAlign w:val="bottom"/>
            <w:tcBorders>
              <w:top w:val="single" w:sz="8" w:color="0000EE"/>
              <w:bottom w:val="single" w:sz="8" w:color="auto"/>
            </w:tcBorders>
            <w:gridSpan w:val="18"/>
          </w:tcPr>
          <w:p>
            <w:pPr>
              <w:jc w:val="center"/>
              <w:ind w:left="2430"/>
              <w:spacing w:after="0"/>
              <w:rPr>
                <w:sz w:val="20"/>
                <w:szCs w:val="20"/>
                <w:color w:val="auto"/>
              </w:rPr>
            </w:pPr>
            <w:r>
              <w:rPr>
                <w:rFonts w:ascii="Arial" w:cs="Arial" w:eastAsia="Arial" w:hAnsi="Arial"/>
                <w:sz w:val="18"/>
                <w:szCs w:val="18"/>
                <w:color w:val="auto"/>
                <w:w w:val="99"/>
              </w:rPr>
              <w:t>2</w:t>
            </w: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u w:val="single" w:color="auto"/>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Throughout industry and economic discussions we often hear the catch phrase, “The Perfect Storm,” but none is as prevalent as the transitional business climate between healthcare providers and pharmaceutical manufacturers. The year 2011 has seen greater pressures on health care providers to increase both the volume and value of the services they provide to their patients—with fewer resources.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cumulates with their high focus and scrutiny of ways to reduce their drug costs, primarily through decreased utilization of branded medications when a generic alternative is available. To do this, health systems have restricted pharmaceutical manufacturers’ access to their doctors and no longer accepting drug samples, along with passing more of the cost of branded medication to patients through increased co-pays. Through electronic prescribing (ePrescribing), health systems now have a way of informing physicians of the coverage differential every time they look up a medication to prescribe. ePrescribing now represents over 450 million prescription that are sent directly to pharmacies and is projected to grow to 2 billion by 2016 due to government incentives and rapid adaption.</w:t>
      </w:r>
    </w:p>
    <w:p>
      <w:pPr>
        <w:spacing w:after="0" w:line="19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turn, these increased pressures and the lack of access pharmaceutical representatives have to doctors have left pharmaceutical manufacturers in need of a new solutions to bridge the gap in promoting their drugs value. Additionally, they’re co-pay and sample vouchers, which increase the likelihood that a patient can better afford to start and stay on their medications, has been difficult to distribute to the doctors and patients needing their help.</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Thus, OptimizeRx Corp., through its SampleMD™ electronic patient savings and support technology, is poised to provide great impact to each stakeholder by automatically added a savings eCoupon and patient support right within the electronic prescription process.</w:t>
      </w:r>
    </w:p>
    <w:p>
      <w:pPr>
        <w:spacing w:after="0" w:line="17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For OPTIMIZERx, 2011 continued to be a centered on completing and commercializing our SampleMD™ solution. Early beta testing within targeted healthcare systems provided both a test bed and focus group feedback on utilization and user interface requirements. Additionally, the early roll out of the SampleMD™ engine integrated within the Allscripts, the world’s largest ePrescribing application, showed early signs of great potential, but also exposed some hurdles that needed to be cleared to seamlessly streamline the physician’s workflow and ensure all transactional information is captured. Overall, for both installed applications, desk top and ePrescribing, clinicians were satisfied with the ease and availability of the SampleMD™ solution.</w:t>
      </w:r>
    </w:p>
    <w:p>
      <w:pPr>
        <w:spacing w:after="0" w:line="162"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Incorporating the feedback and results we compiled from these early test environments, OPTIMIZERx rolled out our SampleMD™ version 3.0 in the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quarter that featured enhanced access to formulary information, a broader search capability and the introduction of our eRep Scheduler, a tool for clinicians and pharmaceutical representatives to establish a rules-based appointment scheduler to set fixed appointments. OPTIMIZERx also continued to optimize the integration between the SampleMD™ solution and multiple ePrescribing and Electronic Medical Record providers. The Allscripts ePrescribing integration continues to show increasing results and clinician adoption while we began integration of our new partner NewCrop. NewCrop is an industry leading electronic prescribing service that has been deployed in over 150 Electronic Medical Record providers and medical networks since 2003.</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also have signed contracts with other ePrescribing platforms that have the potential to triple our reach to over 100,000 physicians in 2012. This clearly position us as the market leader in offering physicians a way to automatically add and electronically distribute co-pay coupons, sample vouchers and patient education to their patients. Likewise, we are uniquely able to offer pharmaceutical manufacturers one platform to manage, promote and report their patient support to physicians- right within their current workflow.</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our 3rd and fourth quarter, we secured additional financing to support our continued growth and the recognized need for additional resources within the technical, sales and administrative disciplines. We used $1,056,876 to pay back the note to Physicians Interactive, with the balance of the funds allocated to be used to support the acquisition of additional resources needed to support our growth.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hiring a new Vice President of Eastern Sales we increased our Sales/Marketing staff to assist with supporting the sales organization and begin to build out and coordinate our brand marketing and awareness programs. We have focused on driving our market message and gained significant exposure while participating in the Allscripts User Conference in August of 2011. With some 3500 plus attendees, we gained valuable exposure to health systems and pharmaceutical manufacturers. Additionally, we participated within the HIMMS health care technology conference, the Marcus Evan Executive Marketing roundtable and launched an Ad campaign surrounding our SampleMD™ solution and its benefits to the health care provider advertising in Pharmaceutical Executive Magazine. We also initiated a number of email marketing campaigns as well as initiating a SampleMD™ newsletter. It is our intent to continue to drive market awareness, secure additional sales, align with additional channel partners, and to acquire the necessary resources to support our continued growth.</w:t>
      </w:r>
    </w:p>
    <w:p>
      <w:pPr>
        <w:spacing w:after="0" w:line="192"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For our year to date performance, OPTIMIZERx generated revenue post launch of the SampleMD™ initiative of $1.11 Million from agreements that represent thirteen (13) major pharmaceutical manufacturers, forty six (46) brands and sixty (60) offerings distributed via our heath system widgets and integrated ePrescribing channel partners. Eliminating non-cash expenses, these efforts have resulted in great operational improvements, cost controls, and substantially reducing the net loss year over year. The sales cycle and medical/legal review is substantially longer than anticipated based introducing new marketing technology within the highly regulated pharmaceutical industry.</w:t>
      </w:r>
    </w:p>
    <w:p>
      <w:pPr>
        <w:spacing w:after="0" w:line="173"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auto"/>
        </w:rPr>
        <w:t>However, we have streamlined this process within key organizations that now recognize and approve the marketing process of SampleMD. Our pipeline and opportunities continue to grow and anticipate significant acceleration of revenue within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half of 2012.</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ind w:left="540" w:right="140"/>
        <w:spacing w:after="0" w:line="286" w:lineRule="auto"/>
        <w:rPr>
          <w:sz w:val="20"/>
          <w:szCs w:val="20"/>
          <w:color w:val="auto"/>
        </w:rPr>
      </w:pPr>
      <w:r>
        <w:rPr>
          <w:rFonts w:ascii="Arial" w:cs="Arial" w:eastAsia="Arial" w:hAnsi="Arial"/>
          <w:sz w:val="17"/>
          <w:szCs w:val="17"/>
          <w:color w:val="auto"/>
        </w:rPr>
        <w:t>SampleMD -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which led us during the past year to develop our direct to physician solution called SampleMD.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-382270</wp:posOffset>
            </wp:positionV>
            <wp:extent cx="342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46"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SampleMD is a revolutionary virtual "Patient Support Center" that allows doctors and staff to access a universe of sample vouchers, co-pay coupons and the fulfillment and adjudication of claims directly from their desktops. Doctors and healthcare providers utilize the SampleMD application from their computer desktops or integrate it into their EMR and/or e-Prescribe systems to search, print or electronically dispense drug samples and co-pay coupons through a national network of pharmacies. SampleMD eliminates the need for physicians to manage and store physical drug samples by offering a more convenient and efficient way to allocate, administer and track samples and co-pay savings provided to their patients. Doctors can also review a branded drug's formulary status within the patients' insurance plan to determine at what level the product is paid/reimbursed. With an integrated automated communications capability, SampleMD will also provide on-going patient support and delivery of monthly co-pay savings to promote continued drug compliance for chronic conditions such as diabetes, heart disease and asthma.</w:t>
      </w:r>
    </w:p>
    <w:p>
      <w:pPr>
        <w:spacing w:after="0" w:line="166" w:lineRule="exact"/>
        <w:rPr>
          <w:sz w:val="20"/>
          <w:szCs w:val="20"/>
          <w:color w:val="auto"/>
        </w:rPr>
      </w:pPr>
    </w:p>
    <w:p>
      <w:pPr>
        <w:ind w:left="540" w:right="220"/>
        <w:spacing w:after="0" w:line="257" w:lineRule="auto"/>
        <w:rPr>
          <w:sz w:val="20"/>
          <w:szCs w:val="20"/>
          <w:color w:val="auto"/>
        </w:rPr>
      </w:pPr>
      <w:r>
        <w:rPr>
          <w:rFonts w:ascii="Arial" w:cs="Arial" w:eastAsia="Arial" w:hAnsi="Arial"/>
          <w:sz w:val="18"/>
          <w:szCs w:val="18"/>
          <w:color w:val="auto"/>
        </w:rPr>
        <w:t>OPTIMIZERx.com – Our Site is a portal to healthcare savings for patients to centrally review and participate in prescription and healthcare savings and support programs.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-642620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68" w:lineRule="exact"/>
        <w:rPr>
          <w:sz w:val="20"/>
          <w:szCs w:val="20"/>
          <w:color w:val="auto"/>
        </w:rPr>
      </w:pPr>
    </w:p>
    <w:p>
      <w:pPr>
        <w:ind w:left="540" w:right="220"/>
        <w:spacing w:after="0" w:line="259" w:lineRule="auto"/>
        <w:rPr>
          <w:sz w:val="20"/>
          <w:szCs w:val="20"/>
          <w:color w:val="auto"/>
        </w:rPr>
      </w:pPr>
      <w:r>
        <w:rPr>
          <w:rFonts w:ascii="Arial" w:cs="Arial" w:eastAsia="Arial" w:hAnsi="Arial"/>
          <w:sz w:val="18"/>
          <w:szCs w:val="18"/>
          <w:color w:val="auto"/>
        </w:rPr>
        <w:t>By providing information as well as significant savings opportunities to users of our Site, we hope to become the default medical website for both patients and the pharmaceutical industry. We feel that the aging of the baby boom generation, combined with the preponderance of internet usage to access information and savings in all areas, has created a large potential market for our Site. We are also developing phone applications which will allow consumers to use right when they are in their pharmacies.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OPTIMIZERx continued to extend its marketing efforts to build both brand and capabilities awareness to the market. As mentioned above, we actively participated in industry and partner events such as exlPharma and the ACE – Allscripts Users Conference. During the course of the year, OPTIMIZERx also initiated and delivered successful email marketing campaigns as well as successful public relations and press release communications initiatives. OPTIMIZERx has enlisted a successful advertising campaign through Pharma Exec magazine that netted several responses and qualified leads.</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OPTIMIZERx plans to continue these efforts and with our marketing partners, we intend to continue to promote OPTIMIZERx and SampleMD primarily through the following:</w:t>
      </w:r>
    </w:p>
    <w:p>
      <w:pPr>
        <w:spacing w:after="0" w:line="170" w:lineRule="exact"/>
        <w:rPr>
          <w:sz w:val="20"/>
          <w:szCs w:val="20"/>
          <w:color w:val="auto"/>
        </w:rPr>
      </w:pPr>
    </w:p>
    <w:p>
      <w:pPr>
        <w:ind w:left="180" w:right="9320" w:hanging="131"/>
        <w:spacing w:after="0" w:line="271"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Industry and Partner event Email Comapigns Internet Marketing</w:t>
      </w:r>
    </w:p>
    <w:p>
      <w:pPr>
        <w:ind w:left="180" w:hanging="131"/>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180" w:hanging="131"/>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180" w:hanging="131"/>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180" w:hanging="131"/>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9" w:lineRule="exact"/>
        <w:rPr>
          <w:rFonts w:ascii="Arial" w:cs="Arial" w:eastAsia="Arial" w:hAnsi="Arial"/>
          <w:sz w:val="18"/>
          <w:szCs w:val="18"/>
          <w:color w:val="auto"/>
        </w:rPr>
      </w:pPr>
    </w:p>
    <w:p>
      <w:pPr>
        <w:ind w:left="180" w:hanging="131"/>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180" w:hanging="131"/>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Physician Organizations and Associations</w:t>
      </w:r>
    </w:p>
    <w:p>
      <w:pPr>
        <w:spacing w:after="0" w:line="9" w:lineRule="exact"/>
        <w:rPr>
          <w:rFonts w:ascii="Arial" w:cs="Arial" w:eastAsia="Arial" w:hAnsi="Arial"/>
          <w:sz w:val="18"/>
          <w:szCs w:val="18"/>
          <w:color w:val="auto"/>
        </w:rPr>
      </w:pPr>
    </w:p>
    <w:p>
      <w:pPr>
        <w:ind w:left="180" w:hanging="131"/>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-1365885</wp:posOffset>
            </wp:positionV>
            <wp:extent cx="216979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216979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216979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216979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9795" cy="137160"/>
                    </a:xfrm>
                    <a:prstGeom prst="rect">
                      <a:avLst/>
                    </a:prstGeom>
                    <a:noFill/>
                  </pic:spPr>
                </pic:pic>
              </a:graphicData>
            </a:graphic>
          </wp:anchor>
        </w:drawing>
      </w:r>
    </w:p>
    <w:p>
      <w:pPr>
        <w:spacing w:after="0" w:line="19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OPTIMIZERx has also positioned a Vice President of Eastern Sales located in Philadelphia, PA. We continue to look to secure key sales executives to support the growth targets of the organization through efforts in direct sales, identify and enlist new strategic partners, and build on the existing client base.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OPTIMIZERx is keen on the opinions and input that we gain from all stake holders by which our products and solutions cross. From the prescribing clinicians that utilize our solutions to add value to the patients they serve, to the partners we use to leverage their channels for distribution and promotion of the services, we are able to greatly assist the pharmaceutical manufacturing clients that depend on our solutions to increase their brand awareness and assist patients in need of their offerings. This “Voice of the Stake Holder” is a mantra that we leverage in analyzing industry trends and market shifts and identifying enhancements and new offerings through our SampleMD™ solution. This effort involves all of our officers and directors as part of our continual research development team while monitoring new technologies, trends, services, and partnerships that can help us provide additional services and increased value to the healthcare and pharmaceutical industries and to the patients they serve.</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This year OPTIMIZERx has added a Director of Technology and Director of Software Development to strengthen our core technical team while further developing our core portfolio products and solutions, and begin development of new solutions offerings to expand our solutions offerings footprint. OPTIMIZERx also continues to work with the Engineering and Information Technology department of Oakland University in Rochester Michigan. As the University has opened the doors of its new medical school, it also brings highly skilled technology and application developers whom posses a solid knowledge of medical industry IT requirements.</w:t>
      </w:r>
    </w:p>
    <w:p>
      <w:pPr>
        <w:spacing w:after="0" w:line="18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OPTIMIZERx continues its commitment to educate both our direct and our extended teams through an understanding of all market dynamics that have the potential to affect our business in both the short and long 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 to Physician Sampling Environment (SampleMD)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SampleMD has faced little competition as it enters the market offering new innovation that ceased to exist. The biggest of challengers was physicians having physical samples available on site and within their clinics. Physician Interactive , a technology company who provides a web enabled service allowing physician to order physical samples online for delivery to their clinics, was the most prevalent of competitors.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OptimizeRx.com website continues to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that provide online advertising competition to OPTIMIZERx.com, including Quality Health, WebMD, McKesson, and Drugs.com.</w:t>
      </w:r>
    </w:p>
    <w:p>
      <w:pPr>
        <w:spacing w:after="0" w:line="187" w:lineRule="exact"/>
        <w:rPr>
          <w:sz w:val="20"/>
          <w:szCs w:val="20"/>
          <w:color w:val="auto"/>
        </w:rPr>
      </w:pPr>
    </w:p>
    <w:p>
      <w:pPr>
        <w:ind w:left="660" w:hanging="358"/>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Quality Health – Quality Health hosts an interactive website that allows users to research information regarding medical conditions, medications, and treatments. Visitors to their website can also search for doctors or health centers in their area, both generally and specific to their condition.</w:t>
      </w:r>
    </w:p>
    <w:p>
      <w:pPr>
        <w:ind w:left="660" w:right="60" w:hanging="35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WebMD – WebMD provides in-depth reference material regarding medical conditions and medicines to users. Individuals can search for a diagnosis via symptoms or research details regarding their previously diagnosed medical conditions. Online support forums are also hosted for patients with particularly challenging conditions.</w:t>
      </w:r>
    </w:p>
    <w:p>
      <w:pPr>
        <w:spacing w:after="0" w:line="1" w:lineRule="exact"/>
        <w:rPr>
          <w:rFonts w:ascii="Arial" w:cs="Arial" w:eastAsia="Arial" w:hAnsi="Arial"/>
          <w:sz w:val="18"/>
          <w:szCs w:val="18"/>
          <w:color w:val="auto"/>
        </w:rPr>
      </w:pPr>
    </w:p>
    <w:p>
      <w:pPr>
        <w:ind w:left="660" w:right="260" w:hanging="35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McKesson – McKesson Corporation has been providing health care services in the United States for over 175 years. They act as a distributor for pharmaceutical companies to a network of pharmacies, and have developed online solutions for customers, third-party payors, and manufacturers. McKesson has significantly greater financial resources and brand recognition than we do.</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competitors who have not done so already may be able to enter into the field by developing a website to promote health care offers. However, most may be limited in their ability to create, promote and manage new and exclusive prescription trials or offers. Additionally, with ADHERxE and the ability to create multiple offers activated each month for returning patients who sign up, we believe that we are uniquely positioned with significant barriers to entry for potential competitors in this area.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key aspects of our promotional and offer development platforms are pending patent review. However, our business is not predicated on being awarded patent exclusiveness. Rather, patent protection represents a huge asset and further opportunity upon its receipt.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is a licensed trademark.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SampleMD is a licensed trademark</w:t>
      </w:r>
    </w:p>
    <w:p>
      <w:pPr>
        <w:spacing w:after="0" w:line="21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our patents and patent applications as of the date hereof:</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320" w:type="dxa"/>
            <w:vAlign w:val="bottom"/>
          </w:tcPr>
          <w:p>
            <w:pPr>
              <w:ind w:left="820"/>
              <w:spacing w:after="0"/>
              <w:rPr>
                <w:sz w:val="20"/>
                <w:szCs w:val="20"/>
                <w:color w:val="auto"/>
              </w:rPr>
            </w:pPr>
            <w:r>
              <w:rPr>
                <w:rFonts w:ascii="Arial" w:cs="Arial" w:eastAsia="Arial" w:hAnsi="Arial"/>
                <w:sz w:val="18"/>
                <w:szCs w:val="18"/>
                <w:color w:val="auto"/>
              </w:rPr>
              <w:t>App Number/</w:t>
            </w:r>
          </w:p>
        </w:tc>
        <w:tc>
          <w:tcPr>
            <w:tcW w:w="3180" w:type="dxa"/>
            <w:vAlign w:val="bottom"/>
          </w:tcPr>
          <w:p>
            <w:pPr>
              <w:ind w:left="1180"/>
              <w:spacing w:after="0"/>
              <w:rPr>
                <w:sz w:val="20"/>
                <w:szCs w:val="20"/>
                <w:color w:val="auto"/>
              </w:rPr>
            </w:pPr>
            <w:r>
              <w:rPr>
                <w:rFonts w:ascii="Arial" w:cs="Arial" w:eastAsia="Arial" w:hAnsi="Arial"/>
                <w:sz w:val="18"/>
                <w:szCs w:val="18"/>
                <w:color w:val="auto"/>
              </w:rPr>
              <w:t>Brief Summary</w:t>
            </w:r>
          </w:p>
        </w:tc>
        <w:tc>
          <w:tcPr>
            <w:tcW w:w="2480" w:type="dxa"/>
            <w:vAlign w:val="bottom"/>
          </w:tcPr>
          <w:p>
            <w:pPr>
              <w:spacing w:after="0"/>
              <w:rPr>
                <w:sz w:val="18"/>
                <w:szCs w:val="18"/>
                <w:color w:val="auto"/>
              </w:rPr>
            </w:pPr>
          </w:p>
        </w:tc>
      </w:tr>
      <w:tr>
        <w:trPr>
          <w:trHeight w:val="237"/>
        </w:trPr>
        <w:tc>
          <w:tcPr>
            <w:tcW w:w="2320" w:type="dxa"/>
            <w:vAlign w:val="bottom"/>
          </w:tcPr>
          <w:p>
            <w:pPr>
              <w:ind w:left="920"/>
              <w:spacing w:after="0"/>
              <w:rPr>
                <w:sz w:val="20"/>
                <w:szCs w:val="20"/>
                <w:color w:val="auto"/>
              </w:rPr>
            </w:pPr>
            <w:r>
              <w:rPr>
                <w:rFonts w:ascii="Arial" w:cs="Arial" w:eastAsia="Arial" w:hAnsi="Arial"/>
                <w:sz w:val="18"/>
                <w:szCs w:val="18"/>
                <w:color w:val="auto"/>
              </w:rPr>
              <w:t>Filing Date</w:t>
            </w:r>
          </w:p>
        </w:tc>
        <w:tc>
          <w:tcPr>
            <w:tcW w:w="3180" w:type="dxa"/>
            <w:vAlign w:val="bottom"/>
          </w:tcPr>
          <w:p>
            <w:pPr>
              <w:ind w:left="1060"/>
              <w:spacing w:after="0"/>
              <w:rPr>
                <w:sz w:val="20"/>
                <w:szCs w:val="20"/>
                <w:color w:val="auto"/>
              </w:rPr>
            </w:pPr>
            <w:r>
              <w:rPr>
                <w:rFonts w:ascii="Arial" w:cs="Arial" w:eastAsia="Arial" w:hAnsi="Arial"/>
                <w:sz w:val="18"/>
                <w:szCs w:val="18"/>
                <w:color w:val="auto"/>
              </w:rPr>
              <w:t>(Products Covered)</w:t>
            </w:r>
          </w:p>
        </w:tc>
        <w:tc>
          <w:tcPr>
            <w:tcW w:w="2480" w:type="dxa"/>
            <w:vAlign w:val="bottom"/>
          </w:tcPr>
          <w:p>
            <w:pPr>
              <w:ind w:left="1120"/>
              <w:spacing w:after="0"/>
              <w:rPr>
                <w:sz w:val="20"/>
                <w:szCs w:val="20"/>
                <w:color w:val="auto"/>
              </w:rPr>
            </w:pPr>
            <w:r>
              <w:rPr>
                <w:rFonts w:ascii="Arial" w:cs="Arial" w:eastAsia="Arial" w:hAnsi="Arial"/>
                <w:sz w:val="18"/>
                <w:szCs w:val="18"/>
                <w:color w:val="auto"/>
              </w:rPr>
              <w:t>Status</w:t>
            </w:r>
          </w:p>
        </w:tc>
      </w:tr>
      <w:tr>
        <w:trPr>
          <w:trHeight w:val="209"/>
        </w:trPr>
        <w:tc>
          <w:tcPr>
            <w:tcW w:w="2320" w:type="dxa"/>
            <w:vAlign w:val="bottom"/>
            <w:shd w:val="clear" w:color="auto" w:fill="CCEECC"/>
          </w:tcPr>
          <w:p>
            <w:pPr>
              <w:spacing w:after="0"/>
              <w:rPr>
                <w:sz w:val="18"/>
                <w:szCs w:val="18"/>
                <w:color w:val="auto"/>
              </w:rPr>
            </w:pPr>
          </w:p>
        </w:tc>
        <w:tc>
          <w:tcPr>
            <w:tcW w:w="3180" w:type="dxa"/>
            <w:vAlign w:val="bottom"/>
            <w:shd w:val="clear" w:color="auto" w:fill="CCEECC"/>
          </w:tcPr>
          <w:p>
            <w:pPr>
              <w:ind w:left="520"/>
              <w:spacing w:after="0"/>
              <w:rPr>
                <w:sz w:val="20"/>
                <w:szCs w:val="20"/>
                <w:color w:val="auto"/>
              </w:rPr>
            </w:pPr>
            <w:r>
              <w:rPr>
                <w:rFonts w:ascii="Arial" w:cs="Arial" w:eastAsia="Arial" w:hAnsi="Arial"/>
                <w:sz w:val="18"/>
                <w:szCs w:val="18"/>
                <w:color w:val="auto"/>
              </w:rPr>
              <w:t>System for providing patient</w:t>
            </w:r>
          </w:p>
        </w:tc>
        <w:tc>
          <w:tcPr>
            <w:tcW w:w="2480" w:type="dxa"/>
            <w:vAlign w:val="bottom"/>
            <w:shd w:val="clear" w:color="auto" w:fill="CCEECC"/>
          </w:tcPr>
          <w:p>
            <w:pPr>
              <w:spacing w:after="0"/>
              <w:rPr>
                <w:sz w:val="18"/>
                <w:szCs w:val="18"/>
                <w:color w:val="auto"/>
              </w:rPr>
            </w:pPr>
          </w:p>
        </w:tc>
      </w:tr>
      <w:tr>
        <w:trPr>
          <w:trHeight w:val="216"/>
        </w:trPr>
        <w:tc>
          <w:tcPr>
            <w:tcW w:w="2320" w:type="dxa"/>
            <w:vAlign w:val="bottom"/>
            <w:shd w:val="clear" w:color="auto" w:fill="CCEECC"/>
          </w:tcPr>
          <w:p>
            <w:pPr>
              <w:spacing w:after="0"/>
              <w:rPr>
                <w:sz w:val="20"/>
                <w:szCs w:val="20"/>
                <w:color w:val="auto"/>
              </w:rPr>
            </w:pPr>
            <w:r>
              <w:rPr>
                <w:rFonts w:ascii="Arial" w:cs="Arial" w:eastAsia="Arial" w:hAnsi="Arial"/>
                <w:sz w:val="18"/>
                <w:szCs w:val="18"/>
                <w:color w:val="auto"/>
              </w:rPr>
              <w:t>S.N. 11/528,292</w:t>
            </w:r>
          </w:p>
        </w:tc>
        <w:tc>
          <w:tcPr>
            <w:tcW w:w="3180" w:type="dxa"/>
            <w:vAlign w:val="bottom"/>
            <w:shd w:val="clear" w:color="auto" w:fill="CCEECC"/>
          </w:tcPr>
          <w:p>
            <w:pPr>
              <w:ind w:left="520"/>
              <w:spacing w:after="0"/>
              <w:rPr>
                <w:sz w:val="20"/>
                <w:szCs w:val="20"/>
                <w:color w:val="auto"/>
              </w:rPr>
            </w:pPr>
            <w:r>
              <w:rPr>
                <w:rFonts w:ascii="Arial" w:cs="Arial" w:eastAsia="Arial" w:hAnsi="Arial"/>
                <w:sz w:val="18"/>
                <w:szCs w:val="18"/>
                <w:color w:val="auto"/>
                <w:w w:val="95"/>
              </w:rPr>
              <w:t>savings and promoting health care</w:t>
            </w:r>
          </w:p>
        </w:tc>
        <w:tc>
          <w:tcPr>
            <w:tcW w:w="2480" w:type="dxa"/>
            <w:vAlign w:val="bottom"/>
            <w:shd w:val="clear" w:color="auto" w:fill="CCEECC"/>
          </w:tcPr>
          <w:p>
            <w:pPr>
              <w:spacing w:after="0"/>
              <w:rPr>
                <w:sz w:val="18"/>
                <w:szCs w:val="18"/>
                <w:color w:val="auto"/>
              </w:rPr>
            </w:pPr>
          </w:p>
        </w:tc>
      </w:tr>
      <w:tr>
        <w:trPr>
          <w:trHeight w:val="230"/>
        </w:trPr>
        <w:tc>
          <w:tcPr>
            <w:tcW w:w="2320" w:type="dxa"/>
            <w:vAlign w:val="bottom"/>
            <w:shd w:val="clear" w:color="auto" w:fill="CCEECC"/>
          </w:tcPr>
          <w:p>
            <w:pPr>
              <w:spacing w:after="0"/>
              <w:rPr>
                <w:sz w:val="20"/>
                <w:szCs w:val="20"/>
                <w:color w:val="auto"/>
              </w:rPr>
            </w:pPr>
            <w:r>
              <w:rPr>
                <w:rFonts w:ascii="Arial" w:cs="Arial" w:eastAsia="Arial" w:hAnsi="Arial"/>
                <w:sz w:val="18"/>
                <w:szCs w:val="18"/>
                <w:color w:val="auto"/>
              </w:rPr>
              <w:t>September 27, 2006</w:t>
            </w:r>
          </w:p>
        </w:tc>
        <w:tc>
          <w:tcPr>
            <w:tcW w:w="3180" w:type="dxa"/>
            <w:vAlign w:val="bottom"/>
            <w:shd w:val="clear" w:color="auto" w:fill="CCEECC"/>
          </w:tcPr>
          <w:p>
            <w:pPr>
              <w:ind w:left="520"/>
              <w:spacing w:after="0"/>
              <w:rPr>
                <w:sz w:val="20"/>
                <w:szCs w:val="20"/>
                <w:color w:val="auto"/>
              </w:rPr>
            </w:pPr>
            <w:r>
              <w:rPr>
                <w:rFonts w:ascii="Arial" w:cs="Arial" w:eastAsia="Arial" w:hAnsi="Arial"/>
                <w:sz w:val="18"/>
                <w:szCs w:val="18"/>
                <w:color w:val="auto"/>
              </w:rPr>
              <w:t>product sales</w:t>
            </w:r>
          </w:p>
        </w:tc>
        <w:tc>
          <w:tcPr>
            <w:tcW w:w="24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Patent application pending.</w:t>
            </w:r>
          </w:p>
        </w:tc>
      </w:tr>
      <w:tr>
        <w:trPr>
          <w:trHeight w:val="202"/>
        </w:trPr>
        <w:tc>
          <w:tcPr>
            <w:tcW w:w="2320" w:type="dxa"/>
            <w:vAlign w:val="bottom"/>
          </w:tcPr>
          <w:p>
            <w:pPr>
              <w:spacing w:after="0"/>
              <w:rPr>
                <w:sz w:val="17"/>
                <w:szCs w:val="17"/>
                <w:color w:val="auto"/>
              </w:rPr>
            </w:pPr>
          </w:p>
        </w:tc>
        <w:tc>
          <w:tcPr>
            <w:tcW w:w="3180" w:type="dxa"/>
            <w:vAlign w:val="bottom"/>
          </w:tcPr>
          <w:p>
            <w:pPr>
              <w:ind w:left="520"/>
              <w:spacing w:after="0" w:line="201" w:lineRule="exact"/>
              <w:rPr>
                <w:sz w:val="20"/>
                <w:szCs w:val="20"/>
                <w:color w:val="auto"/>
              </w:rPr>
            </w:pPr>
            <w:r>
              <w:rPr>
                <w:rFonts w:ascii="Arial" w:cs="Arial" w:eastAsia="Arial" w:hAnsi="Arial"/>
                <w:sz w:val="18"/>
                <w:szCs w:val="18"/>
                <w:color w:val="auto"/>
              </w:rPr>
              <w:t>Virtual Sample Cabinet System</w:t>
            </w:r>
          </w:p>
        </w:tc>
        <w:tc>
          <w:tcPr>
            <w:tcW w:w="2480" w:type="dxa"/>
            <w:vAlign w:val="bottom"/>
          </w:tcPr>
          <w:p>
            <w:pPr>
              <w:spacing w:after="0"/>
              <w:rPr>
                <w:sz w:val="17"/>
                <w:szCs w:val="17"/>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S.N. 61/277,161</w:t>
            </w:r>
          </w:p>
        </w:tc>
        <w:tc>
          <w:tcPr>
            <w:tcW w:w="3180" w:type="dxa"/>
            <w:vAlign w:val="bottom"/>
          </w:tcPr>
          <w:p>
            <w:pPr>
              <w:ind w:left="520"/>
              <w:spacing w:after="0"/>
              <w:rPr>
                <w:sz w:val="20"/>
                <w:szCs w:val="20"/>
                <w:color w:val="auto"/>
              </w:rPr>
            </w:pPr>
            <w:r>
              <w:rPr>
                <w:rFonts w:ascii="Arial" w:cs="Arial" w:eastAsia="Arial" w:hAnsi="Arial"/>
                <w:sz w:val="18"/>
                <w:szCs w:val="18"/>
                <w:color w:val="auto"/>
              </w:rPr>
              <w:t>and Method for Prescribing Drug</w:t>
            </w:r>
          </w:p>
        </w:tc>
        <w:tc>
          <w:tcPr>
            <w:tcW w:w="248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September 21,2009</w:t>
            </w:r>
          </w:p>
        </w:tc>
        <w:tc>
          <w:tcPr>
            <w:tcW w:w="3180" w:type="dxa"/>
            <w:vAlign w:val="bottom"/>
          </w:tcPr>
          <w:p>
            <w:pPr>
              <w:ind w:left="520"/>
              <w:spacing w:after="0"/>
              <w:rPr>
                <w:sz w:val="20"/>
                <w:szCs w:val="20"/>
                <w:color w:val="auto"/>
              </w:rPr>
            </w:pPr>
            <w:r>
              <w:rPr>
                <w:rFonts w:ascii="Arial" w:cs="Arial" w:eastAsia="Arial" w:hAnsi="Arial"/>
                <w:sz w:val="18"/>
                <w:szCs w:val="18"/>
                <w:color w:val="auto"/>
              </w:rPr>
              <w:t>Marketing</w:t>
            </w:r>
          </w:p>
        </w:tc>
        <w:tc>
          <w:tcPr>
            <w:tcW w:w="2480" w:type="dxa"/>
            <w:vAlign w:val="bottom"/>
          </w:tcPr>
          <w:p>
            <w:pPr>
              <w:ind w:left="180"/>
              <w:spacing w:after="0"/>
              <w:rPr>
                <w:sz w:val="20"/>
                <w:szCs w:val="20"/>
                <w:color w:val="auto"/>
              </w:rPr>
            </w:pPr>
            <w:r>
              <w:rPr>
                <w:rFonts w:ascii="Arial" w:cs="Arial" w:eastAsia="Arial" w:hAnsi="Arial"/>
                <w:sz w:val="18"/>
                <w:szCs w:val="18"/>
                <w:color w:val="auto"/>
              </w:rPr>
              <w:t>Patent application pending</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October 22, 2007. On April 14, 2008, our company, known at the time as RFID Ltd., entered into a share exchange agreement with the stockholders of OptimizeRx Corporation, pursuant to which the stockholders of OptimizeRx Corporation exchanged all of the issued and outstanding capital stock of OptimizeRx Corporation for 10,664,000 shares of common stock of RFID Ltd.. As of April 30, 2008, RFID’s officers and directors resigned their positions and RFID changed its business to OptimizeRx’s business. As a result, the historical discussion and financial statements included in this annual report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2011, we had 11 full-time employees and 2 part time / co-op employees in addition to 3 contracted programmers through our established a relationship with Oakland University for technical and programming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Properties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Currently, we do not own any real estate. Our principal executive offices are located at 400 Water Street, Suite 200, , Rochester, Michigan, 48307. We have entered into a 3 year lease for this 2,886 square foot facility, with a cost of approximately$5,049.25 per month.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18, 2010, we commenced an action against Midtown Partners &amp; Co., LLC (“Midtwon Partners”) in the Circuit Court for the County of Oakland in the State of Michigan. The action is based on a dispute between our company and Midtown Partners surrounding a placement agent agreement that was entered into on June 27, 2008. We filed the action seeking declaratory relief that no compensation is due and owing to Midtown Partners in connection with an investment made by Vicis on June 4, 2010.</w:t>
      </w:r>
    </w:p>
    <w:p>
      <w:pPr>
        <w:spacing w:after="0" w:line="18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On February 10, 2011, we commenced an action against Beringea, LLC (“Beringea”) with the American Arbitration Association (“AAA”) in Oakland County, Michigan. The action is based on a dispute between our company and Beringea surrounding a capital raising agreement that was entered into on October 15, 2009. We have alleged that Beringea has failed to perform under the agreement, misinformed us about “tail” liability, and is wrongfully withholding funds due to us. We sought $400,000 in damages.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30, 2011 a final arbitration award (the “Award”) was issued by an AAA arbitrator. According to the Award, we are entitled to recover $202,500 from Beringea on the claim of gross negligence, and $88,000 for the costs of enforcing the agreement, including attorneys’ fees and expenses. All other claims sought in the Demand were denied.</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18, 2010, we commenced an action against Midtown Partners &amp; Co., LLC (“Midtwon Partners”) in the Circuit Court for the County of Oakland in the State of Michigan. The action is based on a dispute between our company and Midtown Partners surrounding a placement agent agreement that was entered into on June 27, 2008. We filed the action seeking declaratory relief that no compensation is due and owing to Midtown Partners in connection with an investment made by on June 4, 2010.</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Midtown Partners removed the action to the United States District Court for the Eastern District of Michigan. On June 30, 2011, we entered into a settlement agreement with Midtown Partners. Under the settlement agreement, we paid Midtown Partners $57,500 and issued the company 100,000 shares of our common stock. As a result of the settlement, the litigation in the Eastern District of Michigan was dismissed.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Our common stock is quoted under the symbol “OPRX” on the OTCBB operated by the Financial Industry Regulatory Authority, Inc. (“FINRA”) and the OTCQB operated by OTC Markets Group, Inc. Few market makers continue to participate in the OTCBB system because of high fees charged by FINRA. Consequently, market makers that once quoted our shares on the OTCBB system may no longer be posting a quotation for our shares. As of the date of this report, however, our shares are quoted by several market makers on the OTCQB. The criteria for listing on either the OTCBB or OTCQB are similar and include that we remain current in our SEC reporting. Our reporting is presently current and, since inception, we have filed our SEC reports on time.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Only a limited market exists for our securities. There is no assurance that a regular trading market will develop, or if developed, that it will be sustained.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a shareholder may be unable to resell his securities in our company.</w:t>
      </w:r>
    </w:p>
    <w:p>
      <w:pPr>
        <w:spacing w:after="0" w:line="2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 Ending December 31, 2011</w:t>
      </w:r>
    </w:p>
    <w:p>
      <w:pPr>
        <w:spacing w:after="0" w:line="23" w:lineRule="exact"/>
        <w:rPr>
          <w:sz w:val="20"/>
          <w:szCs w:val="20"/>
          <w:color w:val="auto"/>
        </w:rPr>
      </w:pPr>
    </w:p>
    <w:tbl>
      <w:tblPr>
        <w:tblLayout w:type="fixed"/>
        <w:tblInd w:w="3440" w:type="dxa"/>
        <w:tblCellMar>
          <w:top w:w="0" w:type="dxa"/>
          <w:left w:w="0" w:type="dxa"/>
          <w:bottom w:w="0" w:type="dxa"/>
          <w:right w:w="0" w:type="dxa"/>
        </w:tblCellMar>
      </w:tblPr>
      <w:tr>
        <w:trPr>
          <w:trHeight w:val="210"/>
        </w:trPr>
        <w:tc>
          <w:tcPr>
            <w:tcW w:w="1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Quarter Ended</w:t>
            </w:r>
          </w:p>
        </w:tc>
        <w:tc>
          <w:tcPr>
            <w:tcW w:w="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High $</w:t>
            </w:r>
          </w:p>
        </w:tc>
        <w:tc>
          <w:tcPr>
            <w:tcW w:w="4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Low $</w:t>
            </w:r>
          </w:p>
        </w:tc>
      </w:tr>
      <w:tr>
        <w:trPr>
          <w:trHeight w:val="195"/>
        </w:trPr>
        <w:tc>
          <w:tcPr>
            <w:tcW w:w="1500" w:type="dxa"/>
            <w:vAlign w:val="bottom"/>
            <w:shd w:val="clear" w:color="auto" w:fill="CCEECC"/>
          </w:tcPr>
          <w:p>
            <w:pPr>
              <w:ind w:left="40"/>
              <w:spacing w:after="0" w:line="195" w:lineRule="exact"/>
              <w:rPr>
                <w:sz w:val="20"/>
                <w:szCs w:val="20"/>
                <w:color w:val="auto"/>
              </w:rPr>
            </w:pPr>
            <w:r>
              <w:rPr>
                <w:rFonts w:ascii="Arial" w:cs="Arial" w:eastAsia="Arial" w:hAnsi="Arial"/>
                <w:sz w:val="18"/>
                <w:szCs w:val="18"/>
                <w:color w:val="auto"/>
              </w:rPr>
              <w:t>December 31,</w:t>
            </w:r>
          </w:p>
        </w:tc>
        <w:tc>
          <w:tcPr>
            <w:tcW w:w="1560" w:type="dxa"/>
            <w:vAlign w:val="bottom"/>
            <w:gridSpan w:val="2"/>
            <w:shd w:val="clear" w:color="auto" w:fill="CCEECC"/>
          </w:tcPr>
          <w:p>
            <w:pPr>
              <w:jc w:val="center"/>
              <w:spacing w:after="0" w:line="195" w:lineRule="exact"/>
              <w:rPr>
                <w:sz w:val="20"/>
                <w:szCs w:val="20"/>
                <w:color w:val="auto"/>
              </w:rPr>
            </w:pPr>
            <w:r>
              <w:rPr>
                <w:rFonts w:ascii="Arial" w:cs="Arial" w:eastAsia="Arial" w:hAnsi="Arial"/>
                <w:sz w:val="18"/>
                <w:szCs w:val="18"/>
                <w:color w:val="auto"/>
                <w:w w:val="91"/>
              </w:rPr>
              <w:t>1.37</w:t>
            </w:r>
          </w:p>
        </w:tc>
        <w:tc>
          <w:tcPr>
            <w:tcW w:w="1500" w:type="dxa"/>
            <w:vAlign w:val="bottom"/>
            <w:gridSpan w:val="2"/>
            <w:shd w:val="clear" w:color="auto" w:fill="CCEECC"/>
          </w:tcPr>
          <w:p>
            <w:pPr>
              <w:jc w:val="center"/>
              <w:spacing w:after="0" w:line="195" w:lineRule="exact"/>
              <w:rPr>
                <w:sz w:val="20"/>
                <w:szCs w:val="20"/>
                <w:color w:val="auto"/>
              </w:rPr>
            </w:pPr>
            <w:r>
              <w:rPr>
                <w:rFonts w:ascii="Arial" w:cs="Arial" w:eastAsia="Arial" w:hAnsi="Arial"/>
                <w:sz w:val="18"/>
                <w:szCs w:val="18"/>
                <w:color w:val="auto"/>
                <w:w w:val="91"/>
              </w:rPr>
              <w:t>0.25</w:t>
            </w:r>
          </w:p>
        </w:tc>
      </w:tr>
      <w:tr>
        <w:trPr>
          <w:trHeight w:val="230"/>
        </w:trPr>
        <w:tc>
          <w:tcPr>
            <w:tcW w:w="150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2011</w:t>
            </w:r>
          </w:p>
        </w:tc>
        <w:tc>
          <w:tcPr>
            <w:tcW w:w="60" w:type="dxa"/>
            <w:vAlign w:val="bottom"/>
            <w:shd w:val="clear" w:color="auto" w:fill="CCEECC"/>
          </w:tcPr>
          <w:p>
            <w:pPr>
              <w:spacing w:after="0"/>
              <w:rPr>
                <w:sz w:val="20"/>
                <w:szCs w:val="20"/>
                <w:color w:val="auto"/>
              </w:rPr>
            </w:pPr>
          </w:p>
        </w:tc>
        <w:tc>
          <w:tcPr>
            <w:tcW w:w="150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460" w:type="dxa"/>
            <w:vAlign w:val="bottom"/>
            <w:shd w:val="clear" w:color="auto" w:fill="CCEECC"/>
          </w:tcPr>
          <w:p>
            <w:pPr>
              <w:spacing w:after="0"/>
              <w:rPr>
                <w:sz w:val="20"/>
                <w:szCs w:val="20"/>
                <w:color w:val="auto"/>
              </w:rPr>
            </w:pPr>
          </w:p>
        </w:tc>
      </w:tr>
      <w:tr>
        <w:trPr>
          <w:trHeight w:val="202"/>
        </w:trPr>
        <w:tc>
          <w:tcPr>
            <w:tcW w:w="1500" w:type="dxa"/>
            <w:vAlign w:val="bottom"/>
          </w:tcPr>
          <w:p>
            <w:pPr>
              <w:ind w:left="40"/>
              <w:spacing w:after="0" w:line="201" w:lineRule="exact"/>
              <w:rPr>
                <w:sz w:val="20"/>
                <w:szCs w:val="20"/>
                <w:color w:val="auto"/>
              </w:rPr>
            </w:pPr>
            <w:r>
              <w:rPr>
                <w:rFonts w:ascii="Arial" w:cs="Arial" w:eastAsia="Arial" w:hAnsi="Arial"/>
                <w:sz w:val="18"/>
                <w:szCs w:val="18"/>
                <w:color w:val="auto"/>
              </w:rPr>
              <w:t>September 30,</w:t>
            </w:r>
          </w:p>
        </w:tc>
        <w:tc>
          <w:tcPr>
            <w:tcW w:w="15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1.44</w:t>
            </w:r>
          </w:p>
        </w:tc>
        <w:tc>
          <w:tcPr>
            <w:tcW w:w="15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0.21</w:t>
            </w: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1500" w:type="dxa"/>
            <w:vAlign w:val="bottom"/>
            <w:shd w:val="clear" w:color="auto" w:fill="CCEECC"/>
          </w:tcPr>
          <w:p>
            <w:pPr>
              <w:ind w:left="40"/>
              <w:spacing w:after="0"/>
              <w:rPr>
                <w:sz w:val="20"/>
                <w:szCs w:val="20"/>
                <w:color w:val="auto"/>
              </w:rPr>
            </w:pPr>
            <w:r>
              <w:rPr>
                <w:rFonts w:ascii="Arial" w:cs="Arial" w:eastAsia="Arial" w:hAnsi="Arial"/>
                <w:sz w:val="18"/>
                <w:szCs w:val="18"/>
                <w:color w:val="auto"/>
              </w:rPr>
              <w:t>June 30, 2011</w:t>
            </w:r>
          </w:p>
        </w:tc>
        <w:tc>
          <w:tcPr>
            <w:tcW w:w="156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91"/>
              </w:rPr>
              <w:t>1.08</w:t>
            </w:r>
          </w:p>
        </w:tc>
        <w:tc>
          <w:tcPr>
            <w:tcW w:w="150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91"/>
              </w:rPr>
              <w:t>0.45</w:t>
            </w: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March 31, 2011</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0.60</w:t>
            </w:r>
          </w:p>
        </w:tc>
      </w:tr>
      <w:tr>
        <w:trPr>
          <w:trHeight w:val="418"/>
        </w:trPr>
        <w:tc>
          <w:tcPr>
            <w:tcW w:w="45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Fiscal Year Ending December 31, 2010</w:t>
            </w:r>
          </w:p>
        </w:tc>
      </w:tr>
      <w:tr>
        <w:trPr>
          <w:trHeight w:val="210"/>
        </w:trPr>
        <w:tc>
          <w:tcPr>
            <w:tcW w:w="1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Quarter Ended</w:t>
            </w:r>
          </w:p>
        </w:tc>
        <w:tc>
          <w:tcPr>
            <w:tcW w:w="6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High $</w:t>
            </w:r>
          </w:p>
        </w:tc>
        <w:tc>
          <w:tcPr>
            <w:tcW w:w="40" w:type="dxa"/>
            <w:vAlign w:val="bottom"/>
          </w:tcPr>
          <w:p>
            <w:pPr>
              <w:spacing w:after="0"/>
              <w:rPr>
                <w:sz w:val="18"/>
                <w:szCs w:val="18"/>
                <w:color w:val="auto"/>
              </w:rPr>
            </w:pP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Low $</w:t>
            </w:r>
          </w:p>
        </w:tc>
      </w:tr>
      <w:tr>
        <w:trPr>
          <w:trHeight w:val="195"/>
        </w:trPr>
        <w:tc>
          <w:tcPr>
            <w:tcW w:w="1500" w:type="dxa"/>
            <w:vAlign w:val="bottom"/>
            <w:shd w:val="clear" w:color="auto" w:fill="CCEECC"/>
          </w:tcPr>
          <w:p>
            <w:pPr>
              <w:ind w:left="40"/>
              <w:spacing w:after="0" w:line="195" w:lineRule="exact"/>
              <w:rPr>
                <w:sz w:val="20"/>
                <w:szCs w:val="20"/>
                <w:color w:val="auto"/>
              </w:rPr>
            </w:pPr>
            <w:r>
              <w:rPr>
                <w:rFonts w:ascii="Arial" w:cs="Arial" w:eastAsia="Arial" w:hAnsi="Arial"/>
                <w:sz w:val="18"/>
                <w:szCs w:val="18"/>
                <w:color w:val="auto"/>
              </w:rPr>
              <w:t>December 31,</w:t>
            </w:r>
          </w:p>
        </w:tc>
        <w:tc>
          <w:tcPr>
            <w:tcW w:w="1560" w:type="dxa"/>
            <w:vAlign w:val="bottom"/>
            <w:gridSpan w:val="2"/>
            <w:shd w:val="clear" w:color="auto" w:fill="CCEECC"/>
          </w:tcPr>
          <w:p>
            <w:pPr>
              <w:jc w:val="center"/>
              <w:spacing w:after="0" w:line="195" w:lineRule="exact"/>
              <w:rPr>
                <w:sz w:val="20"/>
                <w:szCs w:val="20"/>
                <w:color w:val="auto"/>
              </w:rPr>
            </w:pPr>
            <w:r>
              <w:rPr>
                <w:rFonts w:ascii="Arial" w:cs="Arial" w:eastAsia="Arial" w:hAnsi="Arial"/>
                <w:sz w:val="18"/>
                <w:szCs w:val="18"/>
                <w:color w:val="auto"/>
                <w:w w:val="91"/>
              </w:rPr>
              <w:t>1.50</w:t>
            </w:r>
          </w:p>
        </w:tc>
        <w:tc>
          <w:tcPr>
            <w:tcW w:w="1500" w:type="dxa"/>
            <w:vAlign w:val="bottom"/>
            <w:gridSpan w:val="2"/>
            <w:shd w:val="clear" w:color="auto" w:fill="CCEECC"/>
          </w:tcPr>
          <w:p>
            <w:pPr>
              <w:jc w:val="center"/>
              <w:spacing w:after="0" w:line="195" w:lineRule="exact"/>
              <w:rPr>
                <w:sz w:val="20"/>
                <w:szCs w:val="20"/>
                <w:color w:val="auto"/>
              </w:rPr>
            </w:pPr>
            <w:r>
              <w:rPr>
                <w:rFonts w:ascii="Arial" w:cs="Arial" w:eastAsia="Arial" w:hAnsi="Arial"/>
                <w:sz w:val="18"/>
                <w:szCs w:val="18"/>
                <w:color w:val="auto"/>
                <w:w w:val="91"/>
              </w:rPr>
              <w:t>0.80</w:t>
            </w:r>
          </w:p>
        </w:tc>
      </w:tr>
      <w:tr>
        <w:trPr>
          <w:trHeight w:val="230"/>
        </w:trPr>
        <w:tc>
          <w:tcPr>
            <w:tcW w:w="150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CCEECC"/>
          </w:tcPr>
          <w:p>
            <w:pPr>
              <w:spacing w:after="0"/>
              <w:rPr>
                <w:sz w:val="20"/>
                <w:szCs w:val="20"/>
                <w:color w:val="auto"/>
              </w:rPr>
            </w:pPr>
          </w:p>
        </w:tc>
        <w:tc>
          <w:tcPr>
            <w:tcW w:w="150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460" w:type="dxa"/>
            <w:vAlign w:val="bottom"/>
            <w:shd w:val="clear" w:color="auto" w:fill="CCEECC"/>
          </w:tcPr>
          <w:p>
            <w:pPr>
              <w:spacing w:after="0"/>
              <w:rPr>
                <w:sz w:val="20"/>
                <w:szCs w:val="20"/>
                <w:color w:val="auto"/>
              </w:rPr>
            </w:pPr>
          </w:p>
        </w:tc>
      </w:tr>
      <w:tr>
        <w:trPr>
          <w:trHeight w:val="202"/>
        </w:trPr>
        <w:tc>
          <w:tcPr>
            <w:tcW w:w="1500" w:type="dxa"/>
            <w:vAlign w:val="bottom"/>
          </w:tcPr>
          <w:p>
            <w:pPr>
              <w:ind w:left="40"/>
              <w:spacing w:after="0" w:line="201" w:lineRule="exact"/>
              <w:rPr>
                <w:sz w:val="20"/>
                <w:szCs w:val="20"/>
                <w:color w:val="auto"/>
              </w:rPr>
            </w:pPr>
            <w:r>
              <w:rPr>
                <w:rFonts w:ascii="Arial" w:cs="Arial" w:eastAsia="Arial" w:hAnsi="Arial"/>
                <w:sz w:val="18"/>
                <w:szCs w:val="18"/>
                <w:color w:val="auto"/>
              </w:rPr>
              <w:t>September 30,</w:t>
            </w:r>
          </w:p>
        </w:tc>
        <w:tc>
          <w:tcPr>
            <w:tcW w:w="15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2.02</w:t>
            </w:r>
          </w:p>
        </w:tc>
        <w:tc>
          <w:tcPr>
            <w:tcW w:w="15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0.75</w:t>
            </w: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1500" w:type="dxa"/>
            <w:vAlign w:val="bottom"/>
            <w:shd w:val="clear" w:color="auto" w:fill="CCEECC"/>
          </w:tcPr>
          <w:p>
            <w:pPr>
              <w:ind w:left="40"/>
              <w:spacing w:after="0"/>
              <w:rPr>
                <w:sz w:val="20"/>
                <w:szCs w:val="20"/>
                <w:color w:val="auto"/>
              </w:rPr>
            </w:pPr>
            <w:r>
              <w:rPr>
                <w:rFonts w:ascii="Arial" w:cs="Arial" w:eastAsia="Arial" w:hAnsi="Arial"/>
                <w:sz w:val="18"/>
                <w:szCs w:val="18"/>
                <w:color w:val="auto"/>
              </w:rPr>
              <w:t>June 30, 2010</w:t>
            </w:r>
          </w:p>
        </w:tc>
        <w:tc>
          <w:tcPr>
            <w:tcW w:w="156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91"/>
              </w:rPr>
              <w:t>2.45</w:t>
            </w:r>
          </w:p>
        </w:tc>
        <w:tc>
          <w:tcPr>
            <w:tcW w:w="150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91"/>
              </w:rPr>
              <w:t>1.26</w:t>
            </w: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March 31, 2010</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1"/>
              </w:rPr>
              <w:t>2.65</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February 15, 2012, the last sales price per share of our common stock was $0.70.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February 15, 2012, we had 14,192,496 shares of our common stock issued and outstanding, held by 312 shareholders of record, not including those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3"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5, 2008, our Board of Directors adopted the 2008 Company Stock Option Plan. The purpose of this plan is to provide incentives to attract, retain and motivate eligible persons whose present and potential contributions are important to our success, by offering them an opportunity to participate in the our future performance through awards of options, the right to purchase common stock and stock bonuses. We reserved 1,490,000 shares of our Common Stock for awards to be made under the 2008 Plan. The 2008 Plan is administered by a committee of two or more members of the Board of Directors or, if no committee is appointed, then by the Board of Directors. The committee, or the Board of Directors if there is no committee, determines who is eligible to receive awards under the plan, grant awards and interpret the 2008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as of December 31, 2011</w:t>
      </w:r>
    </w:p>
    <w:p>
      <w:pPr>
        <w:spacing w:after="0" w:line="224" w:lineRule="exact"/>
        <w:rPr>
          <w:sz w:val="20"/>
          <w:szCs w:val="20"/>
          <w:color w:val="auto"/>
        </w:rPr>
      </w:pPr>
    </w:p>
    <w:tbl>
      <w:tblPr>
        <w:tblLayout w:type="fixed"/>
        <w:tblInd w:w="890" w:type="dxa"/>
        <w:tblCellMar>
          <w:top w:w="0" w:type="dxa"/>
          <w:left w:w="0" w:type="dxa"/>
          <w:bottom w:w="0" w:type="dxa"/>
          <w:right w:w="0" w:type="dxa"/>
        </w:tblCellMar>
      </w:tblPr>
      <w:tr>
        <w:trPr>
          <w:trHeight w:val="230"/>
        </w:trPr>
        <w:tc>
          <w:tcPr>
            <w:tcW w:w="24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r>
      <w:tr>
        <w:trPr>
          <w:trHeight w:val="195"/>
        </w:trPr>
        <w:tc>
          <w:tcPr>
            <w:tcW w:w="2440" w:type="dxa"/>
            <w:vAlign w:val="bottom"/>
            <w:tcBorders>
              <w:left w:val="single" w:sz="8" w:color="auto"/>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Number of securities</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Number of securities to be</w:t>
            </w:r>
          </w:p>
        </w:tc>
        <w:tc>
          <w:tcPr>
            <w:tcW w:w="28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issued upon exercise of</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Weighted-average exercise price of</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equity compensation plans</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 options,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 options, warrants and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(excluding securities</w:t>
            </w:r>
          </w:p>
        </w:tc>
      </w:tr>
      <w:tr>
        <w:trPr>
          <w:trHeight w:val="230"/>
        </w:trPr>
        <w:tc>
          <w:tcPr>
            <w:tcW w:w="2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 Category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warrants and rights</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right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reflected in column (A))</w:t>
            </w:r>
          </w:p>
        </w:tc>
      </w:tr>
      <w:tr>
        <w:trPr>
          <w:trHeight w:val="195"/>
        </w:trPr>
        <w:tc>
          <w:tcPr>
            <w:tcW w:w="2440" w:type="dxa"/>
            <w:vAlign w:val="bottom"/>
            <w:tcBorders>
              <w:left w:val="single" w:sz="8" w:color="auto"/>
              <w:right w:val="single" w:sz="8" w:color="auto"/>
            </w:tcBorders>
            <w:shd w:val="clear" w:color="auto" w:fill="CCEECC"/>
          </w:tcPr>
          <w:p>
            <w:pPr>
              <w:ind w:left="100"/>
              <w:spacing w:after="0" w:line="195" w:lineRule="exact"/>
              <w:rPr>
                <w:sz w:val="20"/>
                <w:szCs w:val="20"/>
                <w:color w:val="auto"/>
              </w:rPr>
            </w:pPr>
            <w:r>
              <w:rPr>
                <w:rFonts w:ascii="Arial" w:cs="Arial" w:eastAsia="Arial" w:hAnsi="Arial"/>
                <w:sz w:val="18"/>
                <w:szCs w:val="18"/>
                <w:color w:val="auto"/>
              </w:rPr>
              <w:t>Equity compensation plans</w:t>
            </w:r>
          </w:p>
        </w:tc>
        <w:tc>
          <w:tcPr>
            <w:tcW w:w="2240" w:type="dxa"/>
            <w:vAlign w:val="bottom"/>
            <w:tcBorders>
              <w:right w:val="single" w:sz="8" w:color="auto"/>
            </w:tcBorders>
            <w:shd w:val="clear" w:color="auto" w:fill="CCEECC"/>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2800" w:type="dxa"/>
            <w:vAlign w:val="bottom"/>
            <w:tcBorders>
              <w:right w:val="single" w:sz="8" w:color="auto"/>
            </w:tcBorders>
            <w:shd w:val="clear" w:color="auto" w:fill="CCEECC"/>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2220" w:type="dxa"/>
            <w:vAlign w:val="bottom"/>
            <w:tcBorders>
              <w:right w:val="single" w:sz="8" w:color="auto"/>
            </w:tcBorders>
            <w:shd w:val="clear" w:color="auto" w:fill="CCEECC"/>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30"/>
        </w:trPr>
        <w:tc>
          <w:tcPr>
            <w:tcW w:w="2440" w:type="dxa"/>
            <w:vAlign w:val="bottom"/>
            <w:tcBorders>
              <w:left w:val="single" w:sz="8" w:color="auto"/>
              <w:bottom w:val="single" w:sz="8" w:color="auto"/>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w w:val="99"/>
              </w:rPr>
              <w:t>approved by security holders</w:t>
            </w:r>
          </w:p>
        </w:tc>
        <w:tc>
          <w:tcPr>
            <w:tcW w:w="2240" w:type="dxa"/>
            <w:vAlign w:val="bottom"/>
            <w:tcBorders>
              <w:bottom w:val="single" w:sz="8" w:color="auto"/>
              <w:right w:val="single" w:sz="8" w:color="auto"/>
            </w:tcBorders>
            <w:shd w:val="clear" w:color="auto" w:fill="CCEECC"/>
          </w:tcPr>
          <w:p>
            <w:pPr>
              <w:spacing w:after="0"/>
              <w:rPr>
                <w:sz w:val="20"/>
                <w:szCs w:val="20"/>
                <w:color w:val="auto"/>
              </w:rPr>
            </w:pPr>
          </w:p>
        </w:tc>
        <w:tc>
          <w:tcPr>
            <w:tcW w:w="2800" w:type="dxa"/>
            <w:vAlign w:val="bottom"/>
            <w:tcBorders>
              <w:bottom w:val="single" w:sz="8" w:color="auto"/>
              <w:right w:val="single" w:sz="8" w:color="auto"/>
            </w:tcBorders>
            <w:shd w:val="clear" w:color="auto" w:fill="CCEECC"/>
          </w:tcPr>
          <w:p>
            <w:pPr>
              <w:spacing w:after="0"/>
              <w:rPr>
                <w:sz w:val="20"/>
                <w:szCs w:val="20"/>
                <w:color w:val="auto"/>
              </w:rPr>
            </w:pPr>
          </w:p>
        </w:tc>
        <w:tc>
          <w:tcPr>
            <w:tcW w:w="2220" w:type="dxa"/>
            <w:vAlign w:val="bottom"/>
            <w:tcBorders>
              <w:bottom w:val="single" w:sz="8" w:color="auto"/>
              <w:right w:val="single" w:sz="8" w:color="auto"/>
            </w:tcBorders>
            <w:shd w:val="clear" w:color="auto" w:fill="CCEECC"/>
          </w:tcPr>
          <w:p>
            <w:pPr>
              <w:spacing w:after="0"/>
              <w:rPr>
                <w:sz w:val="20"/>
                <w:szCs w:val="20"/>
                <w:color w:val="auto"/>
              </w:rPr>
            </w:pPr>
          </w:p>
        </w:tc>
      </w:tr>
      <w:tr>
        <w:trPr>
          <w:trHeight w:val="195"/>
        </w:trPr>
        <w:tc>
          <w:tcPr>
            <w:tcW w:w="24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Equity compensation plans</w:t>
            </w:r>
          </w:p>
        </w:tc>
        <w:tc>
          <w:tcPr>
            <w:tcW w:w="224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13,336,100</w:t>
            </w:r>
          </w:p>
        </w:tc>
        <w:tc>
          <w:tcPr>
            <w:tcW w:w="28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2.12</w:t>
            </w:r>
          </w:p>
        </w:tc>
        <w:tc>
          <w:tcPr>
            <w:tcW w:w="222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16"/>
        </w:trPr>
        <w:tc>
          <w:tcPr>
            <w:tcW w:w="2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not approved by security</w:t>
            </w: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r>
      <w:tr>
        <w:trPr>
          <w:trHeight w:val="230"/>
        </w:trPr>
        <w:tc>
          <w:tcPr>
            <w:tcW w:w="2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holders</w:t>
            </w:r>
          </w:p>
        </w:tc>
        <w:tc>
          <w:tcPr>
            <w:tcW w:w="22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r>
      <w:tr>
        <w:trPr>
          <w:trHeight w:val="210"/>
        </w:trPr>
        <w:tc>
          <w:tcPr>
            <w:tcW w:w="2440" w:type="dxa"/>
            <w:vAlign w:val="bottom"/>
            <w:tcBorders>
              <w:left w:val="single" w:sz="8" w:color="auto"/>
              <w:bottom w:val="single" w:sz="8" w:color="auto"/>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right w:val="single" w:sz="8" w:color="auto"/>
            </w:tcBorders>
            <w:shd w:val="clear" w:color="auto" w:fill="CCEECC"/>
          </w:tcPr>
          <w:p>
            <w:pPr>
              <w:jc w:val="right"/>
              <w:ind w:right="50"/>
              <w:spacing w:after="0"/>
              <w:rPr>
                <w:sz w:val="20"/>
                <w:szCs w:val="20"/>
                <w:color w:val="auto"/>
              </w:rPr>
            </w:pPr>
            <w:r>
              <w:rPr>
                <w:rFonts w:ascii="Arial" w:cs="Arial" w:eastAsia="Arial" w:hAnsi="Arial"/>
                <w:sz w:val="18"/>
                <w:szCs w:val="18"/>
                <w:color w:val="auto"/>
              </w:rPr>
              <w:t>13,336,100</w:t>
            </w:r>
          </w:p>
        </w:tc>
        <w:tc>
          <w:tcPr>
            <w:tcW w:w="2800" w:type="dxa"/>
            <w:vAlign w:val="bottom"/>
            <w:tcBorders>
              <w:bottom w:val="single" w:sz="8" w:color="auto"/>
              <w:right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rPr>
              <w:t>2.12</w:t>
            </w:r>
          </w:p>
        </w:tc>
        <w:tc>
          <w:tcPr>
            <w:tcW w:w="2220" w:type="dxa"/>
            <w:vAlign w:val="bottom"/>
            <w:tcBorders>
              <w:bottom w:val="single" w:sz="8" w:color="auto"/>
              <w:right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below describes our issuance of securities without registration under the Securities Act of 1933, as amended,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that were not previously disclosed in a Quarterly Report on Form 10-Q or in a Current Report on Form 8-K:</w:t>
      </w:r>
    </w:p>
    <w:p>
      <w:pPr>
        <w:spacing w:after="0" w:line="21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During the year ended December 31, 2011, 15 preferred shares were issued to Vicis Capital Master Fund for $1,500,000. The 15 shares are convertible to 1,500,000 shares of common stock and bear a 10% cumulative dividend. In addition, there was a warrant issued to purchase 1,000,000 shares of common stock at an exercise price of $3 for a period of seven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2011, we issued 475,820 shares of common stock to satisfy $500,000 of preferred dividends to Vicis.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issued options to purchase 505,000 shares of our common stock to employees at exercise prices of $0.73 and $1.00 per share in 2011.</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2011 and 2010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year ended December 31, 2011 was $1,111,520, an increase from $71,065 from the prior year.</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increased revenue for the year ended December 31, 2011 as compared with the prior year is a result of the continued viability of our SampleMD solution and the setup and integration fees for pharmaceutical manufacturers whom are participating within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Operating expenses increased to $2,565,497 for the year ended December 31, 2011 from $1,917,297 for the year ended December 31, 2010. Our major expenses for the year ended December 31, 2011 were advertising expenses of $544,071, consulting expenses of $185,174, consulting fees for officers of $187,005, depreciation and amortization of $145,513, employee benefits of $111,694, legal and accounting expenses of $281,262, and payroll expenses of $752,961. Our expenses increased in 2011 as compared with 2010 largely as a result of advertising costs, payroll expenses, depreciation and amortization, officer consulting fees, employee benefits and legal and accounting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Income/Expenses</w:t>
      </w:r>
    </w:p>
    <w:p>
      <w:pPr>
        <w:spacing w:after="0" w:line="22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Other expenses were $666,785 for year ended December 31, 2011 an increase from other expenses of $162,793 for same period ended 2010. We had $958,641 in interest expenses in 2011 over only $106,551 in 2010, which mostly accounted for the increase in other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year ended December 31, 2011 was $2,120,762, compared to net loss of $ $2,009,025 for the year ended December 31, 2010.</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Notwithstanding the net loss for the year, we believe that our company is starting to show real signs of improvement. In our fourth quarter 2011, we had revenues of $325,910, as compared to revenues of $12,386 for our fourth quarter 2010. If we were to discount all non-cash expenses for the fourth quarter 2011, our statement of operations would show a modest net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2011, we had total current assets of $1,550,068 and total assets in the amount of $2,892,487. Our total current liabilities as of December 31, 2011 were $1,303,317. We had working capital of $246,751 as of December 31,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activities used $521,509 in cash for the year ended December 31, 2011. Our net loss of $2,120,762 was the primary component of our negative operating cash flow. Investing activities used $239,919 during the year ended December 31, 2011 largely as a result of website development costs. Financing activities provided $442,500 for the year ended December 31, 2011 largely as a result of the sale of our Series B Preferred Stock less payments on a note payable.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September 16, 2011, we entered into a Securities Purchase Agreement with Vicis for sale of up to 50 shares of our Series B Preferred Stock and warrants to purchase up to 3,333,334 shares of our common stock with an exercise price of $3.00 per share (the “Vicis Warrants”).</w:t>
      </w:r>
    </w:p>
    <w:p>
      <w:pPr>
        <w:spacing w:after="0" w:line="17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already sold 15 shares of Series B Preferred Stock and a warrant to purchase 1,000,000 shares of our common stock at the above exercise price for $1,500,000. This money was used to pay off a promissory note we had with Physicians Interactive and the balance is for working capital.</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Thereafter, a subsequent closing may occur at our option commencing on December 1, 2011 for the sale of an additional 15 shares of Series B Preferred Stock and a warrant to purchase an additional 1,000,000 shares of our common stock for $1,500,000. A final subsequent closing may occur at our option commencing on May 1, 2012 for the sale of an additional 20 shares of Series B Preferred Stock and a warrant to purchase an additional 1,333,334 shares of our common stock for $2,000,000.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Each share of Series B Preferred Stock is convertible at the option of the holder into that number of shares of our common stock equal to the Stated Value</w:t>
      </w:r>
    </w:p>
    <w:p>
      <w:pPr>
        <w:spacing w:after="0" w:line="46"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($100,000) divided by a per share price of the common stock of $1.50 per share (the “Conversion Price”). A holder may effect a conversion at any time after the earlier of (a) the time that the Securities and Exchange Commission declares effective a registration statement registering the shares of common stock to be sold by the holder that underlie the shares of Series B Preferred Stock held by such holder (the “Conversion Shares’) and (b) the time such Conversion Shares are eligible for resale by the holder pursuant to Rule 144 of the Securities Act of 1933, as amended, (the “Conversion Eligibility Date”).</w:t>
      </w:r>
    </w:p>
    <w:p>
      <w:pPr>
        <w:spacing w:after="0" w:line="1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“Forced Conversion”). We may only effect a Forced Conversion Notice if all of the conditions specified in the purchase agreement are met through the applicable Threshold Period until the date of the applicable Forced Conversion and through and including the date such shares of common stock are issued to the holder.</w:t>
      </w:r>
    </w:p>
    <w:p>
      <w:pPr>
        <w:spacing w:after="0" w:line="17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Vicis Warrants are exercisable for a period of seven years at an exercise price of $3.00 per share. The Vicis Warrants are also exercisable on a cashless basis. In addition, the Vicis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2011 with the current level of financing and cash on hand, we have sufficient cash to operate our business at the current level for the next twelve months but insufficient cash to achieve our business goals unless we: a) realize cash revenues on sales generated; b) continue with the sale of our Series B Preferred Stock to Vicis; and/or c) obtain additional financing through debt and/or equity based financing arrangements which may be insufficient to fund our capital expenditures, working capital, or other cash requirements. There can be no assurance that such additional financing will be available to us on acceptable terms,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accompanying financial statements have been prepared assuming that we will continue as a going concern. We have sustained substantial losses since inception.</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view of this matter, our ability to continue as a going concern is dependent upon growth of revenues and our ability to raise additional capital. Management believes that our successful ability to raise capital and increases in revenues will provide us the opportunity to continue as a going concern.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ind w:left="100"/>
        <w:spacing w:after="0"/>
        <w:tabs>
          <w:tab w:leader="none" w:pos="40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16">
        <w:r>
          <w:rPr>
            <w:rFonts w:ascii="Arial" w:cs="Arial" w:eastAsia="Arial" w:hAnsi="Arial"/>
            <w:sz w:val="16"/>
            <w:szCs w:val="16"/>
            <w:u w:val="single" w:color="auto"/>
            <w:color w:val="0000EE"/>
          </w:rPr>
          <w:t>Report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06857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0"/>
        <w:spacing w:after="0"/>
        <w:tabs>
          <w:tab w:leader="none" w:pos="40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17">
        <w:r>
          <w:rPr>
            <w:rFonts w:ascii="Arial" w:cs="Arial" w:eastAsia="Arial" w:hAnsi="Arial"/>
            <w:sz w:val="16"/>
            <w:szCs w:val="16"/>
            <w:u w:val="single" w:color="auto"/>
            <w:color w:val="0000EE"/>
          </w:rPr>
          <w:t>Consolidated Balance Sheets as of December 31, 2011 and 2010;</w:t>
        </w:r>
      </w:hyperlink>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100"/>
        <w:spacing w:after="0"/>
        <w:tabs>
          <w:tab w:leader="none" w:pos="40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18">
        <w:r>
          <w:rPr>
            <w:rFonts w:ascii="Arial" w:cs="Arial" w:eastAsia="Arial" w:hAnsi="Arial"/>
            <w:sz w:val="16"/>
            <w:szCs w:val="16"/>
            <w:u w:val="single" w:color="auto"/>
            <w:color w:val="0000EE"/>
          </w:rPr>
          <w:t>Consolidated Statements of Operations for the years ended December 31, 2011 and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ind w:left="100"/>
        <w:spacing w:after="0"/>
        <w:tabs>
          <w:tab w:leader="none" w:pos="40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19">
        <w:r>
          <w:rPr>
            <w:rFonts w:ascii="Arial" w:cs="Arial" w:eastAsia="Arial" w:hAnsi="Arial"/>
            <w:sz w:val="16"/>
            <w:szCs w:val="16"/>
            <w:u w:val="single" w:color="auto"/>
            <w:color w:val="0000EE"/>
          </w:rPr>
          <w:t>Consolidated Statement of Stockholders’ Equity as of December 31, 2011;</w:t>
        </w:r>
      </w:hyperlink>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100"/>
        <w:spacing w:after="0"/>
        <w:tabs>
          <w:tab w:leader="none" w:pos="40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20">
        <w:r>
          <w:rPr>
            <w:rFonts w:ascii="Arial" w:cs="Arial" w:eastAsia="Arial" w:hAnsi="Arial"/>
            <w:sz w:val="16"/>
            <w:szCs w:val="16"/>
            <w:u w:val="single" w:color="auto"/>
            <w:color w:val="0000EE"/>
          </w:rPr>
          <w:t>Consolidated Statements of Cash Flows for the years ended December 31, 2011 and 2010;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ind w:left="100"/>
        <w:spacing w:after="0"/>
        <w:tabs>
          <w:tab w:leader="none" w:pos="40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21">
        <w:r>
          <w:rPr>
            <w:rFonts w:ascii="Arial" w:cs="Arial" w:eastAsia="Arial" w:hAnsi="Arial"/>
            <w:sz w:val="16"/>
            <w:szCs w:val="16"/>
            <w:u w:val="single" w:color="auto"/>
            <w:color w:val="0000EE"/>
          </w:rPr>
          <w:t>Consolidated Notes to Financial Statements.</w:t>
        </w:r>
      </w:hyperlink>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www.sucpas.com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OptimizeRx Corporation as of December 31, 2011 and 2010, and the related consolidated statements of operations, stockholders’ equity, and cash flows for the years then ended. These financial statements are the responsibility of the Company’s management. Our responsibility is to express an opinion on these financial statements based on our audits.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2011 and 2010 and the results of their operations and cash flows for the years then ended, in conformity with accounting principles generally accepted in the United States.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OptimizeRx Corporation will continue as a going concern. As discussed in Note 19 to the financial statements, the Company has limited working capital, has received limited revenue from sales of products or services, and has incurred losses from operations. These factors raise substantial doubt about the Company’s ability to continue as a going concern. Management’s plans with regard to these matters are described in Note 19. The accompanying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OF DECEMBER 31, 2011 AND DECEMBER 31, 2010</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Pr>
          <w:p>
            <w:pPr>
              <w:ind w:left="18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0"/>
                <w:szCs w:val="20"/>
                <w:color w:val="auto"/>
              </w:rPr>
            </w:pPr>
          </w:p>
        </w:tc>
        <w:tc>
          <w:tcPr>
            <w:tcW w:w="15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99"/>
              </w:rPr>
              <w:t>December 31,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2010</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959,166</w:t>
            </w:r>
          </w:p>
        </w:tc>
        <w:tc>
          <w:tcPr>
            <w:tcW w:w="30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1,278,094</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471,870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119,032</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80,051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Debt discount - current portion</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bottom w:val="single" w:sz="8" w:color="auto"/>
            </w:tcBorders>
            <w:shd w:val="clear" w:color="auto" w:fill="CCEECC"/>
          </w:tcPr>
          <w:p>
            <w:pPr>
              <w:spacing w:after="0"/>
              <w:rPr>
                <w:sz w:val="18"/>
                <w:szCs w:val="18"/>
                <w:color w:val="auto"/>
              </w:rPr>
            </w:pPr>
          </w:p>
        </w:tc>
        <w:tc>
          <w:tcPr>
            <w:tcW w:w="14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1,550,068</w:t>
            </w:r>
          </w:p>
        </w:tc>
        <w:tc>
          <w:tcPr>
            <w:tcW w:w="60" w:type="dxa"/>
            <w:vAlign w:val="bottom"/>
            <w:tcBorders>
              <w:bottom w:val="single" w:sz="8" w:color="CCEECC"/>
            </w:tcBorders>
            <w:shd w:val="clear" w:color="auto" w:fill="CCEECC"/>
          </w:tcPr>
          <w:p>
            <w:pPr>
              <w:spacing w:after="0"/>
              <w:rPr>
                <w:sz w:val="18"/>
                <w:szCs w:val="18"/>
                <w:color w:val="auto"/>
              </w:rPr>
            </w:pPr>
          </w:p>
        </w:tc>
        <w:tc>
          <w:tcPr>
            <w:tcW w:w="60" w:type="dxa"/>
            <w:vAlign w:val="bottom"/>
            <w:tcBorders>
              <w:bottom w:val="single" w:sz="8" w:color="CCEECC"/>
            </w:tcBorders>
            <w:shd w:val="clear" w:color="auto" w:fill="CCEECC"/>
          </w:tcPr>
          <w:p>
            <w:pPr>
              <w:spacing w:after="0"/>
              <w:rPr>
                <w:sz w:val="18"/>
                <w:szCs w:val="18"/>
                <w:color w:val="auto"/>
              </w:rPr>
            </w:pPr>
          </w:p>
        </w:tc>
        <w:tc>
          <w:tcPr>
            <w:tcW w:w="240" w:type="dxa"/>
            <w:vAlign w:val="bottom"/>
            <w:tcBorders>
              <w:top w:val="single" w:sz="8" w:color="auto"/>
              <w:bottom w:val="single" w:sz="8" w:color="auto"/>
            </w:tcBorders>
            <w:shd w:val="clear" w:color="auto" w:fill="CCEECC"/>
          </w:tcPr>
          <w:p>
            <w:pPr>
              <w:spacing w:after="0"/>
              <w:rPr>
                <w:sz w:val="18"/>
                <w:szCs w:val="18"/>
                <w:color w:val="auto"/>
              </w:rPr>
            </w:pPr>
          </w:p>
        </w:tc>
        <w:tc>
          <w:tcPr>
            <w:tcW w:w="14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2,084,145</w:t>
            </w:r>
          </w:p>
        </w:tc>
        <w:tc>
          <w:tcPr>
            <w:tcW w:w="6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23,931</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Patent rights, net</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847,941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902,647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Website development costs, net</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465,498</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332,107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Security deposit</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Debt discount - net of current portion</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416,667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CC"/>
            </w:tcBorders>
          </w:tcPr>
          <w:p>
            <w:pPr>
              <w:spacing w:after="0"/>
              <w:rPr>
                <w:sz w:val="20"/>
                <w:szCs w:val="20"/>
                <w:color w:val="auto"/>
              </w:rPr>
            </w:pPr>
            <w:r>
              <w:rPr>
                <w:rFonts w:ascii="Arial" w:cs="Arial" w:eastAsia="Arial" w:hAnsi="Arial"/>
                <w:sz w:val="18"/>
                <w:szCs w:val="18"/>
                <w:color w:val="auto"/>
              </w:rPr>
              <w:t>Total Other Assets</w:t>
            </w: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1,318,488</w:t>
            </w:r>
          </w:p>
        </w:tc>
        <w:tc>
          <w:tcPr>
            <w:tcW w:w="60" w:type="dxa"/>
            <w:vAlign w:val="bottom"/>
            <w:tcBorders>
              <w:top w:val="single" w:sz="8" w:color="CCEECC"/>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1,651,421</w:t>
            </w:r>
          </w:p>
        </w:tc>
        <w:tc>
          <w:tcPr>
            <w:tcW w:w="6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2,892,487</w:t>
            </w:r>
          </w:p>
        </w:tc>
        <w:tc>
          <w:tcPr>
            <w:tcW w:w="6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3,748,627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Accounts payable - trade</w:t>
            </w:r>
          </w:p>
        </w:tc>
        <w:tc>
          <w:tcPr>
            <w:tcW w:w="24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336,712</w:t>
            </w:r>
          </w:p>
        </w:tc>
        <w:tc>
          <w:tcPr>
            <w:tcW w:w="30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Accounts payable - related party</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570,000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66,000</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CEECC"/>
          </w:tcPr>
          <w:p>
            <w:pPr>
              <w:spacing w:after="0"/>
              <w:rPr>
                <w:sz w:val="18"/>
                <w:szCs w:val="18"/>
                <w:color w:val="auto"/>
              </w:rPr>
            </w:pPr>
          </w:p>
        </w:tc>
        <w:tc>
          <w:tcPr>
            <w:tcW w:w="14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330,605</w:t>
            </w:r>
          </w:p>
        </w:tc>
        <w:tc>
          <w:tcPr>
            <w:tcW w:w="60" w:type="dxa"/>
            <w:vAlign w:val="bottom"/>
            <w:tcBorders>
              <w:bottom w:val="single" w:sz="8" w:color="CCEECC"/>
            </w:tcBorders>
            <w:shd w:val="clear" w:color="auto" w:fill="CCEECC"/>
          </w:tcPr>
          <w:p>
            <w:pPr>
              <w:spacing w:after="0"/>
              <w:rPr>
                <w:sz w:val="18"/>
                <w:szCs w:val="18"/>
                <w:color w:val="auto"/>
              </w:rPr>
            </w:pPr>
          </w:p>
        </w:tc>
        <w:tc>
          <w:tcPr>
            <w:tcW w:w="60" w:type="dxa"/>
            <w:vAlign w:val="bottom"/>
            <w:tcBorders>
              <w:bottom w:val="single" w:sz="8" w:color="CCEECC"/>
            </w:tcBorders>
            <w:shd w:val="clear" w:color="auto" w:fill="CCEECC"/>
          </w:tcPr>
          <w:p>
            <w:pPr>
              <w:spacing w:after="0"/>
              <w:rPr>
                <w:sz w:val="18"/>
                <w:szCs w:val="18"/>
                <w:color w:val="auto"/>
              </w:rPr>
            </w:pPr>
          </w:p>
        </w:tc>
        <w:tc>
          <w:tcPr>
            <w:tcW w:w="240" w:type="dxa"/>
            <w:vAlign w:val="bottom"/>
            <w:tcBorders>
              <w:bottom w:val="single" w:sz="8" w:color="auto"/>
            </w:tcBorders>
            <w:shd w:val="clear" w:color="auto" w:fill="CCEECC"/>
          </w:tcPr>
          <w:p>
            <w:pPr>
              <w:spacing w:after="0"/>
              <w:rPr>
                <w:sz w:val="18"/>
                <w:szCs w:val="18"/>
                <w:color w:val="auto"/>
              </w:rPr>
            </w:pPr>
          </w:p>
        </w:tc>
        <w:tc>
          <w:tcPr>
            <w:tcW w:w="14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225,720</w:t>
            </w:r>
          </w:p>
        </w:tc>
        <w:tc>
          <w:tcPr>
            <w:tcW w:w="6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1,303,317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854,829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460" w:type="dxa"/>
            <w:vAlign w:val="bottom"/>
            <w:tcBorders>
              <w:top w:val="single" w:sz="8" w:color="auto"/>
            </w:tcBorders>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460" w:type="dxa"/>
            <w:vAlign w:val="bottom"/>
            <w:tcBorders>
              <w:top w:val="single" w:sz="8" w:color="auto"/>
            </w:tcBorders>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Notes payable - investor</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CC"/>
          </w:tcPr>
          <w:p>
            <w:pPr>
              <w:spacing w:after="0"/>
              <w:rPr>
                <w:sz w:val="18"/>
                <w:szCs w:val="18"/>
                <w:color w:val="auto"/>
              </w:rPr>
            </w:pPr>
          </w:p>
        </w:tc>
        <w:tc>
          <w:tcPr>
            <w:tcW w:w="14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1,303,317</w:t>
            </w:r>
          </w:p>
        </w:tc>
        <w:tc>
          <w:tcPr>
            <w:tcW w:w="60" w:type="dxa"/>
            <w:vAlign w:val="bottom"/>
            <w:tcBorders>
              <w:bottom w:val="single" w:sz="8" w:color="CCEECC"/>
            </w:tcBorders>
            <w:shd w:val="clear" w:color="auto" w:fill="CCEECC"/>
          </w:tcPr>
          <w:p>
            <w:pPr>
              <w:spacing w:after="0"/>
              <w:rPr>
                <w:sz w:val="18"/>
                <w:szCs w:val="18"/>
                <w:color w:val="auto"/>
              </w:rPr>
            </w:pPr>
          </w:p>
        </w:tc>
        <w:tc>
          <w:tcPr>
            <w:tcW w:w="60" w:type="dxa"/>
            <w:vAlign w:val="bottom"/>
            <w:tcBorders>
              <w:bottom w:val="single" w:sz="8" w:color="CCEECC"/>
            </w:tcBorders>
            <w:shd w:val="clear" w:color="auto" w:fill="CCEECC"/>
          </w:tcPr>
          <w:p>
            <w:pPr>
              <w:spacing w:after="0"/>
              <w:rPr>
                <w:sz w:val="18"/>
                <w:szCs w:val="18"/>
                <w:color w:val="auto"/>
              </w:rPr>
            </w:pPr>
          </w:p>
        </w:tc>
        <w:tc>
          <w:tcPr>
            <w:tcW w:w="240" w:type="dxa"/>
            <w:vAlign w:val="bottom"/>
            <w:tcBorders>
              <w:bottom w:val="single" w:sz="8" w:color="auto"/>
            </w:tcBorders>
            <w:shd w:val="clear" w:color="auto" w:fill="CCEECC"/>
          </w:tcPr>
          <w:p>
            <w:pPr>
              <w:spacing w:after="0"/>
              <w:rPr>
                <w:sz w:val="18"/>
                <w:szCs w:val="18"/>
                <w:color w:val="auto"/>
              </w:rPr>
            </w:pPr>
          </w:p>
        </w:tc>
        <w:tc>
          <w:tcPr>
            <w:tcW w:w="14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1,854,829</w:t>
            </w:r>
          </w:p>
        </w:tc>
        <w:tc>
          <w:tcPr>
            <w:tcW w:w="6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ind w:left="300"/>
              <w:spacing w:after="0" w:line="201" w:lineRule="exact"/>
              <w:rPr>
                <w:sz w:val="20"/>
                <w:szCs w:val="20"/>
                <w:color w:val="auto"/>
              </w:rPr>
            </w:pPr>
            <w:r>
              <w:rPr>
                <w:rFonts w:ascii="Arial" w:cs="Arial" w:eastAsia="Arial" w:hAnsi="Arial"/>
                <w:sz w:val="18"/>
                <w:szCs w:val="18"/>
                <w:color w:val="auto"/>
                <w:w w:val="95"/>
              </w:rPr>
              <w:t>Common stock, $.001 par value, 500,000,000 shares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3"/>
              </w:rPr>
              <w:t>authorized, 14,192,496 shares issued and outstanding</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320"/>
              <w:spacing w:after="0"/>
              <w:rPr>
                <w:sz w:val="20"/>
                <w:szCs w:val="20"/>
                <w:color w:val="auto"/>
              </w:rPr>
            </w:pPr>
            <w:r>
              <w:rPr>
                <w:rFonts w:ascii="Arial" w:cs="Arial" w:eastAsia="Arial" w:hAnsi="Arial"/>
                <w:sz w:val="18"/>
                <w:szCs w:val="18"/>
                <w:color w:val="auto"/>
              </w:rPr>
              <w:t>(13,606,676 - 2010)</w:t>
            </w:r>
          </w:p>
        </w:tc>
        <w:tc>
          <w:tcPr>
            <w:tcW w:w="24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14,192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CC"/>
          </w:tcPr>
          <w:p>
            <w:pPr>
              <w:ind w:left="300"/>
              <w:spacing w:after="0" w:line="201" w:lineRule="exact"/>
              <w:rPr>
                <w:sz w:val="20"/>
                <w:szCs w:val="20"/>
                <w:color w:val="auto"/>
              </w:rPr>
            </w:pPr>
            <w:r>
              <w:rPr>
                <w:rFonts w:ascii="Arial" w:cs="Arial" w:eastAsia="Arial" w:hAnsi="Arial"/>
                <w:sz w:val="18"/>
                <w:szCs w:val="18"/>
                <w:color w:val="auto"/>
                <w:w w:val="97"/>
              </w:rPr>
              <w:t>Preferred stock, $.001 par value, 10,000,000 shares</w:t>
            </w:r>
          </w:p>
        </w:tc>
        <w:tc>
          <w:tcPr>
            <w:tcW w:w="24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authorized, 65 shares issued and outstanding (50 -</w:t>
            </w: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CC"/>
          </w:tcPr>
          <w:p>
            <w:pPr>
              <w:spacing w:after="0"/>
              <w:rPr>
                <w:sz w:val="20"/>
                <w:szCs w:val="20"/>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240" w:type="dxa"/>
            <w:vAlign w:val="bottom"/>
            <w:shd w:val="clear" w:color="auto" w:fill="CCEECC"/>
          </w:tcPr>
          <w:p>
            <w:pPr>
              <w:spacing w:after="0"/>
              <w:rPr>
                <w:sz w:val="20"/>
                <w:szCs w:val="20"/>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Stock warrants</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20,826,934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20,281,328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5,125,558</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3,355,615</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(24,377,514)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(21,756,752)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EECC"/>
          </w:tcPr>
          <w:p>
            <w:pPr>
              <w:spacing w:after="0"/>
              <w:rPr>
                <w:sz w:val="18"/>
                <w:szCs w:val="18"/>
                <w:color w:val="auto"/>
              </w:rPr>
            </w:pPr>
          </w:p>
        </w:tc>
        <w:tc>
          <w:tcPr>
            <w:tcW w:w="14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1,589,170</w:t>
            </w:r>
          </w:p>
        </w:tc>
        <w:tc>
          <w:tcPr>
            <w:tcW w:w="60" w:type="dxa"/>
            <w:vAlign w:val="bottom"/>
            <w:tcBorders>
              <w:bottom w:val="single" w:sz="8" w:color="CCEECC"/>
            </w:tcBorders>
            <w:shd w:val="clear" w:color="auto" w:fill="CCEECC"/>
          </w:tcPr>
          <w:p>
            <w:pPr>
              <w:spacing w:after="0"/>
              <w:rPr>
                <w:sz w:val="18"/>
                <w:szCs w:val="18"/>
                <w:color w:val="auto"/>
              </w:rPr>
            </w:pPr>
          </w:p>
        </w:tc>
        <w:tc>
          <w:tcPr>
            <w:tcW w:w="60" w:type="dxa"/>
            <w:vAlign w:val="bottom"/>
            <w:tcBorders>
              <w:bottom w:val="single" w:sz="8" w:color="CCEECC"/>
            </w:tcBorders>
            <w:shd w:val="clear" w:color="auto" w:fill="CCEECC"/>
          </w:tcPr>
          <w:p>
            <w:pPr>
              <w:spacing w:after="0"/>
              <w:rPr>
                <w:sz w:val="18"/>
                <w:szCs w:val="18"/>
                <w:color w:val="auto"/>
              </w:rPr>
            </w:pPr>
          </w:p>
        </w:tc>
        <w:tc>
          <w:tcPr>
            <w:tcW w:w="240" w:type="dxa"/>
            <w:vAlign w:val="bottom"/>
            <w:tcBorders>
              <w:top w:val="single" w:sz="8" w:color="auto"/>
              <w:bottom w:val="single" w:sz="8" w:color="auto"/>
            </w:tcBorders>
            <w:shd w:val="clear" w:color="auto" w:fill="CCEECC"/>
          </w:tcPr>
          <w:p>
            <w:pPr>
              <w:spacing w:after="0"/>
              <w:rPr>
                <w:sz w:val="18"/>
                <w:szCs w:val="18"/>
                <w:color w:val="auto"/>
              </w:rPr>
            </w:pPr>
          </w:p>
        </w:tc>
        <w:tc>
          <w:tcPr>
            <w:tcW w:w="14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1,893,798</w:t>
            </w:r>
          </w:p>
        </w:tc>
        <w:tc>
          <w:tcPr>
            <w:tcW w:w="6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2,892,487</w:t>
            </w:r>
          </w:p>
        </w:tc>
        <w:tc>
          <w:tcPr>
            <w:tcW w:w="60" w:type="dxa"/>
            <w:vAlign w:val="bottom"/>
            <w:tcBorders>
              <w:bottom w:val="single" w:sz="8" w:color="CCEECC"/>
            </w:tcBorders>
            <w:shd w:val="clear" w:color="auto" w:fill="CCEECC"/>
          </w:tcPr>
          <w:p>
            <w:pPr>
              <w:spacing w:after="0"/>
              <w:rPr>
                <w:sz w:val="22"/>
                <w:szCs w:val="22"/>
                <w:color w:val="auto"/>
              </w:rPr>
            </w:pPr>
          </w:p>
        </w:tc>
        <w:tc>
          <w:tcPr>
            <w:tcW w:w="60" w:type="dxa"/>
            <w:vAlign w:val="bottom"/>
            <w:tcBorders>
              <w:bottom w:val="single" w:sz="8" w:color="CCEECC"/>
            </w:tcBorders>
            <w:shd w:val="clear" w:color="auto" w:fill="CCEECC"/>
          </w:tcPr>
          <w:p>
            <w:pPr>
              <w:spacing w:after="0"/>
              <w:rPr>
                <w:sz w:val="22"/>
                <w:szCs w:val="22"/>
                <w:color w:val="auto"/>
              </w:rPr>
            </w:pPr>
          </w:p>
        </w:tc>
        <w:tc>
          <w:tcPr>
            <w:tcW w:w="240" w:type="dxa"/>
            <w:vAlign w:val="bottom"/>
            <w:tcBorders>
              <w:bottom w:val="single" w:sz="8" w:color="auto"/>
            </w:tcBorders>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3,748,627</w:t>
            </w:r>
          </w:p>
        </w:tc>
        <w:tc>
          <w:tcPr>
            <w:tcW w:w="60" w:type="dxa"/>
            <w:vAlign w:val="bottom"/>
            <w:tcBorders>
              <w:bottom w:val="single" w:sz="8" w:color="CCEECC"/>
            </w:tcBorders>
            <w:shd w:val="clear" w:color="auto" w:fill="CCEECC"/>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 THE YEARS ENDED DECEMBER 31, 2011 AND 2010</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year ended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2011</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2010</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1,111,520</w:t>
            </w:r>
          </w:p>
        </w:tc>
        <w:tc>
          <w:tcPr>
            <w:tcW w:w="30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71,065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96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1,111,520</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71,065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2,565,497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96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2,565,497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96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(1,453,977)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(1,846,232)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460" w:type="dxa"/>
            <w:vAlign w:val="bottom"/>
            <w:tcBorders>
              <w:top w:val="single" w:sz="8" w:color="auto"/>
            </w:tcBorders>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460" w:type="dxa"/>
            <w:vAlign w:val="bottom"/>
            <w:tcBorders>
              <w:top w:val="single" w:sz="8" w:color="auto"/>
            </w:tcBorders>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1,290</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Other income - lawsuit settlement</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290,566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(958,641)</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(59,084)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460" w:type="dxa"/>
            <w:vAlign w:val="bottom"/>
            <w:tcBorders>
              <w:top w:val="single" w:sz="8" w:color="auto"/>
            </w:tcBorders>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460" w:type="dxa"/>
            <w:vAlign w:val="bottom"/>
            <w:tcBorders>
              <w:top w:val="single" w:sz="8" w:color="auto"/>
            </w:tcBorders>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960"/>
              <w:spacing w:after="0"/>
              <w:rPr>
                <w:sz w:val="20"/>
                <w:szCs w:val="20"/>
                <w:color w:val="auto"/>
              </w:rPr>
            </w:pPr>
            <w:r>
              <w:rPr>
                <w:rFonts w:ascii="Arial" w:cs="Arial" w:eastAsia="Arial" w:hAnsi="Arial"/>
                <w:sz w:val="18"/>
                <w:szCs w:val="18"/>
                <w:color w:val="auto"/>
              </w:rPr>
              <w:t>TOTAL OTHER INCOME (EXPENSE)</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(666,785)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(162,793)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460" w:type="dxa"/>
            <w:vAlign w:val="bottom"/>
            <w:tcBorders>
              <w:top w:val="single" w:sz="8" w:color="auto"/>
            </w:tcBorders>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460" w:type="dxa"/>
            <w:vAlign w:val="bottom"/>
            <w:tcBorders>
              <w:top w:val="single" w:sz="8" w:color="auto"/>
            </w:tcBorders>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(2,120,762)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(2,009,025)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460" w:type="dxa"/>
            <w:vAlign w:val="bottom"/>
            <w:tcBorders>
              <w:top w:val="single" w:sz="8" w:color="auto"/>
            </w:tcBorders>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460" w:type="dxa"/>
            <w:vAlign w:val="bottom"/>
            <w:tcBorders>
              <w:top w:val="single" w:sz="8" w:color="auto"/>
            </w:tcBorders>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80" w:type="dxa"/>
            <w:vAlign w:val="bottom"/>
            <w:shd w:val="clear" w:color="auto" w:fill="CCEECC"/>
          </w:tcPr>
          <w:p>
            <w:pPr>
              <w:ind w:left="96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(2,120,762)</w:t>
            </w:r>
          </w:p>
        </w:tc>
        <w:tc>
          <w:tcPr>
            <w:tcW w:w="30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(2,009,025)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rPr>
              <w:t>WEIGHTED AVERAGE NUMBER OF SHARES</w:t>
            </w: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OUTSTANDING: BASIC AND DILUTED</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13,921,669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13,231,341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160" w:type="dxa"/>
            <w:vAlign w:val="bottom"/>
            <w:gridSpan w:val="6"/>
            <w:vMerge w:val="restart"/>
          </w:tcPr>
          <w:p>
            <w:pPr>
              <w:ind w:left="380"/>
              <w:spacing w:after="0"/>
              <w:rPr>
                <w:sz w:val="20"/>
                <w:szCs w:val="20"/>
                <w:color w:val="auto"/>
              </w:rPr>
            </w:pPr>
            <w:r>
              <w:rPr>
                <w:rFonts w:ascii="Arial" w:cs="Arial" w:eastAsia="Arial" w:hAnsi="Arial"/>
                <w:sz w:val="18"/>
                <w:szCs w:val="18"/>
                <w:color w:val="auto"/>
              </w:rPr>
              <w:t>Common Stock</w:t>
            </w:r>
          </w:p>
        </w:tc>
        <w:tc>
          <w:tcPr>
            <w:tcW w:w="1480" w:type="dxa"/>
            <w:vAlign w:val="bottom"/>
            <w:gridSpan w:val="3"/>
            <w:vMerge w:val="restart"/>
          </w:tcPr>
          <w:p>
            <w:pPr>
              <w:ind w:left="280"/>
              <w:spacing w:after="0"/>
              <w:rPr>
                <w:sz w:val="20"/>
                <w:szCs w:val="20"/>
                <w:color w:val="auto"/>
              </w:rPr>
            </w:pPr>
            <w:r>
              <w:rPr>
                <w:rFonts w:ascii="Arial" w:cs="Arial" w:eastAsia="Arial" w:hAnsi="Arial"/>
                <w:sz w:val="18"/>
                <w:szCs w:val="18"/>
                <w:color w:val="auto"/>
                <w:w w:val="94"/>
              </w:rPr>
              <w:t>Preferred Stock</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Additional</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60" w:type="dxa"/>
            <w:vAlign w:val="bottom"/>
            <w:gridSpan w:val="6"/>
            <w:vMerge w:val="continue"/>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Paid-in</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Accumulated</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8"/>
                <w:szCs w:val="18"/>
                <w:color w:val="auto"/>
              </w:rPr>
            </w:pPr>
          </w:p>
        </w:tc>
        <w:tc>
          <w:tcPr>
            <w:tcW w:w="10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Shares</w:t>
            </w:r>
          </w:p>
        </w:tc>
        <w:tc>
          <w:tcPr>
            <w:tcW w:w="7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Warrants</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Capital</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Deficit</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Balance, January 1, 2010</w:t>
            </w:r>
          </w:p>
        </w:tc>
        <w:tc>
          <w:tcPr>
            <w:tcW w:w="10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12,826,117</w:t>
            </w: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12,826</w:t>
            </w:r>
          </w:p>
        </w:tc>
        <w:tc>
          <w:tcPr>
            <w:tcW w:w="10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95"/>
              </w:rPr>
              <w:t>18,139,252</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1,747,962</w:t>
            </w:r>
          </w:p>
        </w:tc>
        <w:tc>
          <w:tcPr>
            <w:tcW w:w="20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w w:val="90"/>
              </w:rPr>
              <w:t>$ (19,047,727)</w:t>
            </w:r>
          </w:p>
        </w:tc>
        <w:tc>
          <w:tcPr>
            <w:tcW w:w="180" w:type="dxa"/>
            <w:vAlign w:val="bottom"/>
            <w:shd w:val="clear" w:color="auto" w:fill="CCEECC"/>
          </w:tcPr>
          <w:p>
            <w:pPr>
              <w:jc w:val="right"/>
              <w:ind w:right="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852,313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Issuance of common stock:</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200,299</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for preferred dividends</w:t>
            </w:r>
          </w:p>
        </w:tc>
        <w:tc>
          <w:tcPr>
            <w:tcW w:w="10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410,520</w:t>
            </w: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411</w:t>
            </w: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699,589</w:t>
            </w:r>
          </w:p>
        </w:tc>
        <w:tc>
          <w:tcPr>
            <w:tcW w:w="12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(700,000)</w:t>
            </w: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 board of directors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130,614</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Issuance of preferred stock</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7"/>
              </w:rPr>
              <w:t>Preferred stock issuance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Issuance of stock options: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for patent rights</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360,000</w:t>
            </w: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 employees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6,203</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Issuance of stock warrants: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for services</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186,425</w:t>
            </w: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in connection with preferred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issuance</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1,158,900</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(1,158,900)</w:t>
            </w: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Issuance of stock warrants</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9"/>
              </w:rPr>
              <w:t>and contingent stock warrants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 connection with debt</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financing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1,007,992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1,007,992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Conversion of stock warrants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to common stock</w:t>
            </w:r>
          </w:p>
        </w:tc>
        <w:tc>
          <w:tcPr>
            <w:tcW w:w="10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68,039</w:t>
            </w: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68</w:t>
            </w: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(211,241)</w:t>
            </w: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219,923</w:t>
            </w: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w w:val="99"/>
              </w:rPr>
              <w:t>Outstanding share adjustment</w:t>
            </w:r>
          </w:p>
        </w:tc>
        <w:tc>
          <w:tcPr>
            <w:tcW w:w="10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75</w:t>
            </w: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(75)</w:t>
            </w: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Net loss for the year</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(2,009,025)</w:t>
            </w: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(2,009,025)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EE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Balance, December 31, 2010</w:t>
            </w:r>
          </w:p>
        </w:tc>
        <w:tc>
          <w:tcPr>
            <w:tcW w:w="10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13,606,676</w:t>
            </w: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13,607</w:t>
            </w:r>
          </w:p>
        </w:tc>
        <w:tc>
          <w:tcPr>
            <w:tcW w:w="10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CC"/>
          </w:tcPr>
          <w:p>
            <w:pPr>
              <w:spacing w:after="0"/>
              <w:rPr>
                <w:sz w:val="18"/>
                <w:szCs w:val="18"/>
                <w:color w:val="auto"/>
              </w:rPr>
            </w:pPr>
          </w:p>
        </w:tc>
        <w:tc>
          <w:tcPr>
            <w:tcW w:w="5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95"/>
              </w:rPr>
              <w:t>20,281,328</w:t>
            </w: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3,355,615</w:t>
            </w:r>
          </w:p>
        </w:tc>
        <w:tc>
          <w:tcPr>
            <w:tcW w:w="20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(21,756,752)</w:t>
            </w: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1,893,798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w w:val="99"/>
              </w:rPr>
              <w:t>Outstanding share adjustment</w:t>
            </w:r>
          </w:p>
        </w:tc>
        <w:tc>
          <w:tcPr>
            <w:tcW w:w="10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(10)</w:t>
            </w: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Issuance of common stock:</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for preferred dividends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475,820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499,525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for settlement</w:t>
            </w:r>
          </w:p>
        </w:tc>
        <w:tc>
          <w:tcPr>
            <w:tcW w:w="10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114,900</w:t>
            </w: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equity issuance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(172,500)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w w:val="94"/>
              </w:rPr>
              <w:t>Issuance of preferred stock and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stock warrants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644,540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855,460</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Issuance of stock options: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for consulting</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184,149</w:t>
            </w: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 employees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189,485</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7"/>
              </w:rPr>
              <w:t>Cancellation of stock warrants: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for settlement</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(98,934)</w:t>
            </w: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98,934</w:t>
            </w: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Net loss for the year</w:t>
            </w:r>
          </w:p>
        </w:tc>
        <w:tc>
          <w:tcPr>
            <w:tcW w:w="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(2,120,762)</w:t>
            </w:r>
          </w:p>
        </w:tc>
        <w:tc>
          <w:tcPr>
            <w:tcW w:w="18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(2,120,762)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EE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Balance, December 31, 2011</w:t>
            </w: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14,192,496</w:t>
            </w:r>
          </w:p>
        </w:tc>
        <w:tc>
          <w:tcPr>
            <w:tcW w:w="100" w:type="dxa"/>
            <w:vAlign w:val="bottom"/>
            <w:shd w:val="clear" w:color="auto" w:fill="CCEECC"/>
          </w:tcPr>
          <w:p>
            <w:pPr>
              <w:spacing w:after="0"/>
              <w:rPr>
                <w:sz w:val="20"/>
                <w:szCs w:val="20"/>
                <w:color w:val="auto"/>
              </w:rPr>
            </w:pP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14,192</w:t>
            </w:r>
          </w:p>
        </w:tc>
        <w:tc>
          <w:tcPr>
            <w:tcW w:w="10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95"/>
              </w:rPr>
              <w:t>20,826,934</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5,125,558</w:t>
            </w:r>
          </w:p>
        </w:tc>
        <w:tc>
          <w:tcPr>
            <w:tcW w:w="20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w w:val="90"/>
              </w:rPr>
              <w:t>$ (24,377,514)</w:t>
            </w:r>
          </w:p>
        </w:tc>
        <w:tc>
          <w:tcPr>
            <w:tcW w:w="180" w:type="dxa"/>
            <w:vAlign w:val="bottom"/>
            <w:shd w:val="clear" w:color="auto" w:fill="CCEECC"/>
          </w:tcPr>
          <w:p>
            <w:pPr>
              <w:jc w:val="right"/>
              <w:ind w:right="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1,589,170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CC"/>
            </w:tcBorders>
            <w:shd w:val="clear" w:color="auto" w:fill="CCEE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CC"/>
            </w:tcBorders>
            <w:shd w:val="clear" w:color="auto" w:fill="CCEE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600" w:type="dxa"/>
            <w:vAlign w:val="bottom"/>
            <w:gridSpan w:val="17"/>
          </w:tcPr>
          <w:p>
            <w:pPr>
              <w:jc w:val="right"/>
              <w:ind w:right="640"/>
              <w:spacing w:after="0"/>
              <w:rPr>
                <w:sz w:val="20"/>
                <w:szCs w:val="20"/>
                <w:color w:val="auto"/>
              </w:rPr>
            </w:pPr>
            <w:r>
              <w:rPr>
                <w:rFonts w:ascii="Arial" w:cs="Arial" w:eastAsia="Arial" w:hAnsi="Arial"/>
                <w:sz w:val="18"/>
                <w:szCs w:val="18"/>
                <w:color w:val="auto"/>
                <w:w w:val="99"/>
              </w:rPr>
              <w:t>The accompanying notes are an integral part of these financial statements.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F-4</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 THE YEARS ENDED DECEMBER 31, 2011 AND 2010</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Net loss for the year</w:t>
            </w:r>
          </w:p>
        </w:tc>
        <w:tc>
          <w:tcPr>
            <w:tcW w:w="400" w:type="dxa"/>
            <w:vAlign w:val="bottom"/>
            <w:shd w:val="clear" w:color="auto" w:fill="CCEEC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(2,120,762)</w:t>
            </w:r>
          </w:p>
        </w:tc>
        <w:tc>
          <w:tcPr>
            <w:tcW w:w="400" w:type="dxa"/>
            <w:vAlign w:val="bottom"/>
            <w:shd w:val="clear" w:color="auto" w:fill="CCEEC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(2,009,025)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loss to net cash used by</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ind w:right="30"/>
              <w:spacing w:after="0"/>
              <w:rPr>
                <w:sz w:val="20"/>
                <w:szCs w:val="20"/>
                <w:color w:val="auto"/>
              </w:rPr>
            </w:pPr>
            <w:r>
              <w:rPr>
                <w:rFonts w:ascii="Arial" w:cs="Arial" w:eastAsia="Arial" w:hAnsi="Arial"/>
                <w:sz w:val="18"/>
                <w:szCs w:val="18"/>
                <w:color w:val="auto"/>
              </w:rPr>
              <w:t>145,315</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Impairment of website asset</w:t>
            </w:r>
          </w:p>
        </w:tc>
        <w:tc>
          <w:tcPr>
            <w:tcW w:w="4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Stock issued for services</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ind w:right="30"/>
              <w:spacing w:after="0"/>
              <w:rPr>
                <w:sz w:val="20"/>
                <w:szCs w:val="20"/>
                <w:color w:val="auto"/>
              </w:rPr>
            </w:pPr>
            <w:r>
              <w:rPr>
                <w:rFonts w:ascii="Arial" w:cs="Arial" w:eastAsia="Arial" w:hAnsi="Arial"/>
                <w:sz w:val="18"/>
                <w:szCs w:val="18"/>
                <w:color w:val="auto"/>
              </w:rPr>
              <w:t>83,992</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281,140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Stock options issued for compensation</w:t>
            </w:r>
          </w:p>
        </w:tc>
        <w:tc>
          <w:tcPr>
            <w:tcW w:w="4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189,485</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Stock options issued for services</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ind w:right="30"/>
              <w:spacing w:after="0"/>
              <w:rPr>
                <w:sz w:val="20"/>
                <w:szCs w:val="20"/>
                <w:color w:val="auto"/>
              </w:rPr>
            </w:pPr>
            <w:r>
              <w:rPr>
                <w:rFonts w:ascii="Arial" w:cs="Arial" w:eastAsia="Arial" w:hAnsi="Arial"/>
                <w:sz w:val="18"/>
                <w:szCs w:val="18"/>
                <w:color w:val="auto"/>
              </w:rPr>
              <w:t>100,157</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Stock warrants issued for services</w:t>
            </w:r>
          </w:p>
        </w:tc>
        <w:tc>
          <w:tcPr>
            <w:tcW w:w="4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Interest related to issuance of warrants</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ind w:right="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Amortization of debt discount</w:t>
            </w:r>
          </w:p>
        </w:tc>
        <w:tc>
          <w:tcPr>
            <w:tcW w:w="4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916,667</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rPr>
              <w:t>Changes in:</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spacing w:after="0"/>
              <w:rPr>
                <w:sz w:val="18"/>
                <w:szCs w:val="18"/>
                <w:color w:val="auto"/>
              </w:rPr>
            </w:pP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(245,870)</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Prepaid expenses</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(38,981)</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298,303</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Accrued interest</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(15,000)</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4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60,300</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Deferred revenue</w:t>
            </w:r>
          </w:p>
        </w:tc>
        <w:tc>
          <w:tcPr>
            <w:tcW w:w="400" w:type="dxa"/>
            <w:vAlign w:val="bottom"/>
            <w:tcBorders>
              <w:bottom w:val="single" w:sz="8" w:color="auto"/>
            </w:tcBorders>
            <w:shd w:val="clear" w:color="auto" w:fill="CCEECC"/>
          </w:tcPr>
          <w:p>
            <w:pPr>
              <w:spacing w:after="0"/>
              <w:rPr>
                <w:sz w:val="18"/>
                <w:szCs w:val="18"/>
                <w:color w:val="auto"/>
              </w:rPr>
            </w:pPr>
          </w:p>
        </w:tc>
        <w:tc>
          <w:tcPr>
            <w:tcW w:w="1420" w:type="dxa"/>
            <w:vAlign w:val="bottom"/>
            <w:tcBorders>
              <w:bottom w:val="single" w:sz="8" w:color="auto"/>
              <w:right w:val="single" w:sz="8" w:color="CCEECC"/>
            </w:tcBorders>
            <w:shd w:val="clear" w:color="auto" w:fill="CCEECC"/>
          </w:tcPr>
          <w:p>
            <w:pPr>
              <w:jc w:val="right"/>
              <w:ind w:right="30"/>
              <w:spacing w:after="0"/>
              <w:rPr>
                <w:sz w:val="20"/>
                <w:szCs w:val="20"/>
                <w:color w:val="auto"/>
              </w:rPr>
            </w:pPr>
            <w:r>
              <w:rPr>
                <w:rFonts w:ascii="Arial" w:cs="Arial" w:eastAsia="Arial" w:hAnsi="Arial"/>
                <w:sz w:val="18"/>
                <w:szCs w:val="18"/>
                <w:color w:val="auto"/>
              </w:rPr>
              <w:t>104,885</w:t>
            </w:r>
          </w:p>
        </w:tc>
        <w:tc>
          <w:tcPr>
            <w:tcW w:w="400" w:type="dxa"/>
            <w:vAlign w:val="bottom"/>
            <w:tcBorders>
              <w:bottom w:val="single" w:sz="8" w:color="auto"/>
            </w:tcBorders>
            <w:shd w:val="clear" w:color="auto" w:fill="CCEECC"/>
          </w:tcPr>
          <w:p>
            <w:pPr>
              <w:spacing w:after="0"/>
              <w:rPr>
                <w:sz w:val="18"/>
                <w:szCs w:val="18"/>
                <w:color w:val="auto"/>
              </w:rPr>
            </w:pPr>
          </w:p>
        </w:tc>
        <w:tc>
          <w:tcPr>
            <w:tcW w:w="136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225,720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CASH USED BY OPERATING ACTIVITIES</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(521,509)</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(1,311,413)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400" w:type="dxa"/>
            <w:vAlign w:val="bottom"/>
            <w:tcBorders>
              <w:top w:val="single" w:sz="8" w:color="auto"/>
            </w:tcBorders>
            <w:shd w:val="clear" w:color="auto" w:fill="CCEECC"/>
          </w:tcPr>
          <w:p>
            <w:pPr>
              <w:spacing w:after="0"/>
              <w:rPr>
                <w:sz w:val="18"/>
                <w:szCs w:val="18"/>
                <w:color w:val="auto"/>
              </w:rPr>
            </w:pPr>
          </w:p>
        </w:tc>
        <w:tc>
          <w:tcPr>
            <w:tcW w:w="1420" w:type="dxa"/>
            <w:vAlign w:val="bottom"/>
            <w:tcBorders>
              <w:top w:val="single" w:sz="8" w:color="auto"/>
              <w:right w:val="single" w:sz="8" w:color="CCEECC"/>
            </w:tcBorders>
            <w:shd w:val="clear" w:color="auto" w:fill="CCEECC"/>
          </w:tcPr>
          <w:p>
            <w:pPr>
              <w:spacing w:after="0"/>
              <w:rPr>
                <w:sz w:val="18"/>
                <w:szCs w:val="18"/>
                <w:color w:val="auto"/>
              </w:rPr>
            </w:pPr>
          </w:p>
        </w:tc>
        <w:tc>
          <w:tcPr>
            <w:tcW w:w="400" w:type="dxa"/>
            <w:vAlign w:val="bottom"/>
            <w:tcBorders>
              <w:top w:val="single" w:sz="8" w:color="auto"/>
            </w:tcBorders>
            <w:shd w:val="clear" w:color="auto" w:fill="CCEECC"/>
          </w:tcPr>
          <w:p>
            <w:pPr>
              <w:spacing w:after="0"/>
              <w:rPr>
                <w:sz w:val="18"/>
                <w:szCs w:val="18"/>
                <w:color w:val="auto"/>
              </w:rPr>
            </w:pPr>
          </w:p>
        </w:tc>
        <w:tc>
          <w:tcPr>
            <w:tcW w:w="1360" w:type="dxa"/>
            <w:vAlign w:val="bottom"/>
            <w:tcBorders>
              <w:top w:val="single" w:sz="8" w:color="auto"/>
              <w:right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(13,100)</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Payment of security deposit</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(5,049)</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Website site development costs</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(221,770)</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(224,407)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CCEE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tcBorders>
              <w:right w:val="single" w:sz="8" w:color="CCEECC"/>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tcBorders>
              <w:right w:val="single" w:sz="8" w:color="CCEE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(239,919)</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(225,637)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CCEECC"/>
          </w:tcPr>
          <w:p>
            <w:pPr>
              <w:spacing w:after="0"/>
              <w:rPr>
                <w:sz w:val="18"/>
                <w:szCs w:val="18"/>
                <w:color w:val="auto"/>
              </w:rPr>
            </w:pPr>
          </w:p>
        </w:tc>
        <w:tc>
          <w:tcPr>
            <w:tcW w:w="400" w:type="dxa"/>
            <w:vAlign w:val="bottom"/>
            <w:tcBorders>
              <w:top w:val="single" w:sz="8" w:color="auto"/>
            </w:tcBorders>
            <w:shd w:val="clear" w:color="auto" w:fill="CCEECC"/>
          </w:tcPr>
          <w:p>
            <w:pPr>
              <w:spacing w:after="0"/>
              <w:rPr>
                <w:sz w:val="18"/>
                <w:szCs w:val="18"/>
                <w:color w:val="auto"/>
              </w:rPr>
            </w:pPr>
          </w:p>
        </w:tc>
        <w:tc>
          <w:tcPr>
            <w:tcW w:w="1420" w:type="dxa"/>
            <w:vAlign w:val="bottom"/>
            <w:tcBorders>
              <w:top w:val="single" w:sz="8" w:color="auto"/>
              <w:right w:val="single" w:sz="8" w:color="CCEECC"/>
            </w:tcBorders>
            <w:shd w:val="clear" w:color="auto" w:fill="CCEECC"/>
          </w:tcPr>
          <w:p>
            <w:pPr>
              <w:spacing w:after="0"/>
              <w:rPr>
                <w:sz w:val="18"/>
                <w:szCs w:val="18"/>
                <w:color w:val="auto"/>
              </w:rPr>
            </w:pPr>
          </w:p>
        </w:tc>
        <w:tc>
          <w:tcPr>
            <w:tcW w:w="400" w:type="dxa"/>
            <w:vAlign w:val="bottom"/>
            <w:tcBorders>
              <w:top w:val="single" w:sz="8" w:color="auto"/>
            </w:tcBorders>
            <w:shd w:val="clear" w:color="auto" w:fill="CCEECC"/>
          </w:tcPr>
          <w:p>
            <w:pPr>
              <w:spacing w:after="0"/>
              <w:rPr>
                <w:sz w:val="18"/>
                <w:szCs w:val="18"/>
                <w:color w:val="auto"/>
              </w:rPr>
            </w:pPr>
          </w:p>
        </w:tc>
        <w:tc>
          <w:tcPr>
            <w:tcW w:w="1360" w:type="dxa"/>
            <w:vAlign w:val="bottom"/>
            <w:tcBorders>
              <w:top w:val="single" w:sz="8" w:color="auto"/>
              <w:right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Equity issuance costs</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(57,500)</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Net proceeds from sale of preferred stock</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ind w:right="30"/>
              <w:spacing w:after="0"/>
              <w:rPr>
                <w:sz w:val="20"/>
                <w:szCs w:val="20"/>
                <w:color w:val="auto"/>
              </w:rPr>
            </w:pPr>
            <w:r>
              <w:rPr>
                <w:rFonts w:ascii="Arial" w:cs="Arial" w:eastAsia="Arial" w:hAnsi="Arial"/>
                <w:sz w:val="18"/>
                <w:szCs w:val="18"/>
                <w:color w:val="auto"/>
              </w:rPr>
              <w:t>855,460</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2"/>
              </w:rPr>
              <w:t>Issuance of warrants in connection with preferred stock</w:t>
            </w:r>
          </w:p>
        </w:tc>
        <w:tc>
          <w:tcPr>
            <w:tcW w:w="4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644,540</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Payments on loan payable</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(1,000,000)</w:t>
            </w: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Proceeds from issuance of notes payable</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CEECC"/>
          </w:tcPr>
          <w:p>
            <w:pPr>
              <w:spacing w:after="0"/>
              <w:rPr>
                <w:sz w:val="18"/>
                <w:szCs w:val="18"/>
                <w:color w:val="auto"/>
              </w:rPr>
            </w:pPr>
          </w:p>
        </w:tc>
        <w:tc>
          <w:tcPr>
            <w:tcW w:w="1420" w:type="dxa"/>
            <w:vAlign w:val="bottom"/>
            <w:tcBorders>
              <w:bottom w:val="single" w:sz="8" w:color="auto"/>
              <w:right w:val="single" w:sz="8" w:color="CCEECC"/>
            </w:tcBorders>
            <w:shd w:val="clear" w:color="auto" w:fill="CCEECC"/>
          </w:tcPr>
          <w:p>
            <w:pPr>
              <w:jc w:val="right"/>
              <w:ind w:right="30"/>
              <w:spacing w:after="0"/>
              <w:rPr>
                <w:sz w:val="20"/>
                <w:szCs w:val="20"/>
                <w:color w:val="auto"/>
              </w:rPr>
            </w:pPr>
            <w:r>
              <w:rPr>
                <w:rFonts w:ascii="Arial" w:cs="Arial" w:eastAsia="Arial" w:hAnsi="Arial"/>
                <w:sz w:val="18"/>
                <w:szCs w:val="18"/>
                <w:color w:val="auto"/>
              </w:rPr>
              <w:t>442,500</w:t>
            </w:r>
          </w:p>
        </w:tc>
        <w:tc>
          <w:tcPr>
            <w:tcW w:w="400" w:type="dxa"/>
            <w:vAlign w:val="bottom"/>
            <w:tcBorders>
              <w:bottom w:val="single" w:sz="8" w:color="auto"/>
            </w:tcBorders>
            <w:shd w:val="clear" w:color="auto" w:fill="CCEECC"/>
          </w:tcPr>
          <w:p>
            <w:pPr>
              <w:spacing w:after="0"/>
              <w:rPr>
                <w:sz w:val="18"/>
                <w:szCs w:val="18"/>
                <w:color w:val="auto"/>
              </w:rPr>
            </w:pPr>
          </w:p>
        </w:tc>
        <w:tc>
          <w:tcPr>
            <w:tcW w:w="136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2,158,750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NET INCREASE (DECREASE) IN CASH AND CASH</w:t>
            </w:r>
          </w:p>
        </w:tc>
        <w:tc>
          <w:tcPr>
            <w:tcW w:w="40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60" w:type="dxa"/>
            <w:vAlign w:val="bottom"/>
            <w:tcBorders>
              <w:right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rPr>
              <w:t>EQUIVALENTS</w:t>
            </w:r>
          </w:p>
        </w:tc>
        <w:tc>
          <w:tcPr>
            <w:tcW w:w="400" w:type="dxa"/>
            <w:vAlign w:val="bottom"/>
            <w:shd w:val="clear" w:color="auto" w:fill="CCEECC"/>
          </w:tcPr>
          <w:p>
            <w:pPr>
              <w:spacing w:after="0"/>
              <w:rPr>
                <w:sz w:val="20"/>
                <w:szCs w:val="20"/>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(318,928)</w:t>
            </w:r>
          </w:p>
        </w:tc>
        <w:tc>
          <w:tcPr>
            <w:tcW w:w="400" w:type="dxa"/>
            <w:vAlign w:val="bottom"/>
            <w:shd w:val="clear" w:color="auto" w:fill="CCEECC"/>
          </w:tcPr>
          <w:p>
            <w:pPr>
              <w:spacing w:after="0"/>
              <w:rPr>
                <w:sz w:val="20"/>
                <w:szCs w:val="20"/>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621,700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CASH AND CASH EQUIVALENTS - BEGINNING OF</w:t>
            </w:r>
          </w:p>
        </w:tc>
        <w:tc>
          <w:tcPr>
            <w:tcW w:w="40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60" w:type="dxa"/>
            <w:vAlign w:val="bottom"/>
            <w:tcBorders>
              <w:right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rPr>
              <w:t>PERIOD</w:t>
            </w:r>
          </w:p>
        </w:tc>
        <w:tc>
          <w:tcPr>
            <w:tcW w:w="400" w:type="dxa"/>
            <w:vAlign w:val="bottom"/>
            <w:shd w:val="clear" w:color="auto" w:fill="CCEECC"/>
          </w:tcPr>
          <w:p>
            <w:pPr>
              <w:spacing w:after="0"/>
              <w:rPr>
                <w:sz w:val="20"/>
                <w:szCs w:val="20"/>
                <w:color w:val="auto"/>
              </w:rPr>
            </w:pPr>
          </w:p>
        </w:tc>
        <w:tc>
          <w:tcPr>
            <w:tcW w:w="1420" w:type="dxa"/>
            <w:vAlign w:val="bottom"/>
            <w:tcBorders>
              <w:right w:val="single" w:sz="8" w:color="CCEECC"/>
            </w:tcBorders>
            <w:shd w:val="clear" w:color="auto" w:fill="CCEECC"/>
          </w:tcPr>
          <w:p>
            <w:pPr>
              <w:jc w:val="right"/>
              <w:ind w:right="30"/>
              <w:spacing w:after="0"/>
              <w:rPr>
                <w:sz w:val="20"/>
                <w:szCs w:val="20"/>
                <w:color w:val="auto"/>
              </w:rPr>
            </w:pPr>
            <w:r>
              <w:rPr>
                <w:rFonts w:ascii="Arial" w:cs="Arial" w:eastAsia="Arial" w:hAnsi="Arial"/>
                <w:sz w:val="18"/>
                <w:szCs w:val="18"/>
                <w:color w:val="auto"/>
              </w:rPr>
              <w:t>1,278,094</w:t>
            </w:r>
          </w:p>
        </w:tc>
        <w:tc>
          <w:tcPr>
            <w:tcW w:w="400" w:type="dxa"/>
            <w:vAlign w:val="bottom"/>
            <w:shd w:val="clear" w:color="auto" w:fill="CCEECC"/>
          </w:tcPr>
          <w:p>
            <w:pPr>
              <w:spacing w:after="0"/>
              <w:rPr>
                <w:sz w:val="20"/>
                <w:szCs w:val="20"/>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656,394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w w:val="99"/>
              </w:rPr>
              <w:t>CASH AND CASH EQUIVALENTS - END OF PERIOD</w:t>
            </w:r>
          </w:p>
        </w:tc>
        <w:tc>
          <w:tcPr>
            <w:tcW w:w="400" w:type="dxa"/>
            <w:vAlign w:val="bottom"/>
            <w:shd w:val="clear" w:color="auto" w:fill="CCEEC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CC"/>
            </w:tcBorders>
            <w:shd w:val="clear" w:color="auto" w:fill="CCEECC"/>
          </w:tcPr>
          <w:p>
            <w:pPr>
              <w:jc w:val="right"/>
              <w:ind w:right="30"/>
              <w:spacing w:after="0"/>
              <w:rPr>
                <w:sz w:val="20"/>
                <w:szCs w:val="20"/>
                <w:color w:val="auto"/>
              </w:rPr>
            </w:pPr>
            <w:r>
              <w:rPr>
                <w:rFonts w:ascii="Arial" w:cs="Arial" w:eastAsia="Arial" w:hAnsi="Arial"/>
                <w:sz w:val="18"/>
                <w:szCs w:val="18"/>
                <w:color w:val="auto"/>
              </w:rPr>
              <w:t>959,166</w:t>
            </w:r>
          </w:p>
        </w:tc>
        <w:tc>
          <w:tcPr>
            <w:tcW w:w="400" w:type="dxa"/>
            <w:vAlign w:val="bottom"/>
            <w:shd w:val="clear" w:color="auto" w:fill="CCEEC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1,278,094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Borders>
              <w:top w:val="single" w:sz="8" w:color="CCEEC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rPr>
              <w:t>SUPPLEMENTAL CASH FLOW INFORMATION:</w:t>
            </w:r>
          </w:p>
        </w:tc>
        <w:tc>
          <w:tcPr>
            <w:tcW w:w="40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spacing w:after="0"/>
              <w:rPr>
                <w:sz w:val="18"/>
                <w:szCs w:val="18"/>
                <w:color w:val="auto"/>
              </w:rPr>
            </w:pPr>
          </w:p>
        </w:tc>
        <w:tc>
          <w:tcPr>
            <w:tcW w:w="40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Cash paid for interest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41,974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shd w:val="clear" w:color="auto" w:fill="CCEECC"/>
          </w:tcPr>
          <w:p>
            <w:pPr>
              <w:ind w:left="300"/>
              <w:spacing w:after="0" w:line="196" w:lineRule="exact"/>
              <w:rPr>
                <w:sz w:val="20"/>
                <w:szCs w:val="20"/>
                <w:color w:val="auto"/>
              </w:rPr>
            </w:pPr>
            <w:r>
              <w:rPr>
                <w:rFonts w:ascii="Arial" w:cs="Arial" w:eastAsia="Arial" w:hAnsi="Arial"/>
                <w:sz w:val="18"/>
                <w:szCs w:val="18"/>
                <w:color w:val="auto"/>
              </w:rPr>
              <w:t>Cash paid for income taxes</w:t>
            </w:r>
          </w:p>
        </w:tc>
        <w:tc>
          <w:tcPr>
            <w:tcW w:w="400" w:type="dxa"/>
            <w:vAlign w:val="bottom"/>
            <w:shd w:val="clear" w:color="auto" w:fill="CCEEC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CC"/>
            </w:tcBorders>
            <w:shd w:val="clear" w:color="auto" w:fill="CCEECC"/>
          </w:tcPr>
          <w:p>
            <w:pPr>
              <w:jc w:val="right"/>
              <w:ind w:right="30"/>
              <w:spacing w:after="0" w:line="196" w:lineRule="exact"/>
              <w:rPr>
                <w:sz w:val="20"/>
                <w:szCs w:val="20"/>
                <w:color w:val="auto"/>
              </w:rPr>
            </w:pPr>
            <w:r>
              <w:rPr>
                <w:rFonts w:ascii="Arial" w:cs="Arial" w:eastAsia="Arial" w:hAnsi="Arial"/>
                <w:sz w:val="18"/>
                <w:szCs w:val="18"/>
                <w:color w:val="auto"/>
              </w:rPr>
              <w:t>-0-</w:t>
            </w:r>
          </w:p>
        </w:tc>
        <w:tc>
          <w:tcPr>
            <w:tcW w:w="400" w:type="dxa"/>
            <w:vAlign w:val="bottom"/>
            <w:shd w:val="clear" w:color="auto" w:fill="CCEEC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CC"/>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Borders>
              <w:top w:val="single" w:sz="8" w:color="CCEEC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SUPPLEMENTAL DISCLOSURE OF NONCASH</w:t>
            </w:r>
          </w:p>
        </w:tc>
        <w:tc>
          <w:tcPr>
            <w:tcW w:w="40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60" w:type="dxa"/>
            <w:vAlign w:val="bottom"/>
            <w:tcBorders>
              <w:right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8"/>
                <w:szCs w:val="18"/>
                <w:color w:val="auto"/>
              </w:rPr>
              <w:t>INVESTING AND FINANCING ACTIVITIES:</w:t>
            </w:r>
          </w:p>
        </w:tc>
        <w:tc>
          <w:tcPr>
            <w:tcW w:w="400" w:type="dxa"/>
            <w:vAlign w:val="bottom"/>
            <w:shd w:val="clear" w:color="auto" w:fill="CCEECC"/>
          </w:tcPr>
          <w:p>
            <w:pPr>
              <w:spacing w:after="0"/>
              <w:rPr>
                <w:sz w:val="20"/>
                <w:szCs w:val="20"/>
                <w:color w:val="auto"/>
              </w:rPr>
            </w:pPr>
          </w:p>
        </w:tc>
        <w:tc>
          <w:tcPr>
            <w:tcW w:w="1420" w:type="dxa"/>
            <w:vAlign w:val="bottom"/>
            <w:tcBorders>
              <w:right w:val="single" w:sz="8" w:color="CCEECC"/>
            </w:tcBorders>
            <w:shd w:val="clear" w:color="auto" w:fill="CCEECC"/>
          </w:tcPr>
          <w:p>
            <w:pPr>
              <w:spacing w:after="0"/>
              <w:rPr>
                <w:sz w:val="20"/>
                <w:szCs w:val="20"/>
                <w:color w:val="auto"/>
              </w:rPr>
            </w:pPr>
          </w:p>
        </w:tc>
        <w:tc>
          <w:tcPr>
            <w:tcW w:w="400" w:type="dxa"/>
            <w:vAlign w:val="bottom"/>
            <w:shd w:val="clear" w:color="auto" w:fill="CCEECC"/>
          </w:tcPr>
          <w:p>
            <w:pPr>
              <w:spacing w:after="0"/>
              <w:rPr>
                <w:sz w:val="20"/>
                <w:szCs w:val="20"/>
                <w:color w:val="auto"/>
              </w:rPr>
            </w:pPr>
          </w:p>
        </w:tc>
        <w:tc>
          <w:tcPr>
            <w:tcW w:w="1360" w:type="dxa"/>
            <w:vAlign w:val="bottom"/>
            <w:tcBorders>
              <w:right w:val="single" w:sz="8" w:color="CCEECC"/>
            </w:tcBorders>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ind w:left="300"/>
              <w:spacing w:after="0" w:line="201" w:lineRule="exact"/>
              <w:rPr>
                <w:sz w:val="20"/>
                <w:szCs w:val="20"/>
                <w:color w:val="auto"/>
              </w:rPr>
            </w:pPr>
            <w:r>
              <w:rPr>
                <w:rFonts w:ascii="Arial" w:cs="Arial" w:eastAsia="Arial" w:hAnsi="Arial"/>
                <w:sz w:val="18"/>
                <w:szCs w:val="18"/>
                <w:color w:val="auto"/>
                <w:w w:val="98"/>
              </w:rPr>
              <w:t>Common stock issued to satisfy dividends related to</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preferred stock</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shd w:val="clear" w:color="auto" w:fill="CCEECC"/>
          </w:tcPr>
          <w:p>
            <w:pPr>
              <w:ind w:left="300"/>
              <w:spacing w:after="0" w:line="196" w:lineRule="exact"/>
              <w:rPr>
                <w:sz w:val="20"/>
                <w:szCs w:val="20"/>
                <w:color w:val="auto"/>
              </w:rPr>
            </w:pPr>
            <w:r>
              <w:rPr>
                <w:rFonts w:ascii="Arial" w:cs="Arial" w:eastAsia="Arial" w:hAnsi="Arial"/>
                <w:sz w:val="18"/>
                <w:szCs w:val="18"/>
                <w:color w:val="auto"/>
                <w:w w:val="95"/>
              </w:rPr>
              <w:t>Stock options issued in connection with acquisition of</w:t>
            </w:r>
          </w:p>
        </w:tc>
        <w:tc>
          <w:tcPr>
            <w:tcW w:w="40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60" w:type="dxa"/>
            <w:vAlign w:val="bottom"/>
            <w:tcBorders>
              <w:right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patent rights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shd w:val="clear" w:color="auto" w:fill="CCEECC"/>
          </w:tcPr>
          <w:p>
            <w:pPr>
              <w:ind w:left="300"/>
              <w:spacing w:after="0" w:line="196" w:lineRule="exact"/>
              <w:rPr>
                <w:sz w:val="20"/>
                <w:szCs w:val="20"/>
                <w:color w:val="auto"/>
              </w:rPr>
            </w:pPr>
            <w:r>
              <w:rPr>
                <w:rFonts w:ascii="Arial" w:cs="Arial" w:eastAsia="Arial" w:hAnsi="Arial"/>
                <w:sz w:val="18"/>
                <w:szCs w:val="18"/>
                <w:color w:val="auto"/>
              </w:rPr>
              <w:t>Stock warrants issued in connection with preferred</w:t>
            </w:r>
          </w:p>
        </w:tc>
        <w:tc>
          <w:tcPr>
            <w:tcW w:w="40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60" w:type="dxa"/>
            <w:vAlign w:val="bottom"/>
            <w:tcBorders>
              <w:right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stock issuance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1,158,900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shd w:val="clear" w:color="auto" w:fill="CCEECC"/>
          </w:tcPr>
          <w:p>
            <w:pPr>
              <w:ind w:left="300"/>
              <w:spacing w:after="0" w:line="196" w:lineRule="exact"/>
              <w:rPr>
                <w:sz w:val="20"/>
                <w:szCs w:val="20"/>
                <w:color w:val="auto"/>
              </w:rPr>
            </w:pPr>
            <w:r>
              <w:rPr>
                <w:rFonts w:ascii="Arial" w:cs="Arial" w:eastAsia="Arial" w:hAnsi="Arial"/>
                <w:sz w:val="18"/>
                <w:szCs w:val="18"/>
                <w:color w:val="auto"/>
                <w:w w:val="94"/>
              </w:rPr>
              <w:t>Payable to shareholder to be settled in stock issued in</w:t>
            </w:r>
          </w:p>
        </w:tc>
        <w:tc>
          <w:tcPr>
            <w:tcW w:w="40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60" w:type="dxa"/>
            <w:vAlign w:val="bottom"/>
            <w:tcBorders>
              <w:right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connection with acquisition of patent rights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shd w:val="clear" w:color="auto" w:fill="CCEECC"/>
          </w:tcPr>
          <w:p>
            <w:pPr>
              <w:ind w:left="300"/>
              <w:spacing w:after="0" w:line="182" w:lineRule="exact"/>
              <w:rPr>
                <w:sz w:val="20"/>
                <w:szCs w:val="20"/>
                <w:color w:val="auto"/>
              </w:rPr>
            </w:pPr>
            <w:r>
              <w:rPr>
                <w:rFonts w:ascii="Arial" w:cs="Arial" w:eastAsia="Arial" w:hAnsi="Arial"/>
                <w:sz w:val="18"/>
                <w:szCs w:val="18"/>
                <w:color w:val="auto"/>
                <w:w w:val="93"/>
              </w:rPr>
              <w:t>Debt discount related to warrants issued in connection</w:t>
            </w:r>
          </w:p>
        </w:tc>
        <w:tc>
          <w:tcPr>
            <w:tcW w:w="400" w:type="dxa"/>
            <w:vAlign w:val="bottom"/>
            <w:shd w:val="clear" w:color="auto" w:fill="CCEECC"/>
          </w:tcPr>
          <w:p>
            <w:pPr>
              <w:spacing w:after="0"/>
              <w:rPr>
                <w:sz w:val="15"/>
                <w:szCs w:val="15"/>
                <w:color w:val="auto"/>
              </w:rPr>
            </w:pPr>
          </w:p>
        </w:tc>
        <w:tc>
          <w:tcPr>
            <w:tcW w:w="1420" w:type="dxa"/>
            <w:vAlign w:val="bottom"/>
            <w:tcBorders>
              <w:right w:val="single" w:sz="8" w:color="CCEECC"/>
            </w:tcBorders>
            <w:shd w:val="clear" w:color="auto" w:fill="CCEECC"/>
          </w:tcPr>
          <w:p>
            <w:pPr>
              <w:spacing w:after="0"/>
              <w:rPr>
                <w:sz w:val="15"/>
                <w:szCs w:val="15"/>
                <w:color w:val="auto"/>
              </w:rPr>
            </w:pPr>
          </w:p>
        </w:tc>
        <w:tc>
          <w:tcPr>
            <w:tcW w:w="400" w:type="dxa"/>
            <w:vAlign w:val="bottom"/>
            <w:shd w:val="clear" w:color="auto" w:fill="CCEECC"/>
          </w:tcPr>
          <w:p>
            <w:pPr>
              <w:spacing w:after="0"/>
              <w:rPr>
                <w:sz w:val="15"/>
                <w:szCs w:val="15"/>
                <w:color w:val="auto"/>
              </w:rPr>
            </w:pPr>
          </w:p>
        </w:tc>
        <w:tc>
          <w:tcPr>
            <w:tcW w:w="1360" w:type="dxa"/>
            <w:vAlign w:val="bottom"/>
            <w:tcBorders>
              <w:right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with debt financing</w:t>
            </w:r>
          </w:p>
        </w:tc>
        <w:tc>
          <w:tcPr>
            <w:tcW w:w="400" w:type="dxa"/>
            <w:vAlign w:val="bottom"/>
            <w:shd w:val="clear" w:color="auto" w:fill="CCEEC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CC"/>
            </w:tcBorders>
            <w:shd w:val="clear" w:color="auto" w:fill="CCEECC"/>
          </w:tcPr>
          <w:p>
            <w:pPr>
              <w:jc w:val="right"/>
              <w:ind w:right="3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C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tcBorders>
              <w:top w:val="single" w:sz="8" w:color="CCEECC"/>
            </w:tcBorders>
          </w:tcPr>
          <w:p>
            <w:pPr>
              <w:ind w:left="300"/>
              <w:spacing w:after="0" w:line="182" w:lineRule="exact"/>
              <w:rPr>
                <w:sz w:val="20"/>
                <w:szCs w:val="20"/>
                <w:color w:val="auto"/>
              </w:rPr>
            </w:pPr>
            <w:r>
              <w:rPr>
                <w:rFonts w:ascii="Arial" w:cs="Arial" w:eastAsia="Arial" w:hAnsi="Arial"/>
                <w:sz w:val="18"/>
                <w:szCs w:val="18"/>
                <w:color w:val="auto"/>
                <w:w w:val="92"/>
              </w:rPr>
              <w:t>Common stock issued for settlement of equity issuance</w:t>
            </w: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costs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115,000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Certain accounts and financial statement captions in the prior periods have been reclassified to conform to the current period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fair value of cash, accounts receivable, prepaid expenses, accounts payable, accounts payable – related party, accrued expenses and interest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December 31, 2011 and 2010, respectively, since their effect is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December 31, 2011 and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2010</w:t>
            </w:r>
          </w:p>
        </w:tc>
        <w:tc>
          <w:tcPr>
            <w:tcW w:w="6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52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154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5,937</w:t>
            </w:r>
          </w:p>
        </w:tc>
        <w:tc>
          <w:tcPr>
            <w:tcW w:w="60" w:type="dxa"/>
            <w:vAlign w:val="bottom"/>
            <w:shd w:val="clear" w:color="auto" w:fill="CCEECC"/>
          </w:tcPr>
          <w:p>
            <w:pPr>
              <w:spacing w:after="0"/>
              <w:rPr>
                <w:sz w:val="18"/>
                <w:szCs w:val="18"/>
                <w:color w:val="auto"/>
              </w:rPr>
            </w:pPr>
          </w:p>
        </w:tc>
        <w:tc>
          <w:tcPr>
            <w:tcW w:w="4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6,111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520" w:type="dxa"/>
            <w:vAlign w:val="bottom"/>
          </w:tcPr>
          <w:p>
            <w:pPr>
              <w:ind w:left="80"/>
              <w:spacing w:after="0"/>
              <w:rPr>
                <w:sz w:val="20"/>
                <w:szCs w:val="20"/>
                <w:color w:val="auto"/>
              </w:rPr>
            </w:pPr>
            <w:r>
              <w:rPr>
                <w:rFonts w:ascii="Arial" w:cs="Arial" w:eastAsia="Arial" w:hAnsi="Arial"/>
                <w:sz w:val="18"/>
                <w:szCs w:val="18"/>
                <w:color w:val="auto"/>
              </w:rPr>
              <w:t>Website maintenance</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20,000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52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Investor relations</w:t>
            </w:r>
          </w:p>
        </w:tc>
        <w:tc>
          <w:tcPr>
            <w:tcW w:w="12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50,000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520" w:type="dxa"/>
            <w:vAlign w:val="bottom"/>
          </w:tcPr>
          <w:p>
            <w:pPr>
              <w:ind w:left="80"/>
              <w:spacing w:after="0"/>
              <w:rPr>
                <w:sz w:val="20"/>
                <w:szCs w:val="20"/>
                <w:color w:val="auto"/>
              </w:rPr>
            </w:pPr>
            <w:r>
              <w:rPr>
                <w:rFonts w:ascii="Arial" w:cs="Arial" w:eastAsia="Arial" w:hAnsi="Arial"/>
                <w:sz w:val="18"/>
                <w:szCs w:val="18"/>
                <w:color w:val="auto"/>
              </w:rPr>
              <w:t>Consulting</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91,811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520" w:type="dxa"/>
            <w:vAlign w:val="bottom"/>
            <w:shd w:val="clear" w:color="auto" w:fill="CCEECC"/>
          </w:tcPr>
          <w:p>
            <w:pPr>
              <w:ind w:left="80"/>
              <w:spacing w:after="0"/>
              <w:rPr>
                <w:sz w:val="20"/>
                <w:szCs w:val="20"/>
                <w:color w:val="auto"/>
              </w:rPr>
            </w:pPr>
            <w:r>
              <w:rPr>
                <w:rFonts w:ascii="Arial" w:cs="Arial" w:eastAsia="Arial" w:hAnsi="Arial"/>
                <w:sz w:val="18"/>
                <w:szCs w:val="18"/>
                <w:color w:val="auto"/>
              </w:rPr>
              <w:t>Employee advances</w:t>
            </w:r>
          </w:p>
        </w:tc>
        <w:tc>
          <w:tcPr>
            <w:tcW w:w="12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940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520" w:type="dxa"/>
            <w:vAlign w:val="bottom"/>
          </w:tcPr>
          <w:p>
            <w:pPr>
              <w:ind w:left="80"/>
              <w:spacing w:after="0"/>
              <w:rPr>
                <w:sz w:val="20"/>
                <w:szCs w:val="20"/>
                <w:color w:val="auto"/>
              </w:rPr>
            </w:pPr>
            <w:r>
              <w:rPr>
                <w:rFonts w:ascii="Arial" w:cs="Arial" w:eastAsia="Arial" w:hAnsi="Arial"/>
                <w:sz w:val="18"/>
                <w:szCs w:val="18"/>
                <w:color w:val="auto"/>
              </w:rPr>
              <w:t>Advertising</w:t>
            </w:r>
          </w:p>
        </w:tc>
        <w:tc>
          <w:tcPr>
            <w:tcW w:w="1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50"/>
        </w:trPr>
        <w:tc>
          <w:tcPr>
            <w:tcW w:w="2300" w:type="dxa"/>
            <w:vAlign w:val="bottom"/>
          </w:tcPr>
          <w:p>
            <w:pPr>
              <w:spacing w:after="0"/>
              <w:rPr>
                <w:sz w:val="21"/>
                <w:szCs w:val="21"/>
                <w:color w:val="auto"/>
              </w:rPr>
            </w:pPr>
          </w:p>
        </w:tc>
        <w:tc>
          <w:tcPr>
            <w:tcW w:w="2520" w:type="dxa"/>
            <w:vAlign w:val="bottom"/>
            <w:shd w:val="clear" w:color="auto" w:fill="CCEECC"/>
          </w:tcPr>
          <w:p>
            <w:pPr>
              <w:ind w:left="80"/>
              <w:spacing w:after="0"/>
              <w:rPr>
                <w:sz w:val="20"/>
                <w:szCs w:val="20"/>
                <w:color w:val="auto"/>
              </w:rPr>
            </w:pPr>
            <w:r>
              <w:rPr>
                <w:rFonts w:ascii="Arial" w:cs="Arial" w:eastAsia="Arial" w:hAnsi="Arial"/>
                <w:sz w:val="18"/>
                <w:szCs w:val="18"/>
                <w:color w:val="auto"/>
              </w:rPr>
              <w:t>Total prepaid expenses</w:t>
            </w:r>
          </w:p>
        </w:tc>
        <w:tc>
          <w:tcPr>
            <w:tcW w:w="154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119,032</w:t>
            </w:r>
          </w:p>
        </w:tc>
        <w:tc>
          <w:tcPr>
            <w:tcW w:w="4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80,051</w:t>
            </w:r>
          </w:p>
        </w:tc>
        <w:tc>
          <w:tcPr>
            <w:tcW w:w="2280" w:type="dxa"/>
            <w:vAlign w:val="bottom"/>
          </w:tcPr>
          <w:p>
            <w:pPr>
              <w:spacing w:after="0"/>
              <w:rPr>
                <w:sz w:val="21"/>
                <w:szCs w:val="21"/>
                <w:color w:val="auto"/>
              </w:rPr>
            </w:pPr>
          </w:p>
        </w:tc>
      </w:tr>
      <w:tr>
        <w:trPr>
          <w:trHeight w:val="636"/>
        </w:trPr>
        <w:tc>
          <w:tcPr>
            <w:tcW w:w="2300" w:type="dxa"/>
            <w:vAlign w:val="bottom"/>
            <w:tcBorders>
              <w:bottom w:val="single" w:sz="8" w:color="auto"/>
            </w:tcBorders>
          </w:tcPr>
          <w:p>
            <w:pPr>
              <w:spacing w:after="0"/>
              <w:rPr>
                <w:sz w:val="24"/>
                <w:szCs w:val="24"/>
                <w:color w:val="auto"/>
              </w:rPr>
            </w:pPr>
          </w:p>
        </w:tc>
        <w:tc>
          <w:tcPr>
            <w:tcW w:w="2520" w:type="dxa"/>
            <w:vAlign w:val="bottom"/>
            <w:tcBorders>
              <w:top w:val="single" w:sz="8" w:color="CCEECC"/>
              <w:bottom w:val="single" w:sz="8" w:color="auto"/>
            </w:tcBorders>
          </w:tcPr>
          <w:p>
            <w:pPr>
              <w:spacing w:after="0"/>
              <w:rPr>
                <w:sz w:val="24"/>
                <w:szCs w:val="24"/>
                <w:color w:val="auto"/>
              </w:rPr>
            </w:pPr>
          </w:p>
        </w:tc>
        <w:tc>
          <w:tcPr>
            <w:tcW w:w="1200" w:type="dxa"/>
            <w:vAlign w:val="bottom"/>
            <w:tcBorders>
              <w:top w:val="single" w:sz="8" w:color="CCEECC"/>
              <w:bottom w:val="single" w:sz="8" w:color="auto"/>
            </w:tcBorders>
          </w:tcPr>
          <w:p>
            <w:pPr>
              <w:ind w:left="760"/>
              <w:spacing w:after="0"/>
              <w:rPr>
                <w:sz w:val="20"/>
                <w:szCs w:val="20"/>
                <w:color w:val="auto"/>
              </w:rPr>
            </w:pPr>
            <w:r>
              <w:rPr>
                <w:rFonts w:ascii="Arial" w:cs="Arial" w:eastAsia="Arial" w:hAnsi="Arial"/>
                <w:sz w:val="18"/>
                <w:szCs w:val="18"/>
                <w:color w:val="auto"/>
              </w:rPr>
              <w:t>F-8</w:t>
            </w: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CC"/>
              <w:bottom w:val="single" w:sz="8" w:color="auto"/>
            </w:tcBorders>
          </w:tcPr>
          <w:p>
            <w:pPr>
              <w:spacing w:after="0"/>
              <w:rPr>
                <w:sz w:val="24"/>
                <w:szCs w:val="24"/>
                <w:color w:val="auto"/>
              </w:rPr>
            </w:pPr>
          </w:p>
        </w:tc>
        <w:tc>
          <w:tcPr>
            <w:tcW w:w="80" w:type="dxa"/>
            <w:vAlign w:val="bottom"/>
            <w:tcBorders>
              <w:top w:val="single" w:sz="8" w:color="CCEECC"/>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CC"/>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December 31, 2011 and 2010:</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2010</w:t>
            </w:r>
          </w:p>
        </w:tc>
        <w:tc>
          <w:tcPr>
            <w:tcW w:w="60" w:type="dxa"/>
            <w:vAlign w:val="bottom"/>
            <w:tcBorders>
              <w:bottom w:val="single" w:sz="8" w:color="auto"/>
            </w:tcBorders>
          </w:tcPr>
          <w:p>
            <w:pPr>
              <w:spacing w:after="0"/>
              <w:rPr>
                <w:sz w:val="20"/>
                <w:szCs w:val="20"/>
                <w:color w:val="auto"/>
              </w:rPr>
            </w:pPr>
          </w:p>
        </w:tc>
      </w:tr>
      <w:tr>
        <w:trPr>
          <w:trHeight w:val="210"/>
        </w:trPr>
        <w:tc>
          <w:tcPr>
            <w:tcW w:w="29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1680" w:type="dxa"/>
            <w:vAlign w:val="bottom"/>
            <w:gridSpan w:val="2"/>
            <w:shd w:val="clear" w:color="auto" w:fill="CCEECC"/>
          </w:tcPr>
          <w:p>
            <w:pPr>
              <w:jc w:val="right"/>
              <w:ind w:right="7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0"/>
              </w:rPr>
              <w:t>20,130</w:t>
            </w:r>
          </w:p>
        </w:tc>
        <w:tc>
          <w:tcPr>
            <w:tcW w:w="460" w:type="dxa"/>
            <w:vAlign w:val="bottom"/>
            <w:tcBorders>
              <w:left w:val="single" w:sz="8" w:color="CCEECC"/>
            </w:tcBorders>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13,824</w:t>
            </w:r>
          </w:p>
        </w:tc>
      </w:tr>
      <w:tr>
        <w:trPr>
          <w:trHeight w:val="216"/>
        </w:trPr>
        <w:tc>
          <w:tcPr>
            <w:tcW w:w="2980" w:type="dxa"/>
            <w:vAlign w:val="bottom"/>
          </w:tcPr>
          <w:p>
            <w:pPr>
              <w:ind w:left="80"/>
              <w:spacing w:after="0"/>
              <w:rPr>
                <w:sz w:val="20"/>
                <w:szCs w:val="20"/>
                <w:color w:val="auto"/>
              </w:rPr>
            </w:pPr>
            <w:r>
              <w:rPr>
                <w:rFonts w:ascii="Arial" w:cs="Arial" w:eastAsia="Arial" w:hAnsi="Arial"/>
                <w:sz w:val="18"/>
                <w:szCs w:val="18"/>
                <w:color w:val="auto"/>
              </w:rPr>
              <w:t>Furniture and fixtures</w:t>
            </w:r>
          </w:p>
        </w:tc>
        <w:tc>
          <w:tcPr>
            <w:tcW w:w="7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11,088</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60" w:type="dxa"/>
            <w:vAlign w:val="bottom"/>
          </w:tcPr>
          <w:p>
            <w:pPr>
              <w:spacing w:after="0"/>
              <w:rPr>
                <w:sz w:val="18"/>
                <w:szCs w:val="18"/>
                <w:color w:val="auto"/>
              </w:rPr>
            </w:pPr>
          </w:p>
        </w:tc>
      </w:tr>
      <w:tr>
        <w:trPr>
          <w:trHeight w:val="210"/>
        </w:trPr>
        <w:tc>
          <w:tcPr>
            <w:tcW w:w="2980" w:type="dxa"/>
            <w:vAlign w:val="bottom"/>
            <w:shd w:val="clear" w:color="auto" w:fill="CCEECC"/>
          </w:tcPr>
          <w:p>
            <w:pPr>
              <w:ind w:left="260"/>
              <w:spacing w:after="0"/>
              <w:rPr>
                <w:sz w:val="20"/>
                <w:szCs w:val="20"/>
                <w:color w:val="auto"/>
              </w:rPr>
            </w:pPr>
            <w:r>
              <w:rPr>
                <w:rFonts w:ascii="Arial" w:cs="Arial" w:eastAsia="Arial" w:hAnsi="Arial"/>
                <w:sz w:val="18"/>
                <w:szCs w:val="18"/>
                <w:color w:val="auto"/>
              </w:rPr>
              <w:t>Subtotal</w:t>
            </w:r>
          </w:p>
        </w:tc>
        <w:tc>
          <w:tcPr>
            <w:tcW w:w="7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5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0"/>
              </w:rPr>
              <w:t>31,218</w:t>
            </w:r>
          </w:p>
        </w:tc>
        <w:tc>
          <w:tcPr>
            <w:tcW w:w="140" w:type="dxa"/>
            <w:vAlign w:val="bottom"/>
            <w:tcBorders>
              <w:left w:val="single" w:sz="8" w:color="CCEECC"/>
            </w:tcBorders>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18,117</w:t>
            </w:r>
          </w:p>
        </w:tc>
        <w:tc>
          <w:tcPr>
            <w:tcW w:w="60" w:type="dxa"/>
            <w:vAlign w:val="bottom"/>
            <w:shd w:val="clear" w:color="auto" w:fill="CCEECC"/>
          </w:tcPr>
          <w:p>
            <w:pPr>
              <w:spacing w:after="0"/>
              <w:rPr>
                <w:sz w:val="18"/>
                <w:szCs w:val="18"/>
                <w:color w:val="auto"/>
              </w:rPr>
            </w:pPr>
          </w:p>
        </w:tc>
      </w:tr>
      <w:tr>
        <w:trPr>
          <w:trHeight w:val="216"/>
        </w:trPr>
        <w:tc>
          <w:tcPr>
            <w:tcW w:w="298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8"/>
              </w:rPr>
              <w:t>(7,287)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(5,056)</w:t>
            </w:r>
          </w:p>
        </w:tc>
      </w:tr>
      <w:tr>
        <w:trPr>
          <w:trHeight w:val="20"/>
        </w:trPr>
        <w:tc>
          <w:tcPr>
            <w:tcW w:w="2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980" w:type="dxa"/>
            <w:vAlign w:val="bottom"/>
            <w:shd w:val="clear" w:color="auto" w:fill="CCEECC"/>
          </w:tcPr>
          <w:p>
            <w:pPr>
              <w:ind w:left="220"/>
              <w:spacing w:after="0"/>
              <w:rPr>
                <w:sz w:val="20"/>
                <w:szCs w:val="20"/>
                <w:color w:val="auto"/>
              </w:rPr>
            </w:pPr>
            <w:r>
              <w:rPr>
                <w:rFonts w:ascii="Arial" w:cs="Arial" w:eastAsia="Arial" w:hAnsi="Arial"/>
                <w:sz w:val="18"/>
                <w:szCs w:val="18"/>
                <w:color w:val="auto"/>
              </w:rPr>
              <w:t>Property and equipment, net</w:t>
            </w:r>
          </w:p>
        </w:tc>
        <w:tc>
          <w:tcPr>
            <w:tcW w:w="1680" w:type="dxa"/>
            <w:vAlign w:val="bottom"/>
            <w:gridSpan w:val="2"/>
            <w:shd w:val="clear" w:color="auto" w:fill="CCEECC"/>
          </w:tcPr>
          <w:p>
            <w:pPr>
              <w:jc w:val="right"/>
              <w:ind w:right="7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0"/>
              </w:rPr>
              <w:t>23,931</w:t>
            </w:r>
          </w:p>
        </w:tc>
        <w:tc>
          <w:tcPr>
            <w:tcW w:w="460" w:type="dxa"/>
            <w:vAlign w:val="bottom"/>
            <w:tcBorders>
              <w:left w:val="single" w:sz="8" w:color="CCEECC"/>
            </w:tcBorders>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13,061</w:t>
            </w:r>
          </w:p>
        </w:tc>
      </w:tr>
      <w:tr>
        <w:trPr>
          <w:trHeight w:val="20"/>
        </w:trPr>
        <w:tc>
          <w:tcPr>
            <w:tcW w:w="2980" w:type="dxa"/>
            <w:vAlign w:val="bottom"/>
            <w:tcBorders>
              <w:top w:val="single" w:sz="8" w:color="CCEECC"/>
            </w:tcBorders>
            <w:shd w:val="clear" w:color="auto" w:fill="CCEECC"/>
          </w:tcPr>
          <w:p>
            <w:pPr>
              <w:spacing w:after="0" w:line="20" w:lineRule="exact"/>
              <w:rPr>
                <w:sz w:val="1"/>
                <w:szCs w:val="1"/>
                <w:color w:val="auto"/>
              </w:rPr>
            </w:pPr>
          </w:p>
        </w:tc>
        <w:tc>
          <w:tcPr>
            <w:tcW w:w="740" w:type="dxa"/>
            <w:vAlign w:val="bottom"/>
            <w:tcBorders>
              <w:top w:val="single" w:sz="8" w:color="CCEECC"/>
            </w:tcBorders>
            <w:shd w:val="clear" w:color="auto" w:fill="CCEE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$2,230 and $1,751 for the years ended December 31, 2011 and 2010,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WEBSITE DEVELOPMENT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developing their website and web-based products, which consisted of the following as of December 31, 2011 and 2010:</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2010</w:t>
            </w:r>
          </w:p>
        </w:tc>
      </w:tr>
      <w:tr>
        <w:trPr>
          <w:trHeight w:val="210"/>
        </w:trPr>
        <w:tc>
          <w:tcPr>
            <w:tcW w:w="3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OptimizeRx web development</w:t>
            </w:r>
          </w:p>
        </w:tc>
        <w:tc>
          <w:tcPr>
            <w:tcW w:w="340" w:type="dxa"/>
            <w:vAlign w:val="bottom"/>
            <w:shd w:val="clear" w:color="auto" w:fill="CCEEC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4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154,133</w:t>
            </w:r>
          </w:p>
        </w:tc>
      </w:tr>
      <w:tr>
        <w:trPr>
          <w:trHeight w:val="216"/>
        </w:trPr>
        <w:tc>
          <w:tcPr>
            <w:tcW w:w="3720" w:type="dxa"/>
            <w:vAlign w:val="bottom"/>
          </w:tcPr>
          <w:p>
            <w:pPr>
              <w:ind w:left="80"/>
              <w:spacing w:after="0"/>
              <w:rPr>
                <w:sz w:val="20"/>
                <w:szCs w:val="20"/>
                <w:color w:val="auto"/>
              </w:rPr>
            </w:pPr>
            <w:r>
              <w:rPr>
                <w:rFonts w:ascii="Arial" w:cs="Arial" w:eastAsia="Arial" w:hAnsi="Arial"/>
                <w:sz w:val="18"/>
                <w:szCs w:val="18"/>
                <w:color w:val="auto"/>
              </w:rPr>
              <w:t>SampleMD web development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553,877</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332,107</w:t>
            </w:r>
          </w:p>
        </w:tc>
      </w:tr>
      <w:tr>
        <w:trPr>
          <w:trHeight w:val="210"/>
        </w:trPr>
        <w:tc>
          <w:tcPr>
            <w:tcW w:w="3720" w:type="dxa"/>
            <w:vAlign w:val="bottom"/>
            <w:shd w:val="clear" w:color="auto" w:fill="CCEECC"/>
          </w:tcPr>
          <w:p>
            <w:pPr>
              <w:ind w:left="220"/>
              <w:spacing w:after="0"/>
              <w:rPr>
                <w:sz w:val="20"/>
                <w:szCs w:val="20"/>
                <w:color w:val="auto"/>
              </w:rPr>
            </w:pPr>
            <w:r>
              <w:rPr>
                <w:rFonts w:ascii="Arial" w:cs="Arial" w:eastAsia="Arial" w:hAnsi="Arial"/>
                <w:sz w:val="18"/>
                <w:szCs w:val="18"/>
                <w:color w:val="auto"/>
              </w:rPr>
              <w:t>Subtotal, web development costs</w:t>
            </w:r>
          </w:p>
        </w:tc>
        <w:tc>
          <w:tcPr>
            <w:tcW w:w="340" w:type="dxa"/>
            <w:vAlign w:val="bottom"/>
            <w:shd w:val="clear" w:color="auto" w:fill="CCEECC"/>
          </w:tcPr>
          <w:p>
            <w:pPr>
              <w:spacing w:after="0"/>
              <w:rPr>
                <w:sz w:val="18"/>
                <w:szCs w:val="18"/>
                <w:color w:val="auto"/>
              </w:rPr>
            </w:pPr>
          </w:p>
        </w:tc>
        <w:tc>
          <w:tcPr>
            <w:tcW w:w="11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708,010</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486,240</w:t>
            </w:r>
          </w:p>
        </w:tc>
      </w:tr>
      <w:tr>
        <w:trPr>
          <w:trHeight w:val="216"/>
        </w:trPr>
        <w:tc>
          <w:tcPr>
            <w:tcW w:w="3720" w:type="dxa"/>
            <w:vAlign w:val="bottom"/>
          </w:tcPr>
          <w:p>
            <w:pPr>
              <w:ind w:left="8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(183,429)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(95,050)</w:t>
            </w:r>
          </w:p>
        </w:tc>
      </w:tr>
      <w:tr>
        <w:trPr>
          <w:trHeight w:val="216"/>
        </w:trPr>
        <w:tc>
          <w:tcPr>
            <w:tcW w:w="3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Impairment</w:t>
            </w:r>
          </w:p>
        </w:tc>
        <w:tc>
          <w:tcPr>
            <w:tcW w:w="340" w:type="dxa"/>
            <w:vAlign w:val="bottom"/>
            <w:shd w:val="clear" w:color="auto" w:fill="CCEECC"/>
          </w:tcPr>
          <w:p>
            <w:pPr>
              <w:spacing w:after="0"/>
              <w:rPr>
                <w:sz w:val="18"/>
                <w:szCs w:val="18"/>
                <w:color w:val="auto"/>
              </w:rPr>
            </w:pPr>
          </w:p>
        </w:tc>
        <w:tc>
          <w:tcPr>
            <w:tcW w:w="11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(59,083)</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(59,083)</w:t>
            </w:r>
          </w:p>
        </w:tc>
      </w:tr>
      <w:tr>
        <w:trPr>
          <w:trHeight w:val="20"/>
        </w:trPr>
        <w:tc>
          <w:tcPr>
            <w:tcW w:w="3720" w:type="dxa"/>
            <w:vAlign w:val="bottom"/>
            <w:shd w:val="clear" w:color="auto" w:fill="CCEE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CC"/>
            </w:tcBorders>
            <w:shd w:val="clear" w:color="auto" w:fill="000000"/>
          </w:tcPr>
          <w:p>
            <w:pPr>
              <w:spacing w:after="0" w:line="20" w:lineRule="exact"/>
              <w:rPr>
                <w:sz w:val="1"/>
                <w:szCs w:val="1"/>
                <w:color w:val="auto"/>
              </w:rPr>
            </w:pPr>
          </w:p>
        </w:tc>
        <w:tc>
          <w:tcPr>
            <w:tcW w:w="80" w:type="dxa"/>
            <w:vAlign w:val="bottom"/>
            <w:shd w:val="clear" w:color="auto" w:fill="CCEE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CCEECC"/>
            </w:tcBorders>
            <w:shd w:val="clear" w:color="auto" w:fill="000000"/>
          </w:tcPr>
          <w:p>
            <w:pPr>
              <w:spacing w:after="0" w:line="20" w:lineRule="exact"/>
              <w:rPr>
                <w:sz w:val="1"/>
                <w:szCs w:val="1"/>
                <w:color w:val="auto"/>
              </w:rPr>
            </w:pPr>
          </w:p>
        </w:tc>
      </w:tr>
      <w:tr>
        <w:trPr>
          <w:trHeight w:val="210"/>
        </w:trPr>
        <w:tc>
          <w:tcPr>
            <w:tcW w:w="3720" w:type="dxa"/>
            <w:vAlign w:val="bottom"/>
          </w:tcPr>
          <w:p>
            <w:pPr>
              <w:ind w:left="220"/>
              <w:spacing w:after="0"/>
              <w:rPr>
                <w:sz w:val="20"/>
                <w:szCs w:val="20"/>
                <w:color w:val="auto"/>
              </w:rPr>
            </w:pPr>
            <w:r>
              <w:rPr>
                <w:rFonts w:ascii="Arial" w:cs="Arial" w:eastAsia="Arial" w:hAnsi="Arial"/>
                <w:sz w:val="18"/>
                <w:szCs w:val="18"/>
                <w:color w:val="auto"/>
              </w:rPr>
              <w:t>Web development costs, net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465,498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332,107</w:t>
            </w:r>
          </w:p>
        </w:tc>
      </w:tr>
      <w:tr>
        <w:trPr>
          <w:trHeight w:val="20"/>
        </w:trPr>
        <w:tc>
          <w:tcPr>
            <w:tcW w:w="3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began amortizing the OptimizeRx website costs, using the straight-line method over the estimated useful life of 5 years, once it was put into service in December of 2007. During the year end December 31, 2009, the Company began a new web-based project and the related programming and development costs have been capitalized for the SampleMD website. The project was completed in mid-December 2010 and no amortization was recorded in 2010. Amortization began on the straight-line method in January 2011 over the period of five years. Although the Project was completed in mid-December, the Company continues to enhance and upgrade the website. Monthly payments for these upgrades have been capitalized and amortization was started by quarter in 2011. The Company determined that the original OptimizeRx website was no longer useful so the remaining unamortized balance of $59,083 was impaired as of December 31, 2010. Amortization expense was $88,379 and $30,827 for the years ended December 31, 2011 and 2010,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capitalized costs in purchasing the SampleMD patent, which consisted of the following as of December 31, 2011 and 2010:</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2010</w:t>
            </w:r>
          </w:p>
        </w:tc>
        <w:tc>
          <w:tcPr>
            <w:tcW w:w="60" w:type="dxa"/>
            <w:vAlign w:val="bottom"/>
            <w:tcBorders>
              <w:bottom w:val="single" w:sz="8" w:color="auto"/>
            </w:tcBorders>
          </w:tcPr>
          <w:p>
            <w:pPr>
              <w:spacing w:after="0"/>
              <w:rPr>
                <w:sz w:val="20"/>
                <w:szCs w:val="20"/>
                <w:color w:val="auto"/>
              </w:rPr>
            </w:pPr>
          </w:p>
        </w:tc>
      </w:tr>
      <w:tr>
        <w:trPr>
          <w:trHeight w:val="210"/>
        </w:trPr>
        <w:tc>
          <w:tcPr>
            <w:tcW w:w="3340" w:type="dxa"/>
            <w:vAlign w:val="bottom"/>
            <w:shd w:val="clear" w:color="auto" w:fill="CCEECC"/>
          </w:tcPr>
          <w:p>
            <w:pPr>
              <w:ind w:left="80"/>
              <w:spacing w:after="0"/>
              <w:rPr>
                <w:sz w:val="20"/>
                <w:szCs w:val="20"/>
                <w:color w:val="auto"/>
              </w:rPr>
            </w:pPr>
            <w:r>
              <w:rPr>
                <w:rFonts w:ascii="Arial" w:cs="Arial" w:eastAsia="Arial" w:hAnsi="Arial"/>
                <w:sz w:val="18"/>
                <w:szCs w:val="18"/>
                <w:color w:val="auto"/>
              </w:rPr>
              <w:t>Patent rights and intangible assets</w:t>
            </w:r>
          </w:p>
        </w:tc>
        <w:tc>
          <w:tcPr>
            <w:tcW w:w="7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460" w:type="dxa"/>
            <w:vAlign w:val="bottom"/>
            <w:tcBorders>
              <w:left w:val="single" w:sz="8" w:color="CCEECC"/>
            </w:tcBorders>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930,000</w:t>
            </w:r>
          </w:p>
        </w:tc>
      </w:tr>
      <w:tr>
        <w:trPr>
          <w:trHeight w:val="216"/>
        </w:trPr>
        <w:tc>
          <w:tcPr>
            <w:tcW w:w="3340" w:type="dxa"/>
            <w:vAlign w:val="bottom"/>
          </w:tcPr>
          <w:p>
            <w:pPr>
              <w:ind w:left="80"/>
              <w:spacing w:after="0"/>
              <w:rPr>
                <w:sz w:val="20"/>
                <w:szCs w:val="20"/>
                <w:color w:val="auto"/>
              </w:rPr>
            </w:pPr>
            <w:r>
              <w:rPr>
                <w:rFonts w:ascii="Arial" w:cs="Arial" w:eastAsia="Arial" w:hAnsi="Arial"/>
                <w:sz w:val="18"/>
                <w:szCs w:val="18"/>
                <w:color w:val="auto"/>
              </w:rPr>
              <w:t>Accumulated amortization</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(82,059)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(27,353)</w:t>
            </w:r>
          </w:p>
        </w:tc>
      </w:tr>
      <w:tr>
        <w:trPr>
          <w:trHeight w:val="20"/>
        </w:trPr>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3340" w:type="dxa"/>
            <w:vAlign w:val="bottom"/>
            <w:shd w:val="clear" w:color="auto" w:fill="CCEECC"/>
          </w:tcPr>
          <w:p>
            <w:pPr>
              <w:ind w:left="220"/>
              <w:spacing w:after="0"/>
              <w:rPr>
                <w:sz w:val="20"/>
                <w:szCs w:val="20"/>
                <w:color w:val="auto"/>
              </w:rPr>
            </w:pPr>
            <w:r>
              <w:rPr>
                <w:rFonts w:ascii="Arial" w:cs="Arial" w:eastAsia="Arial" w:hAnsi="Arial"/>
                <w:sz w:val="18"/>
                <w:szCs w:val="18"/>
                <w:color w:val="auto"/>
                <w:w w:val="99"/>
              </w:rPr>
              <w:t>Patent rights and intangible assets, net</w:t>
            </w:r>
          </w:p>
        </w:tc>
        <w:tc>
          <w:tcPr>
            <w:tcW w:w="7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847,941</w:t>
            </w:r>
          </w:p>
        </w:tc>
        <w:tc>
          <w:tcPr>
            <w:tcW w:w="460" w:type="dxa"/>
            <w:vAlign w:val="bottom"/>
            <w:tcBorders>
              <w:left w:val="single" w:sz="8" w:color="CCEECC"/>
            </w:tcBorders>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902,647</w:t>
            </w:r>
          </w:p>
        </w:tc>
      </w:tr>
      <w:tr>
        <w:trPr>
          <w:trHeight w:val="20"/>
        </w:trPr>
        <w:tc>
          <w:tcPr>
            <w:tcW w:w="3340" w:type="dxa"/>
            <w:vAlign w:val="bottom"/>
            <w:tcBorders>
              <w:top w:val="single" w:sz="8" w:color="CCEECC"/>
            </w:tcBorders>
            <w:shd w:val="clear" w:color="auto" w:fill="CCEECC"/>
          </w:tcPr>
          <w:p>
            <w:pPr>
              <w:spacing w:after="0" w:line="20" w:lineRule="exact"/>
              <w:rPr>
                <w:sz w:val="1"/>
                <w:szCs w:val="1"/>
                <w:color w:val="auto"/>
              </w:rPr>
            </w:pPr>
          </w:p>
        </w:tc>
        <w:tc>
          <w:tcPr>
            <w:tcW w:w="38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$54,706 and $27,353 for the years ended December 31, 2011 and 2010,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w w:val="95"/>
              </w:rPr>
              <w:t>NOTE 7</w:t>
            </w: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 ACCRUED EXPENSES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20" w:type="dxa"/>
            <w:vAlign w:val="bottom"/>
            <w:gridSpan w:val="3"/>
          </w:tcPr>
          <w:p>
            <w:pPr>
              <w:spacing w:after="0"/>
              <w:rPr>
                <w:sz w:val="20"/>
                <w:szCs w:val="20"/>
                <w:color w:val="auto"/>
              </w:rPr>
            </w:pPr>
            <w:r>
              <w:rPr>
                <w:rFonts w:ascii="Arial" w:cs="Arial" w:eastAsia="Arial" w:hAnsi="Arial"/>
                <w:sz w:val="18"/>
                <w:szCs w:val="18"/>
                <w:color w:val="auto"/>
                <w:w w:val="91"/>
              </w:rPr>
              <w:t>Accrued expenses consisted of the following as of December 31, 2011 and 2010: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2010</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Accrued payroll taxes</w:t>
            </w:r>
          </w:p>
        </w:tc>
        <w:tc>
          <w:tcPr>
            <w:tcW w:w="1040" w:type="dxa"/>
            <w:vAlign w:val="bottom"/>
            <w:gridSpan w:val="2"/>
            <w:shd w:val="clear" w:color="auto" w:fill="CCEECC"/>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Accrued bonuses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Accrued audit fees</w:t>
            </w:r>
          </w:p>
        </w:tc>
        <w:tc>
          <w:tcPr>
            <w:tcW w:w="100" w:type="dxa"/>
            <w:vAlign w:val="bottom"/>
            <w:tcBorders>
              <w:bottom w:val="single" w:sz="8" w:color="CCEECC"/>
            </w:tcBorders>
            <w:shd w:val="clear" w:color="auto" w:fill="CCEECC"/>
          </w:tcPr>
          <w:p>
            <w:pPr>
              <w:spacing w:after="0"/>
              <w:rPr>
                <w:sz w:val="18"/>
                <w:szCs w:val="18"/>
                <w:color w:val="auto"/>
              </w:rPr>
            </w:pPr>
          </w:p>
        </w:tc>
        <w:tc>
          <w:tcPr>
            <w:tcW w:w="940" w:type="dxa"/>
            <w:vAlign w:val="bottom"/>
            <w:tcBorders>
              <w:bottom w:val="single" w:sz="8" w:color="auto"/>
            </w:tcBorders>
            <w:shd w:val="clear" w:color="auto" w:fill="CCEECC"/>
          </w:tcPr>
          <w:p>
            <w:pPr>
              <w:spacing w:after="0"/>
              <w:rPr>
                <w:sz w:val="18"/>
                <w:szCs w:val="18"/>
                <w:color w:val="auto"/>
              </w:rPr>
            </w:pPr>
          </w:p>
        </w:tc>
        <w:tc>
          <w:tcPr>
            <w:tcW w:w="5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Borders>
              <w:bottom w:val="single" w:sz="8" w:color="CCEECC"/>
            </w:tcBorders>
            <w:shd w:val="clear" w:color="auto" w:fill="CCEECC"/>
          </w:tcPr>
          <w:p>
            <w:pPr>
              <w:spacing w:after="0"/>
              <w:rPr>
                <w:sz w:val="18"/>
                <w:szCs w:val="18"/>
                <w:color w:val="auto"/>
              </w:rPr>
            </w:pPr>
          </w:p>
        </w:tc>
        <w:tc>
          <w:tcPr>
            <w:tcW w:w="80" w:type="dxa"/>
            <w:vAlign w:val="bottom"/>
            <w:tcBorders>
              <w:bottom w:val="single" w:sz="8" w:color="CCEECC"/>
            </w:tcBorders>
            <w:shd w:val="clear" w:color="auto" w:fill="CCEECC"/>
          </w:tcPr>
          <w:p>
            <w:pPr>
              <w:spacing w:after="0"/>
              <w:rPr>
                <w:sz w:val="18"/>
                <w:szCs w:val="18"/>
                <w:color w:val="auto"/>
              </w:rPr>
            </w:pPr>
          </w:p>
        </w:tc>
        <w:tc>
          <w:tcPr>
            <w:tcW w:w="320" w:type="dxa"/>
            <w:vAlign w:val="bottom"/>
            <w:tcBorders>
              <w:bottom w:val="single" w:sz="8" w:color="auto"/>
            </w:tcBorders>
            <w:shd w:val="clear" w:color="auto" w:fill="CCEECC"/>
          </w:tcPr>
          <w:p>
            <w:pPr>
              <w:spacing w:after="0"/>
              <w:rPr>
                <w:sz w:val="18"/>
                <w:szCs w:val="18"/>
                <w:color w:val="auto"/>
              </w:rPr>
            </w:pPr>
          </w:p>
        </w:tc>
        <w:tc>
          <w:tcPr>
            <w:tcW w:w="11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Total accrued expenses</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66,000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Arial" w:cs="Arial" w:eastAsia="Arial" w:hAnsi="Arial"/>
                <w:sz w:val="18"/>
                <w:szCs w:val="18"/>
                <w:color w:val="auto"/>
                <w:w w:val="95"/>
              </w:rPr>
              <w:t>NOTE 8</w:t>
            </w:r>
          </w:p>
        </w:tc>
        <w:tc>
          <w:tcPr>
            <w:tcW w:w="5280" w:type="dxa"/>
            <w:vAlign w:val="bottom"/>
            <w:gridSpan w:val="2"/>
            <w:vMerge w:val="restart"/>
          </w:tcPr>
          <w:p>
            <w:pPr>
              <w:ind w:left="20"/>
              <w:spacing w:after="0"/>
              <w:rPr>
                <w:sz w:val="20"/>
                <w:szCs w:val="20"/>
                <w:color w:val="auto"/>
              </w:rPr>
            </w:pPr>
            <w:r>
              <w:rPr>
                <w:rFonts w:ascii="Arial" w:cs="Arial" w:eastAsia="Arial" w:hAnsi="Arial"/>
                <w:sz w:val="18"/>
                <w:szCs w:val="18"/>
                <w:color w:val="auto"/>
              </w:rPr>
              <w:t>– DEFERRED REVENUE</w:t>
            </w: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 w:type="dxa"/>
            <w:vAlign w:val="bottom"/>
            <w:vMerge w:val="continue"/>
          </w:tcPr>
          <w:p>
            <w:pPr>
              <w:spacing w:after="0"/>
              <w:rPr>
                <w:sz w:val="24"/>
                <w:szCs w:val="24"/>
                <w:color w:val="auto"/>
              </w:rPr>
            </w:pPr>
          </w:p>
        </w:tc>
        <w:tc>
          <w:tcPr>
            <w:tcW w:w="5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signed several contracts with customers for coupon redemptions on their website. The payments are not taken into revenue until the end user redeems the coupon. The redemptions are tracked via their website and revenues are recorded as the coupons are redeemed. Additionally, customer setup contracts that have been paid in full are deferred until the Company has completed the obligations of the contacts. Deferred revenue was $330,605 and $225,720 as of December 31, 2011 and 2010,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NOTE PAYABLE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5, 2010, the Company issued a secured promissory note of $1,000,000 to an investor. The note accrues interest at 6% per annum, compounded on April and October each year and will be paid at the earliest of September 12, 2012 or earlier at the Company’s option. No principal or interest payments are required until the maturity date. Accrued interest was $15,000 as of December 31, 2010. The terms of the note also granted 1,000,000 stock warrants and 1,000,000 contingent stock warrants in connection with the financing. The non-contingent warrants were valued at $1,007,992 with $1,000,000 recorded as debt discount and $7,992 recorded as interest expense in the December 31, 2010 year. The Company analyzed the assumptions associated with the contingent warrants and determined that the performance objectives were not likely to occur in 2011. Therefore, no value was recorded for the contingent warrants. The debt discount derived from the warrant valuation of $1,000,000 was being amortized over the life of the loan using the straight-line method and charged to interest expense.</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16, 2011, the Company entered into a Termination Agreement, in conjunction with a Securities Purchase Agreement with another investor. Under the Termination Agreement, the Company paid off the $1,000,000 promissory note, plus all accrued interest to date. Upon payment of the note, the contingent stock warrants obligation was terminated and the remaining debt discount from the warrant valuation was expensed. See Note 12.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2011. There were 14,192,496 and 13,606,676 common shares issued and outstanding at December 31, 2011 and December 31,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2010, the Company issued 12,000 shares of common stock for services valued at $27,960.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20, 2010, the Company issued 66,000 shares to board members for services valued at $130,680.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on May 27, 2010, the Company issued 25,000 for services valued at $42,500.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27, 2010, the Company issued 100,000 shares of common stock for services valued at $100,000.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October 14, 2010, the Company issued 24,000 shares to a board member or advisory services valued at $30,000.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2010, the Company issued 410,520 shares of common stock to satisfy $700,000 of preferred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February 19, 2010, 75,400 stock warrants were exercised for 43,039 shares of common stock in a cashless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19, 2010, 25,000 stock warrants were exercised for 25,000 shares of common stock for total proceeds of $8,750.</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2011, the Company entered into a settlement agreement with Midtown Partners. Under the settlement agreement, the Company will pay Midtown Partners $57,500 and grant 100,000 shares of its common stock. The cost of the settlement has been recorded as equity issuance costs. As a result of the settlement, the litigation in the Eastern District of Michigan was dismissed.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2011, the Company issued 475,820 shares of common stock to satisfy $500,000 of preferred dividends.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 (Continued)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1,500,000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6, 2010, the Company issued 25,000 stock warrants for services to a consultant with an exercise price of $0.35. The warrants were valued on the grant date using the Black-Scholes option-pricing model with the following assumptions: dividend yield of 0%, expected volatility of 259%, risk-free interest rate of 2.6% and expected life of 60 months. The Company recognized consulting expense of $57,425.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4, 2010, the Company issued 3,000,000 stock warrants in connection with the preferred stock issuance with an exercise price of $3.00. The warrants were valued on the grant date using the Black-Scholes option-pricing model with the following assumptions: dividend yield of 0%, expected volatility of 260%, risk-free interest rate of 2.65% and expected life of 84 months. The Company recorded the stock warrants valued at $5,096,472 in an equity transaction.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2010, the Company issued 100,000 stock warrants for services to a consultant with an exercise price of $2.50. The warrants were valued on the grant date using the Black-Scholes option-pricing model with the following assumptions: dividend yield of 0%, expected volatility of 241%, risk-free interest rate of 1.26% and expected life of 60 months. During the quarter ended September 30, 2011, these warrants were cancelled as part of a settlement with the consultant.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5, 2010, the Company issued 1,000,000 stock warrants and 1,000,000 contingent stock warrants in connection with the Company’s debt financing with an exercise price of $2.25. The warrants were valued on the grant date using the Black-Scholes option-pricing model with the following assumptions: dividend yield of 0%, expected volatility of 241%, risk-free interest rate of 1.83% and expected life of 84 months. The non-contingent warrants were valued at $1,007,992 with $1,000,000 recorded as debt discount and $7,992 recorded as interest expense in the current period. The company analyzed the assumptions associated with the contingent warrants and determined that the performance objectives were not likely to occur in 2011. Therefore, no value was recorded for the contingent warrants. The Company recorded $250,000 and $83,333 of the debt discount as interest expense in the six months ended June 30, 2011 and the year ended December 31, 2010. On September 16, 2011, the Company entered into a Termination Agreement and Release with the investor. As part of the agreement, the 1,000,000 contingent stock warrants were terminated and the remaining debt discount interest from the warrant valuation was expensed. See Note 9.</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2010, the Company issued 200,000 stock options to acquire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with an exercise price of $1.81. The options were valued on the grant date using the Black-Scholes option-pricing model with the following assumptions: dividend yield of 0%, expected volatility of 262%, risk-free interest rate of 2.54% and expected life of 60 months. The Company capitalized $360,000 as patent rights for these options.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Company recognized share-based compensation expense of $6,203 during the year ended December 31, 2010 with the remaining balance of $18,610 to be recognized in 2011. $6,203 has been recognized in the year ended September December 31, 2011.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27, 2011, the Company issued 100,000 stock options to an individual at an exercise price of $0.73. The options were valued on the grant date using the Black-Scholes option-pricing model with the following assumptions: dividend yield of 0%, expected volatility of 221%, risk-free interest rate of 2.06% and expected life of 60 months. The agreement is for a period of six months. The Company recognized expenses of $83,992 during the year ended December 31, 2011.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will be recognized over the following five months.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there was a warrant issued to purchase 1,000,000 shares of common stock at an exercise price of $3 for a period of seven years. In addition, 15 preferred shares were issued to an investor for $1,500,000. The 15 shares are convertible to 1,500,000 shares of common stock and bear a 10% cumulative dividend. Based on the fair values of the preferred stock and common stock warrants on the issue date, $855,460 was allocated to preferred stock and $644,540 was allocated to the common stock warrants. See Note 11.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during the year ended December 31, 2011. The remaining balance will be recognized over the following year.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$8,346 during the year ended December 31, 2011. The remaining balance will be recognized over the following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Minimum annual rent is as follows for the initial term of the lease: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16"/>
        </w:trPr>
        <w:tc>
          <w:tcPr>
            <w:tcW w:w="4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02"/>
        </w:trPr>
        <w:tc>
          <w:tcPr>
            <w:tcW w:w="4000" w:type="dxa"/>
            <w:vAlign w:val="bottom"/>
          </w:tcPr>
          <w:p>
            <w:pPr>
              <w:spacing w:after="0"/>
              <w:rPr>
                <w:sz w:val="17"/>
                <w:szCs w:val="17"/>
                <w:color w:val="auto"/>
              </w:rPr>
            </w:pPr>
          </w:p>
        </w:tc>
        <w:tc>
          <w:tcPr>
            <w:tcW w:w="2260" w:type="dxa"/>
            <w:vAlign w:val="bottom"/>
            <w:shd w:val="clear" w:color="auto" w:fill="CCEECC"/>
          </w:tcPr>
          <w:p>
            <w:pPr>
              <w:ind w:left="60"/>
              <w:spacing w:after="0" w:line="201" w:lineRule="exact"/>
              <w:rPr>
                <w:sz w:val="20"/>
                <w:szCs w:val="20"/>
                <w:color w:val="auto"/>
              </w:rPr>
            </w:pPr>
            <w:r>
              <w:rPr>
                <w:rFonts w:ascii="Arial" w:cs="Arial" w:eastAsia="Arial" w:hAnsi="Arial"/>
                <w:sz w:val="18"/>
                <w:szCs w:val="18"/>
                <w:color w:val="auto"/>
              </w:rPr>
              <w:t>Year ended December 31,</w:t>
            </w:r>
          </w:p>
        </w:tc>
        <w:tc>
          <w:tcPr>
            <w:tcW w:w="10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4060" w:type="dxa"/>
            <w:vAlign w:val="bottom"/>
            <w:tcBorders>
              <w:left w:val="single" w:sz="8" w:color="CCEECC"/>
            </w:tcBorders>
          </w:tcPr>
          <w:p>
            <w:pPr>
              <w:spacing w:after="0"/>
              <w:rPr>
                <w:sz w:val="17"/>
                <w:szCs w:val="17"/>
                <w:color w:val="auto"/>
              </w:rPr>
            </w:pPr>
          </w:p>
        </w:tc>
      </w:tr>
      <w:tr>
        <w:trPr>
          <w:trHeight w:val="230"/>
        </w:trPr>
        <w:tc>
          <w:tcPr>
            <w:tcW w:w="4000" w:type="dxa"/>
            <w:vAlign w:val="bottom"/>
          </w:tcPr>
          <w:p>
            <w:pPr>
              <w:spacing w:after="0"/>
              <w:rPr>
                <w:sz w:val="20"/>
                <w:szCs w:val="20"/>
                <w:color w:val="auto"/>
              </w:rPr>
            </w:pPr>
          </w:p>
        </w:tc>
        <w:tc>
          <w:tcPr>
            <w:tcW w:w="2260" w:type="dxa"/>
            <w:vAlign w:val="bottom"/>
            <w:shd w:val="clear" w:color="auto" w:fill="CCEECC"/>
          </w:tcPr>
          <w:p>
            <w:pPr>
              <w:ind w:left="60"/>
              <w:spacing w:after="0"/>
              <w:rPr>
                <w:sz w:val="20"/>
                <w:szCs w:val="20"/>
                <w:color w:val="auto"/>
              </w:rPr>
            </w:pPr>
            <w:r>
              <w:rPr>
                <w:rFonts w:ascii="Arial" w:cs="Arial" w:eastAsia="Arial" w:hAnsi="Arial"/>
                <w:sz w:val="18"/>
                <w:szCs w:val="18"/>
                <w:color w:val="auto"/>
              </w:rPr>
              <w:t>2012</w:t>
            </w:r>
          </w:p>
        </w:tc>
        <w:tc>
          <w:tcPr>
            <w:tcW w:w="360" w:type="dxa"/>
            <w:vAlign w:val="bottom"/>
            <w:gridSpan w:val="2"/>
            <w:shd w:val="clear" w:color="auto" w:fill="CCEECC"/>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60,591</w:t>
            </w:r>
          </w:p>
        </w:tc>
        <w:tc>
          <w:tcPr>
            <w:tcW w:w="4060" w:type="dxa"/>
            <w:vAlign w:val="bottom"/>
            <w:tcBorders>
              <w:left w:val="single" w:sz="8" w:color="CCEECC"/>
            </w:tcBorders>
          </w:tcPr>
          <w:p>
            <w:pPr>
              <w:spacing w:after="0"/>
              <w:rPr>
                <w:sz w:val="20"/>
                <w:szCs w:val="20"/>
                <w:color w:val="auto"/>
              </w:rPr>
            </w:pPr>
          </w:p>
        </w:tc>
      </w:tr>
      <w:tr>
        <w:trPr>
          <w:trHeight w:val="216"/>
        </w:trPr>
        <w:tc>
          <w:tcPr>
            <w:tcW w:w="400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60,591</w:t>
            </w:r>
          </w:p>
        </w:tc>
        <w:tc>
          <w:tcPr>
            <w:tcW w:w="406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260" w:type="dxa"/>
            <w:vAlign w:val="bottom"/>
            <w:shd w:val="clear" w:color="auto" w:fill="CCEECC"/>
          </w:tcPr>
          <w:p>
            <w:pPr>
              <w:ind w:left="6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55,542</w:t>
            </w:r>
          </w:p>
        </w:tc>
        <w:tc>
          <w:tcPr>
            <w:tcW w:w="4060" w:type="dxa"/>
            <w:vAlign w:val="bottom"/>
            <w:tcBorders>
              <w:left w:val="single" w:sz="8" w:color="CCEECC"/>
            </w:tcBorders>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406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50"/>
        </w:trPr>
        <w:tc>
          <w:tcPr>
            <w:tcW w:w="4000" w:type="dxa"/>
            <w:vAlign w:val="bottom"/>
          </w:tcPr>
          <w:p>
            <w:pPr>
              <w:spacing w:after="0"/>
              <w:rPr>
                <w:sz w:val="21"/>
                <w:szCs w:val="21"/>
                <w:color w:val="auto"/>
              </w:rPr>
            </w:pPr>
          </w:p>
        </w:tc>
        <w:tc>
          <w:tcPr>
            <w:tcW w:w="2260" w:type="dxa"/>
            <w:vAlign w:val="bottom"/>
            <w:shd w:val="clear" w:color="auto" w:fill="CCEECC"/>
          </w:tcPr>
          <w:p>
            <w:pPr>
              <w:ind w:left="60"/>
              <w:spacing w:after="0"/>
              <w:rPr>
                <w:sz w:val="20"/>
                <w:szCs w:val="20"/>
                <w:color w:val="auto"/>
              </w:rPr>
            </w:pPr>
            <w:r>
              <w:rPr>
                <w:rFonts w:ascii="Arial" w:cs="Arial" w:eastAsia="Arial" w:hAnsi="Arial"/>
                <w:sz w:val="18"/>
                <w:szCs w:val="18"/>
                <w:color w:val="auto"/>
              </w:rPr>
              <w:t>Total lease commitment</w:t>
            </w:r>
          </w:p>
        </w:tc>
        <w:tc>
          <w:tcPr>
            <w:tcW w:w="100" w:type="dxa"/>
            <w:vAlign w:val="bottom"/>
            <w:shd w:val="clear" w:color="auto" w:fill="CCEECC"/>
          </w:tcPr>
          <w:p>
            <w:pPr>
              <w:spacing w:after="0"/>
              <w:rPr>
                <w:sz w:val="21"/>
                <w:szCs w:val="21"/>
                <w:color w:val="auto"/>
              </w:rPr>
            </w:pPr>
          </w:p>
        </w:tc>
        <w:tc>
          <w:tcPr>
            <w:tcW w:w="26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176,724</w:t>
            </w:r>
          </w:p>
        </w:tc>
        <w:tc>
          <w:tcPr>
            <w:tcW w:w="4060" w:type="dxa"/>
            <w:vAlign w:val="bottom"/>
            <w:tcBorders>
              <w:left w:val="single" w:sz="8" w:color="CCEECC"/>
            </w:tcBorders>
          </w:tcPr>
          <w:p>
            <w:pPr>
              <w:spacing w:after="0"/>
              <w:rPr>
                <w:sz w:val="21"/>
                <w:szCs w:val="21"/>
                <w:color w:val="auto"/>
              </w:rPr>
            </w:pPr>
          </w:p>
        </w:tc>
      </w:tr>
      <w:tr>
        <w:trPr>
          <w:trHeight w:val="636"/>
        </w:trPr>
        <w:tc>
          <w:tcPr>
            <w:tcW w:w="4000" w:type="dxa"/>
            <w:vAlign w:val="bottom"/>
            <w:tcBorders>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8"/>
                <w:szCs w:val="18"/>
                <w:color w:val="auto"/>
              </w:rPr>
              <w:t>F-15</w:t>
            </w:r>
          </w:p>
        </w:tc>
        <w:tc>
          <w:tcPr>
            <w:tcW w:w="100" w:type="dxa"/>
            <w:vAlign w:val="bottom"/>
            <w:tcBorders>
              <w:top w:val="single" w:sz="8" w:color="CCEECC"/>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 See Notes 6, 10 and 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15 –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Company had three major customers that accounted for 47% and 60% of the Company’s revenues for the years ended December 31, 2011 2010,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continue to maintain these relationships with the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2011, the Company incurred a net loss of approximately $2,120,000 and therefore has no tax liability. The Company began operations in 2007 and has previous net operating loss carry-forwards of $11,359,000 through December 31, 2010. The cumulative loss of $13,479,000 will be carried forward and can be used through the year 2031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 ended December 31, 2011 and 2010:</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380" w:type="dxa"/>
            <w:vAlign w:val="bottom"/>
            <w:vMerge w:val="restart"/>
          </w:tcPr>
          <w:p>
            <w:pPr>
              <w:spacing w:after="0"/>
              <w:rPr>
                <w:sz w:val="20"/>
                <w:szCs w:val="20"/>
                <w:color w:val="auto"/>
              </w:rPr>
            </w:pPr>
            <w:r>
              <w:rPr>
                <w:rFonts w:ascii="Arial" w:cs="Arial" w:eastAsia="Arial" w:hAnsi="Arial"/>
                <w:sz w:val="18"/>
                <w:szCs w:val="18"/>
                <w:color w:val="auto"/>
              </w:rPr>
              <w:t>Federal income tax benefit attributable to:</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2010</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Current operations</w:t>
            </w:r>
          </w:p>
        </w:tc>
        <w:tc>
          <w:tcPr>
            <w:tcW w:w="6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721,000</w:t>
            </w:r>
          </w:p>
        </w:tc>
        <w:tc>
          <w:tcPr>
            <w:tcW w:w="460" w:type="dxa"/>
            <w:vAlign w:val="bottom"/>
            <w:tcBorders>
              <w:left w:val="single" w:sz="8" w:color="CCEECC"/>
            </w:tcBorders>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386,000</w:t>
            </w: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(386,000)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80" w:type="dxa"/>
            <w:vAlign w:val="bottom"/>
            <w:shd w:val="clear" w:color="auto" w:fill="CCEECC"/>
          </w:tcPr>
          <w:p>
            <w:pPr>
              <w:ind w:left="420"/>
              <w:spacing w:after="0"/>
              <w:rPr>
                <w:sz w:val="20"/>
                <w:szCs w:val="20"/>
                <w:color w:val="auto"/>
              </w:rPr>
            </w:pPr>
            <w:r>
              <w:rPr>
                <w:rFonts w:ascii="Arial" w:cs="Arial" w:eastAsia="Arial" w:hAnsi="Arial"/>
                <w:sz w:val="18"/>
                <w:szCs w:val="18"/>
                <w:color w:val="auto"/>
              </w:rPr>
              <w:t>Net provision for federal income tax</w:t>
            </w:r>
          </w:p>
        </w:tc>
        <w:tc>
          <w:tcPr>
            <w:tcW w:w="6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60" w:type="dxa"/>
            <w:vAlign w:val="bottom"/>
            <w:tcBorders>
              <w:left w:val="single" w:sz="8" w:color="CCEECC"/>
            </w:tcBorders>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2011 and 2010:</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060" w:type="dxa"/>
            <w:vAlign w:val="bottom"/>
            <w:vMerge w:val="restart"/>
          </w:tcPr>
          <w:p>
            <w:pPr>
              <w:jc w:val="center"/>
              <w:ind w:right="590"/>
              <w:spacing w:after="0"/>
              <w:rPr>
                <w:sz w:val="20"/>
                <w:szCs w:val="20"/>
                <w:color w:val="auto"/>
              </w:rPr>
            </w:pPr>
            <w:r>
              <w:rPr>
                <w:rFonts w:ascii="Arial" w:cs="Arial" w:eastAsia="Arial" w:hAnsi="Arial"/>
                <w:sz w:val="18"/>
                <w:szCs w:val="18"/>
                <w:color w:val="auto"/>
                <w:w w:val="89"/>
              </w:rPr>
              <w:t>Deferred tax asset attributable to:</w:t>
            </w:r>
          </w:p>
        </w:tc>
        <w:tc>
          <w:tcPr>
            <w:tcW w:w="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2010</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CC"/>
          </w:tcPr>
          <w:p>
            <w:pPr>
              <w:jc w:val="center"/>
              <w:ind w:right="550"/>
              <w:spacing w:after="0"/>
              <w:rPr>
                <w:sz w:val="20"/>
                <w:szCs w:val="20"/>
                <w:color w:val="auto"/>
              </w:rPr>
            </w:pPr>
            <w:r>
              <w:rPr>
                <w:rFonts w:ascii="Arial" w:cs="Arial" w:eastAsia="Arial" w:hAnsi="Arial"/>
                <w:sz w:val="18"/>
                <w:szCs w:val="18"/>
                <w:color w:val="auto"/>
                <w:w w:val="91"/>
              </w:rPr>
              <w:t>Net operating loss carryover</w:t>
            </w:r>
          </w:p>
        </w:tc>
        <w:tc>
          <w:tcPr>
            <w:tcW w:w="100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4,583,000</w:t>
            </w:r>
          </w:p>
        </w:tc>
        <w:tc>
          <w:tcPr>
            <w:tcW w:w="460" w:type="dxa"/>
            <w:vAlign w:val="bottom"/>
            <w:tcBorders>
              <w:left w:val="single" w:sz="8" w:color="CCEECC"/>
            </w:tcBorders>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3,862,000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(4,583,000)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(3,862,000)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60" w:type="dxa"/>
            <w:vAlign w:val="bottom"/>
            <w:shd w:val="clear" w:color="auto" w:fill="CCEECC"/>
          </w:tcPr>
          <w:p>
            <w:pPr>
              <w:jc w:val="center"/>
              <w:ind w:right="570"/>
              <w:spacing w:after="0"/>
              <w:rPr>
                <w:sz w:val="20"/>
                <w:szCs w:val="20"/>
                <w:color w:val="auto"/>
              </w:rPr>
            </w:pPr>
            <w:r>
              <w:rPr>
                <w:rFonts w:ascii="Arial" w:cs="Arial" w:eastAsia="Arial" w:hAnsi="Arial"/>
                <w:sz w:val="18"/>
                <w:szCs w:val="18"/>
                <w:color w:val="auto"/>
                <w:w w:val="88"/>
              </w:rPr>
              <w:t>Net deferred tax asset</w:t>
            </w:r>
          </w:p>
        </w:tc>
        <w:tc>
          <w:tcPr>
            <w:tcW w:w="100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60" w:type="dxa"/>
            <w:vAlign w:val="bottom"/>
            <w:tcBorders>
              <w:left w:val="single" w:sz="8" w:color="CCEECC"/>
            </w:tcBorders>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CC"/>
            </w:tcBorders>
            <w:shd w:val="clear" w:color="auto" w:fill="CCEECC"/>
          </w:tcPr>
          <w:p>
            <w:pPr>
              <w:spacing w:after="0" w:line="20" w:lineRule="exact"/>
              <w:rPr>
                <w:sz w:val="1"/>
                <w:szCs w:val="1"/>
                <w:color w:val="auto"/>
              </w:rPr>
            </w:pPr>
          </w:p>
        </w:tc>
        <w:tc>
          <w:tcPr>
            <w:tcW w:w="66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CC"/>
              <w:left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$13,479,000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years ended December 31, 2011 and 2010:</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2010</w:t>
            </w:r>
          </w:p>
        </w:tc>
      </w:tr>
      <w:tr>
        <w:trPr>
          <w:trHeight w:val="210"/>
        </w:trPr>
        <w:tc>
          <w:tcPr>
            <w:tcW w:w="2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w:t>
            </w:r>
          </w:p>
        </w:tc>
        <w:tc>
          <w:tcPr>
            <w:tcW w:w="114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544,071</w:t>
            </w:r>
          </w:p>
        </w:tc>
        <w:tc>
          <w:tcPr>
            <w:tcW w:w="4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130,060</w:t>
            </w:r>
          </w:p>
        </w:tc>
      </w:tr>
      <w:tr>
        <w:trPr>
          <w:trHeight w:val="216"/>
        </w:trPr>
        <w:tc>
          <w:tcPr>
            <w:tcW w:w="29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342,503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267,421</w:t>
            </w:r>
          </w:p>
        </w:tc>
      </w:tr>
      <w:tr>
        <w:trPr>
          <w:trHeight w:val="216"/>
        </w:trPr>
        <w:tc>
          <w:tcPr>
            <w:tcW w:w="2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8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185,174</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355,928</w:t>
            </w:r>
          </w:p>
        </w:tc>
      </w:tr>
      <w:tr>
        <w:trPr>
          <w:trHeight w:val="216"/>
        </w:trPr>
        <w:tc>
          <w:tcPr>
            <w:tcW w:w="2920" w:type="dxa"/>
            <w:vAlign w:val="bottom"/>
          </w:tcPr>
          <w:p>
            <w:pPr>
              <w:ind w:left="80"/>
              <w:spacing w:after="0"/>
              <w:rPr>
                <w:sz w:val="20"/>
                <w:szCs w:val="20"/>
                <w:color w:val="auto"/>
              </w:rPr>
            </w:pPr>
            <w:r>
              <w:rPr>
                <w:rFonts w:ascii="Arial" w:cs="Arial" w:eastAsia="Arial" w:hAnsi="Arial"/>
                <w:sz w:val="18"/>
                <w:szCs w:val="18"/>
                <w:color w:val="auto"/>
              </w:rPr>
              <w:t>Salaries, wages and benefits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864,655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676,828</w:t>
            </w:r>
          </w:p>
        </w:tc>
      </w:tr>
      <w:tr>
        <w:trPr>
          <w:trHeight w:val="216"/>
        </w:trPr>
        <w:tc>
          <w:tcPr>
            <w:tcW w:w="2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8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37,868</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292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591,226</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457,060</w:t>
            </w:r>
          </w:p>
        </w:tc>
      </w:tr>
      <w:tr>
        <w:trPr>
          <w:trHeight w:val="230"/>
        </w:trPr>
        <w:tc>
          <w:tcPr>
            <w:tcW w:w="2920" w:type="dxa"/>
            <w:vAlign w:val="bottom"/>
            <w:shd w:val="clear" w:color="auto" w:fill="CCEECC"/>
          </w:tcPr>
          <w:p>
            <w:pPr>
              <w:ind w:left="220"/>
              <w:spacing w:after="0"/>
              <w:rPr>
                <w:sz w:val="20"/>
                <w:szCs w:val="20"/>
                <w:color w:val="auto"/>
              </w:rPr>
            </w:pPr>
            <w:r>
              <w:rPr>
                <w:rFonts w:ascii="Arial" w:cs="Arial" w:eastAsia="Arial" w:hAnsi="Arial"/>
                <w:sz w:val="18"/>
                <w:szCs w:val="18"/>
                <w:color w:val="auto"/>
              </w:rPr>
              <w:t>Total Operating Expenses</w:t>
            </w:r>
          </w:p>
        </w:tc>
        <w:tc>
          <w:tcPr>
            <w:tcW w:w="114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2,565,497</w:t>
            </w:r>
          </w:p>
        </w:tc>
        <w:tc>
          <w:tcPr>
            <w:tcW w:w="4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1,917,297</w:t>
            </w:r>
          </w:p>
        </w:tc>
      </w:tr>
      <w:tr>
        <w:trPr>
          <w:trHeight w:val="20"/>
        </w:trPr>
        <w:tc>
          <w:tcPr>
            <w:tcW w:w="2920" w:type="dxa"/>
            <w:vAlign w:val="bottom"/>
            <w:tcBorders>
              <w:top w:val="single" w:sz="8" w:color="CCEECC"/>
            </w:tcBorders>
            <w:shd w:val="clear" w:color="auto" w:fill="CCEECC"/>
          </w:tcPr>
          <w:p>
            <w:pPr>
              <w:spacing w:after="0" w:line="20" w:lineRule="exact"/>
              <w:rPr>
                <w:sz w:val="1"/>
                <w:szCs w:val="1"/>
                <w:color w:val="auto"/>
              </w:rPr>
            </w:pPr>
          </w:p>
        </w:tc>
        <w:tc>
          <w:tcPr>
            <w:tcW w:w="80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CC"/>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OTHER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10, 2011, the Company filed a demand for arbitration (“the Demand”) with the American Arbitration Association (“AAA”) in Oakland County, Michigan based on a dispute between the Company and Beringea surrounding a capital raising agreement that was entered into on October 15, 2009. The Company alleged that Beringea failed to perform under the agreement, misinformed it about “tail” liability, and wrongfully withheld funds due to it. The Company sought $400,000 in damages. On September 30, 2011 a final arbitration award (“the Award”) was issued by an AAA arbitrator. The Company was awarded $202,500 from Beringea on the claim of gross negligence, and $88,000 for the costs of enforcing the agreement, including attorneys’ fees and expenses. All other claims sought in the Demand were denied.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24, 2011, the Company received $233,715 for the award. This represents the $290,500 gross award less attorneys’ fees and expenses. The gross award is included in other income for the year ended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19 – 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20 – 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855-10, the Company has analyzed its operations subsequent to December 31, 2011 through the date these financial statements were issued and has determined that it does not have any material subsequent events to disclose in these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307 and 308 of Regulation S-K during the fiscal year ending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Securities Exchange Act of 1934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treasurer, as appropriate to allow timely decisions regarding required disclosure.</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2011. Based on their evaluation, they concluded that our disclosure controls and procedures were effective.</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(as defined in Rules 13a-15(f) and 15d-15(f) of the Exchange Act). Our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we conducted an evaluation of the effectiveness of our internal control over financial reporting based on the criteria established in Internal Control – Integrated Framework issued by the Committee of Sponsoring Organizations of the Treadway Commission (“COSO”). Based on this evaluation under the criteria established in Internal Control – Integrated Framework, our management concluded that our internal control over financial reporting was effective as of December 31, 2011.</w:t>
      </w:r>
    </w:p>
    <w:p>
      <w:pPr>
        <w:spacing w:after="0" w:line="17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temporary rules of the Securities and Exchange Commission that permit us to provide only management’s report in this annual report.</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2011.</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40" w:type="dxa"/>
            <w:vAlign w:val="bottom"/>
          </w:tcPr>
          <w:p>
            <w:pPr>
              <w:spacing w:after="0"/>
              <w:rPr>
                <w:sz w:val="20"/>
                <w:szCs w:val="20"/>
                <w:color w:val="auto"/>
              </w:rPr>
            </w:pPr>
          </w:p>
        </w:tc>
        <w:tc>
          <w:tcPr>
            <w:tcW w:w="40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Position(s) and Office(s) Held</w:t>
            </w:r>
          </w:p>
        </w:tc>
      </w:tr>
      <w:tr>
        <w:trPr>
          <w:trHeight w:val="195"/>
        </w:trPr>
        <w:tc>
          <w:tcPr>
            <w:tcW w:w="2000" w:type="dxa"/>
            <w:vAlign w:val="bottom"/>
            <w:shd w:val="clear" w:color="auto" w:fill="CCEECC"/>
          </w:tcPr>
          <w:p>
            <w:pPr>
              <w:spacing w:after="0"/>
              <w:rPr>
                <w:sz w:val="16"/>
                <w:szCs w:val="16"/>
                <w:color w:val="auto"/>
              </w:rPr>
            </w:pPr>
          </w:p>
        </w:tc>
        <w:tc>
          <w:tcPr>
            <w:tcW w:w="160" w:type="dxa"/>
            <w:vAlign w:val="bottom"/>
            <w:shd w:val="clear" w:color="auto" w:fill="CCEECC"/>
          </w:tcPr>
          <w:p>
            <w:pPr>
              <w:spacing w:after="0"/>
              <w:rPr>
                <w:sz w:val="16"/>
                <w:szCs w:val="16"/>
                <w:color w:val="auto"/>
              </w:rPr>
            </w:pPr>
          </w:p>
        </w:tc>
        <w:tc>
          <w:tcPr>
            <w:tcW w:w="1620" w:type="dxa"/>
            <w:vAlign w:val="bottom"/>
            <w:shd w:val="clear" w:color="auto" w:fill="CCEECC"/>
          </w:tcPr>
          <w:p>
            <w:pPr>
              <w:spacing w:after="0"/>
              <w:rPr>
                <w:sz w:val="16"/>
                <w:szCs w:val="16"/>
                <w:color w:val="auto"/>
              </w:rPr>
            </w:pPr>
          </w:p>
        </w:tc>
        <w:tc>
          <w:tcPr>
            <w:tcW w:w="140" w:type="dxa"/>
            <w:vAlign w:val="bottom"/>
            <w:shd w:val="clear" w:color="auto" w:fill="CCEECC"/>
          </w:tcPr>
          <w:p>
            <w:pPr>
              <w:spacing w:after="0"/>
              <w:rPr>
                <w:sz w:val="16"/>
                <w:szCs w:val="16"/>
                <w:color w:val="auto"/>
              </w:rPr>
            </w:pPr>
          </w:p>
        </w:tc>
        <w:tc>
          <w:tcPr>
            <w:tcW w:w="4060" w:type="dxa"/>
            <w:vAlign w:val="bottom"/>
            <w:shd w:val="clear" w:color="auto" w:fill="CCEECC"/>
          </w:tcPr>
          <w:p>
            <w:pPr>
              <w:ind w:left="100"/>
              <w:spacing w:after="0" w:line="195" w:lineRule="exact"/>
              <w:rPr>
                <w:sz w:val="20"/>
                <w:szCs w:val="20"/>
                <w:color w:val="auto"/>
              </w:rPr>
            </w:pPr>
            <w:r>
              <w:rPr>
                <w:rFonts w:ascii="Arial" w:cs="Arial" w:eastAsia="Arial" w:hAnsi="Arial"/>
                <w:sz w:val="18"/>
                <w:szCs w:val="18"/>
                <w:color w:val="auto"/>
              </w:rPr>
              <w:t>President, Chief Executive Officer, Secretary and</w:t>
            </w:r>
          </w:p>
        </w:tc>
      </w:tr>
      <w:tr>
        <w:trPr>
          <w:trHeight w:val="230"/>
        </w:trPr>
        <w:tc>
          <w:tcPr>
            <w:tcW w:w="20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David Lester</w:t>
            </w:r>
          </w:p>
        </w:tc>
        <w:tc>
          <w:tcPr>
            <w:tcW w:w="1780" w:type="dxa"/>
            <w:vAlign w:val="bottom"/>
            <w:gridSpan w:val="2"/>
            <w:shd w:val="clear" w:color="auto" w:fill="CCEECC"/>
          </w:tcPr>
          <w:p>
            <w:pPr>
              <w:jc w:val="center"/>
              <w:ind w:left="70"/>
              <w:spacing w:after="0"/>
              <w:rPr>
                <w:sz w:val="20"/>
                <w:szCs w:val="20"/>
                <w:color w:val="auto"/>
              </w:rPr>
            </w:pPr>
            <w:r>
              <w:rPr>
                <w:rFonts w:ascii="Arial" w:cs="Arial" w:eastAsia="Arial" w:hAnsi="Arial"/>
                <w:sz w:val="18"/>
                <w:szCs w:val="18"/>
                <w:color w:val="auto"/>
                <w:w w:val="89"/>
              </w:rPr>
              <w:t>54</w:t>
            </w:r>
          </w:p>
        </w:tc>
        <w:tc>
          <w:tcPr>
            <w:tcW w:w="140" w:type="dxa"/>
            <w:vAlign w:val="bottom"/>
            <w:shd w:val="clear" w:color="auto" w:fill="CCEECC"/>
          </w:tcPr>
          <w:p>
            <w:pPr>
              <w:spacing w:after="0"/>
              <w:rPr>
                <w:sz w:val="20"/>
                <w:szCs w:val="20"/>
                <w:color w:val="auto"/>
              </w:rPr>
            </w:pPr>
          </w:p>
        </w:tc>
        <w:tc>
          <w:tcPr>
            <w:tcW w:w="4060" w:type="dxa"/>
            <w:vAlign w:val="bottom"/>
            <w:shd w:val="clear" w:color="auto" w:fill="CCEECC"/>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ind w:left="100"/>
              <w:spacing w:after="0"/>
              <w:rPr>
                <w:sz w:val="20"/>
                <w:szCs w:val="20"/>
                <w:color w:val="auto"/>
              </w:rPr>
            </w:pPr>
            <w:r>
              <w:rPr>
                <w:rFonts w:ascii="Arial" w:cs="Arial" w:eastAsia="Arial" w:hAnsi="Arial"/>
                <w:sz w:val="18"/>
                <w:szCs w:val="18"/>
                <w:color w:val="auto"/>
              </w:rPr>
              <w:t>David A. Harrell</w:t>
            </w:r>
          </w:p>
        </w:tc>
        <w:tc>
          <w:tcPr>
            <w:tcW w:w="178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46</w:t>
            </w:r>
          </w:p>
        </w:tc>
        <w:tc>
          <w:tcPr>
            <w:tcW w:w="14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Arial" w:cs="Arial" w:eastAsia="Arial" w:hAnsi="Arial"/>
                <w:sz w:val="18"/>
                <w:szCs w:val="18"/>
                <w:color w:val="auto"/>
              </w:rPr>
              <w:t>Chairman and Director</w:t>
            </w:r>
          </w:p>
        </w:tc>
      </w:tr>
      <w:tr>
        <w:trPr>
          <w:trHeight w:val="216"/>
        </w:trPr>
        <w:tc>
          <w:tcPr>
            <w:tcW w:w="20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Terence J. Hamilton</w:t>
            </w:r>
          </w:p>
        </w:tc>
        <w:tc>
          <w:tcPr>
            <w:tcW w:w="1780" w:type="dxa"/>
            <w:vAlign w:val="bottom"/>
            <w:gridSpan w:val="2"/>
            <w:shd w:val="clear" w:color="auto" w:fill="CCEECC"/>
          </w:tcPr>
          <w:p>
            <w:pPr>
              <w:jc w:val="center"/>
              <w:ind w:left="70"/>
              <w:spacing w:after="0"/>
              <w:rPr>
                <w:sz w:val="20"/>
                <w:szCs w:val="20"/>
                <w:color w:val="auto"/>
              </w:rPr>
            </w:pPr>
            <w:r>
              <w:rPr>
                <w:rFonts w:ascii="Arial" w:cs="Arial" w:eastAsia="Arial" w:hAnsi="Arial"/>
                <w:sz w:val="18"/>
                <w:szCs w:val="18"/>
                <w:color w:val="auto"/>
                <w:w w:val="89"/>
              </w:rPr>
              <w:t>46</w:t>
            </w:r>
          </w:p>
        </w:tc>
        <w:tc>
          <w:tcPr>
            <w:tcW w:w="140" w:type="dxa"/>
            <w:vAlign w:val="bottom"/>
            <w:shd w:val="clear" w:color="auto" w:fill="CCEECC"/>
          </w:tcPr>
          <w:p>
            <w:pPr>
              <w:spacing w:after="0"/>
              <w:rPr>
                <w:sz w:val="18"/>
                <w:szCs w:val="18"/>
                <w:color w:val="auto"/>
              </w:rPr>
            </w:pPr>
          </w:p>
        </w:tc>
        <w:tc>
          <w:tcPr>
            <w:tcW w:w="4060" w:type="dxa"/>
            <w:vAlign w:val="bottom"/>
            <w:shd w:val="clear" w:color="auto" w:fill="CCEECC"/>
          </w:tcPr>
          <w:p>
            <w:pPr>
              <w:ind w:left="100"/>
              <w:spacing w:after="0"/>
              <w:rPr>
                <w:sz w:val="20"/>
                <w:szCs w:val="20"/>
                <w:color w:val="auto"/>
              </w:rPr>
            </w:pPr>
            <w:r>
              <w:rPr>
                <w:rFonts w:ascii="Arial" w:cs="Arial" w:eastAsia="Arial" w:hAnsi="Arial"/>
                <w:sz w:val="18"/>
                <w:szCs w:val="18"/>
                <w:color w:val="auto"/>
              </w:rPr>
              <w:t>Director and VP of Sales</w:t>
            </w:r>
          </w:p>
        </w:tc>
      </w:tr>
      <w:tr>
        <w:trPr>
          <w:trHeight w:val="230"/>
        </w:trPr>
        <w:tc>
          <w:tcPr>
            <w:tcW w:w="2000" w:type="dxa"/>
            <w:vAlign w:val="bottom"/>
          </w:tcPr>
          <w:p>
            <w:pPr>
              <w:ind w:left="100"/>
              <w:spacing w:after="0"/>
              <w:rPr>
                <w:sz w:val="20"/>
                <w:szCs w:val="20"/>
                <w:color w:val="auto"/>
              </w:rPr>
            </w:pPr>
            <w:r>
              <w:rPr>
                <w:rFonts w:ascii="Arial" w:cs="Arial" w:eastAsia="Arial" w:hAnsi="Arial"/>
                <w:sz w:val="18"/>
                <w:szCs w:val="18"/>
                <w:color w:val="auto"/>
              </w:rPr>
              <w:t>Shad Shastney</w:t>
            </w:r>
          </w:p>
        </w:tc>
        <w:tc>
          <w:tcPr>
            <w:tcW w:w="178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43</w:t>
            </w:r>
          </w:p>
        </w:tc>
        <w:tc>
          <w:tcPr>
            <w:tcW w:w="140" w:type="dxa"/>
            <w:vAlign w:val="bottom"/>
          </w:tcPr>
          <w:p>
            <w:pPr>
              <w:spacing w:after="0"/>
              <w:rPr>
                <w:sz w:val="20"/>
                <w:szCs w:val="20"/>
                <w:color w:val="auto"/>
              </w:rPr>
            </w:pPr>
          </w:p>
        </w:tc>
        <w:tc>
          <w:tcPr>
            <w:tcW w:w="406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Shad Shastney</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Stastney is a member of and the chief operating officer for Vicis Capital, LLC, a company he jointly founded in 2004. Mr. Stastney also jointly founded Victus Capital Management LLC in 2001. From 1998 through 2001, Mr. Stastney worked with the corporate equity derivatives origination group of Credit Suisse First Boston, eventually becoming a Director and Head of the Hedging and Monetization Group, a joint venture between derivatives and equity capital markets. In 1997, he joined Credit Suisse First Boston’s then-combined convertible/equity derivative origination desk. From 1994 to 1997, he was an associate at the law firm of Cravath, Swaine and Moore in New York, in their tax and corporate groups, focusing on derivatives. He graduated from the University of North Dakota in 1990 with a B.A. in Political Theory and History, and from the Yale Law School in 1994 with a J.D. degree focusing on corporate and tax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four (4)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the best of our knowledge, during the past ten years, none of the following occurred with respect to a present or former director, executive officer, or employee: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do not have an audit committee financial expert because of the size of our company and our board of directors at this time. We believe that we do not require an audit committee financial expert at this time because we retain outside consultants who possess these attributes as needed.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2011, the board of directors:</w:t>
      </w:r>
    </w:p>
    <w:p>
      <w:pPr>
        <w:spacing w:after="0" w:line="225" w:lineRule="exact"/>
        <w:rPr>
          <w:sz w:val="20"/>
          <w:szCs w:val="20"/>
          <w:color w:val="auto"/>
        </w:rPr>
      </w:pPr>
    </w:p>
    <w:p>
      <w:pPr>
        <w:ind w:left="540" w:hanging="167"/>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3" w:lineRule="exact"/>
        <w:rPr>
          <w:rFonts w:ascii="Arial" w:cs="Arial" w:eastAsia="Arial" w:hAnsi="Arial"/>
          <w:sz w:val="18"/>
          <w:szCs w:val="18"/>
          <w:color w:val="auto"/>
        </w:rPr>
      </w:pPr>
    </w:p>
    <w:p>
      <w:pPr>
        <w:ind w:left="540" w:hanging="167"/>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3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2011 to be included in this Annual Report on Form 10-K and filed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16(a) Beneficial Ownership Reporting Compliance</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the following persons have failed to file, on a timely basis, the identified reports required by Section 16(a) of the Exchange Act during fiscal year ended December 31,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ind w:left="480"/>
              <w:spacing w:after="0"/>
              <w:rPr>
                <w:sz w:val="20"/>
                <w:szCs w:val="20"/>
                <w:color w:val="auto"/>
              </w:rPr>
            </w:pPr>
            <w:r>
              <w:rPr>
                <w:rFonts w:ascii="Arial" w:cs="Arial" w:eastAsia="Arial" w:hAnsi="Arial"/>
                <w:sz w:val="18"/>
                <w:szCs w:val="18"/>
                <w:color w:val="auto"/>
                <w:w w:val="97"/>
              </w:rPr>
              <w:t>Number of</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Transactions not</w:t>
            </w:r>
          </w:p>
        </w:tc>
        <w:tc>
          <w:tcPr>
            <w:tcW w:w="80" w:type="dxa"/>
            <w:vAlign w:val="bottom"/>
          </w:tcPr>
          <w:p>
            <w:pPr>
              <w:spacing w:after="0"/>
              <w:rPr>
                <w:sz w:val="18"/>
                <w:szCs w:val="18"/>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Known failures to</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2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Name and principal position</w:t>
            </w:r>
          </w:p>
        </w:tc>
        <w:tc>
          <w:tcPr>
            <w:tcW w:w="80" w:type="dxa"/>
            <w:vAlign w:val="bottom"/>
          </w:tcPr>
          <w:p>
            <w:pPr>
              <w:spacing w:after="0"/>
              <w:rPr>
                <w:sz w:val="20"/>
                <w:szCs w:val="20"/>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late reports</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timely reported</w:t>
            </w:r>
          </w:p>
        </w:tc>
        <w:tc>
          <w:tcPr>
            <w:tcW w:w="80" w:type="dxa"/>
            <w:vAlign w:val="bottom"/>
          </w:tcPr>
          <w:p>
            <w:pPr>
              <w:spacing w:after="0"/>
              <w:rPr>
                <w:sz w:val="20"/>
                <w:szCs w:val="20"/>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file a required form</w:t>
            </w:r>
          </w:p>
        </w:tc>
        <w:tc>
          <w:tcPr>
            <w:tcW w:w="1720" w:type="dxa"/>
            <w:vAlign w:val="bottom"/>
          </w:tcPr>
          <w:p>
            <w:pPr>
              <w:spacing w:after="0"/>
              <w:rPr>
                <w:sz w:val="20"/>
                <w:szCs w:val="20"/>
                <w:color w:val="auto"/>
              </w:rPr>
            </w:pPr>
          </w:p>
        </w:tc>
      </w:tr>
      <w:tr>
        <w:trPr>
          <w:trHeight w:val="195"/>
        </w:trPr>
        <w:tc>
          <w:tcPr>
            <w:tcW w:w="1720" w:type="dxa"/>
            <w:vAlign w:val="bottom"/>
          </w:tcPr>
          <w:p>
            <w:pPr>
              <w:spacing w:after="0"/>
              <w:rPr>
                <w:sz w:val="16"/>
                <w:szCs w:val="16"/>
                <w:color w:val="auto"/>
              </w:rPr>
            </w:pPr>
          </w:p>
        </w:tc>
        <w:tc>
          <w:tcPr>
            <w:tcW w:w="2480" w:type="dxa"/>
            <w:vAlign w:val="bottom"/>
            <w:shd w:val="clear" w:color="auto" w:fill="CCEECC"/>
          </w:tcPr>
          <w:p>
            <w:pPr>
              <w:ind w:left="100"/>
              <w:spacing w:after="0" w:line="195" w:lineRule="exact"/>
              <w:rPr>
                <w:sz w:val="20"/>
                <w:szCs w:val="20"/>
                <w:color w:val="auto"/>
              </w:rPr>
            </w:pPr>
            <w:r>
              <w:rPr>
                <w:rFonts w:ascii="Arial" w:cs="Arial" w:eastAsia="Arial" w:hAnsi="Arial"/>
                <w:sz w:val="18"/>
                <w:szCs w:val="18"/>
                <w:color w:val="auto"/>
              </w:rPr>
              <w:t>David Lester</w:t>
            </w:r>
          </w:p>
        </w:tc>
        <w:tc>
          <w:tcPr>
            <w:tcW w:w="80" w:type="dxa"/>
            <w:vAlign w:val="bottom"/>
            <w:shd w:val="clear" w:color="auto" w:fill="CCEECC"/>
          </w:tcPr>
          <w:p>
            <w:pPr>
              <w:spacing w:after="0"/>
              <w:rPr>
                <w:sz w:val="16"/>
                <w:szCs w:val="16"/>
                <w:color w:val="auto"/>
              </w:rPr>
            </w:pPr>
          </w:p>
        </w:tc>
        <w:tc>
          <w:tcPr>
            <w:tcW w:w="1320" w:type="dxa"/>
            <w:vAlign w:val="bottom"/>
            <w:shd w:val="clear" w:color="auto" w:fill="CCEECC"/>
          </w:tcPr>
          <w:p>
            <w:pPr>
              <w:spacing w:after="0"/>
              <w:rPr>
                <w:sz w:val="16"/>
                <w:szCs w:val="16"/>
                <w:color w:val="auto"/>
              </w:rPr>
            </w:pPr>
          </w:p>
        </w:tc>
        <w:tc>
          <w:tcPr>
            <w:tcW w:w="46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176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1720" w:type="dxa"/>
            <w:vAlign w:val="bottom"/>
            <w:shd w:val="clear" w:color="auto" w:fill="CCEECC"/>
          </w:tcPr>
          <w:p>
            <w:pPr>
              <w:spacing w:after="0"/>
              <w:rPr>
                <w:sz w:val="16"/>
                <w:szCs w:val="16"/>
                <w:color w:val="auto"/>
              </w:rPr>
            </w:pPr>
          </w:p>
        </w:tc>
        <w:tc>
          <w:tcPr>
            <w:tcW w:w="1720" w:type="dxa"/>
            <w:vAlign w:val="bottom"/>
          </w:tcPr>
          <w:p>
            <w:pPr>
              <w:spacing w:after="0"/>
              <w:rPr>
                <w:sz w:val="16"/>
                <w:szCs w:val="16"/>
                <w:color w:val="auto"/>
              </w:rPr>
            </w:pPr>
          </w:p>
        </w:tc>
      </w:tr>
      <w:tr>
        <w:trPr>
          <w:trHeight w:val="244"/>
        </w:trPr>
        <w:tc>
          <w:tcPr>
            <w:tcW w:w="1720" w:type="dxa"/>
            <w:vAlign w:val="bottom"/>
          </w:tcPr>
          <w:p>
            <w:pPr>
              <w:spacing w:after="0"/>
              <w:rPr>
                <w:sz w:val="21"/>
                <w:szCs w:val="21"/>
                <w:color w:val="auto"/>
              </w:rPr>
            </w:pPr>
          </w:p>
        </w:tc>
        <w:tc>
          <w:tcPr>
            <w:tcW w:w="24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CEO and Director</w:t>
            </w:r>
          </w:p>
        </w:tc>
        <w:tc>
          <w:tcPr>
            <w:tcW w:w="80" w:type="dxa"/>
            <w:vAlign w:val="bottom"/>
            <w:shd w:val="clear" w:color="auto" w:fill="CCEECC"/>
          </w:tcPr>
          <w:p>
            <w:pPr>
              <w:spacing w:after="0"/>
              <w:rPr>
                <w:sz w:val="21"/>
                <w:szCs w:val="21"/>
                <w:color w:val="auto"/>
              </w:rPr>
            </w:pPr>
          </w:p>
        </w:tc>
        <w:tc>
          <w:tcPr>
            <w:tcW w:w="1320" w:type="dxa"/>
            <w:vAlign w:val="bottom"/>
            <w:shd w:val="clear" w:color="auto" w:fill="CCEECC"/>
          </w:tcPr>
          <w:p>
            <w:pPr>
              <w:spacing w:after="0"/>
              <w:rPr>
                <w:sz w:val="21"/>
                <w:szCs w:val="21"/>
                <w:color w:val="auto"/>
              </w:rPr>
            </w:pPr>
          </w:p>
        </w:tc>
        <w:tc>
          <w:tcPr>
            <w:tcW w:w="4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21"/>
                <w:szCs w:val="21"/>
                <w:color w:val="auto"/>
              </w:rPr>
            </w:pPr>
          </w:p>
        </w:tc>
      </w:tr>
      <w:tr>
        <w:trPr>
          <w:trHeight w:val="202"/>
        </w:trPr>
        <w:tc>
          <w:tcPr>
            <w:tcW w:w="1720" w:type="dxa"/>
            <w:vAlign w:val="bottom"/>
          </w:tcPr>
          <w:p>
            <w:pPr>
              <w:spacing w:after="0"/>
              <w:rPr>
                <w:sz w:val="17"/>
                <w:szCs w:val="17"/>
                <w:color w:val="auto"/>
              </w:rPr>
            </w:pPr>
          </w:p>
        </w:tc>
        <w:tc>
          <w:tcPr>
            <w:tcW w:w="2480" w:type="dxa"/>
            <w:vAlign w:val="bottom"/>
          </w:tcPr>
          <w:p>
            <w:pPr>
              <w:ind w:left="100"/>
              <w:spacing w:after="0" w:line="201" w:lineRule="exact"/>
              <w:rPr>
                <w:sz w:val="20"/>
                <w:szCs w:val="20"/>
                <w:color w:val="auto"/>
              </w:rPr>
            </w:pPr>
            <w:r>
              <w:rPr>
                <w:rFonts w:ascii="Arial" w:cs="Arial" w:eastAsia="Arial" w:hAnsi="Arial"/>
                <w:sz w:val="18"/>
                <w:szCs w:val="18"/>
                <w:color w:val="auto"/>
              </w:rPr>
              <w:t>David A. Harrell</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44"/>
        </w:trPr>
        <w:tc>
          <w:tcPr>
            <w:tcW w:w="1720" w:type="dxa"/>
            <w:vAlign w:val="bottom"/>
          </w:tcPr>
          <w:p>
            <w:pPr>
              <w:spacing w:after="0"/>
              <w:rPr>
                <w:sz w:val="21"/>
                <w:szCs w:val="21"/>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Chairman and Director</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21"/>
                <w:szCs w:val="21"/>
                <w:color w:val="auto"/>
              </w:rPr>
            </w:pPr>
          </w:p>
        </w:tc>
      </w:tr>
      <w:tr>
        <w:trPr>
          <w:trHeight w:val="202"/>
        </w:trPr>
        <w:tc>
          <w:tcPr>
            <w:tcW w:w="1720" w:type="dxa"/>
            <w:vAlign w:val="bottom"/>
          </w:tcPr>
          <w:p>
            <w:pPr>
              <w:spacing w:after="0"/>
              <w:rPr>
                <w:sz w:val="17"/>
                <w:szCs w:val="17"/>
                <w:color w:val="auto"/>
              </w:rPr>
            </w:pPr>
          </w:p>
        </w:tc>
        <w:tc>
          <w:tcPr>
            <w:tcW w:w="2480" w:type="dxa"/>
            <w:vAlign w:val="bottom"/>
            <w:shd w:val="clear" w:color="auto" w:fill="CCEECC"/>
          </w:tcPr>
          <w:p>
            <w:pPr>
              <w:ind w:left="100"/>
              <w:spacing w:after="0" w:line="201" w:lineRule="exact"/>
              <w:rPr>
                <w:sz w:val="20"/>
                <w:szCs w:val="20"/>
                <w:color w:val="auto"/>
              </w:rPr>
            </w:pPr>
            <w:r>
              <w:rPr>
                <w:rFonts w:ascii="Arial" w:cs="Arial" w:eastAsia="Arial" w:hAnsi="Arial"/>
                <w:sz w:val="18"/>
                <w:szCs w:val="18"/>
                <w:color w:val="auto"/>
              </w:rPr>
              <w:t>Terence J. Hamilton</w:t>
            </w:r>
          </w:p>
        </w:tc>
        <w:tc>
          <w:tcPr>
            <w:tcW w:w="8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4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7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44"/>
        </w:trPr>
        <w:tc>
          <w:tcPr>
            <w:tcW w:w="1720" w:type="dxa"/>
            <w:vAlign w:val="bottom"/>
          </w:tcPr>
          <w:p>
            <w:pPr>
              <w:spacing w:after="0"/>
              <w:rPr>
                <w:sz w:val="21"/>
                <w:szCs w:val="21"/>
                <w:color w:val="auto"/>
              </w:rPr>
            </w:pPr>
          </w:p>
        </w:tc>
        <w:tc>
          <w:tcPr>
            <w:tcW w:w="24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VP of Sales and Director</w:t>
            </w:r>
          </w:p>
        </w:tc>
        <w:tc>
          <w:tcPr>
            <w:tcW w:w="80" w:type="dxa"/>
            <w:vAlign w:val="bottom"/>
            <w:shd w:val="clear" w:color="auto" w:fill="CCEECC"/>
          </w:tcPr>
          <w:p>
            <w:pPr>
              <w:spacing w:after="0"/>
              <w:rPr>
                <w:sz w:val="21"/>
                <w:szCs w:val="21"/>
                <w:color w:val="auto"/>
              </w:rPr>
            </w:pPr>
          </w:p>
        </w:tc>
        <w:tc>
          <w:tcPr>
            <w:tcW w:w="1320" w:type="dxa"/>
            <w:vAlign w:val="bottom"/>
            <w:shd w:val="clear" w:color="auto" w:fill="CCEECC"/>
          </w:tcPr>
          <w:p>
            <w:pPr>
              <w:spacing w:after="0"/>
              <w:rPr>
                <w:sz w:val="21"/>
                <w:szCs w:val="21"/>
                <w:color w:val="auto"/>
              </w:rPr>
            </w:pPr>
          </w:p>
        </w:tc>
        <w:tc>
          <w:tcPr>
            <w:tcW w:w="4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21"/>
                <w:szCs w:val="21"/>
                <w:color w:val="auto"/>
              </w:rPr>
            </w:pPr>
          </w:p>
        </w:tc>
      </w:tr>
      <w:tr>
        <w:trPr>
          <w:trHeight w:val="202"/>
        </w:trPr>
        <w:tc>
          <w:tcPr>
            <w:tcW w:w="1720" w:type="dxa"/>
            <w:vAlign w:val="bottom"/>
          </w:tcPr>
          <w:p>
            <w:pPr>
              <w:spacing w:after="0"/>
              <w:rPr>
                <w:sz w:val="17"/>
                <w:szCs w:val="17"/>
                <w:color w:val="auto"/>
              </w:rPr>
            </w:pPr>
          </w:p>
        </w:tc>
        <w:tc>
          <w:tcPr>
            <w:tcW w:w="2480" w:type="dxa"/>
            <w:vAlign w:val="bottom"/>
          </w:tcPr>
          <w:p>
            <w:pPr>
              <w:ind w:left="100"/>
              <w:spacing w:after="0" w:line="201" w:lineRule="exact"/>
              <w:rPr>
                <w:sz w:val="20"/>
                <w:szCs w:val="20"/>
                <w:color w:val="auto"/>
              </w:rPr>
            </w:pPr>
            <w:r>
              <w:rPr>
                <w:rFonts w:ascii="Arial" w:cs="Arial" w:eastAsia="Arial" w:hAnsi="Arial"/>
                <w:sz w:val="18"/>
                <w:szCs w:val="18"/>
                <w:color w:val="auto"/>
              </w:rPr>
              <w:t>Shad Shastney</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44"/>
        </w:trPr>
        <w:tc>
          <w:tcPr>
            <w:tcW w:w="1720" w:type="dxa"/>
            <w:vAlign w:val="bottom"/>
          </w:tcPr>
          <w:p>
            <w:pPr>
              <w:spacing w:after="0"/>
              <w:rPr>
                <w:sz w:val="21"/>
                <w:szCs w:val="21"/>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21"/>
                <w:szCs w:val="21"/>
                <w:color w:val="auto"/>
              </w:rPr>
            </w:pPr>
          </w:p>
        </w:tc>
      </w:tr>
      <w:tr>
        <w:trPr>
          <w:trHeight w:val="202"/>
        </w:trPr>
        <w:tc>
          <w:tcPr>
            <w:tcW w:w="1720" w:type="dxa"/>
            <w:vAlign w:val="bottom"/>
          </w:tcPr>
          <w:p>
            <w:pPr>
              <w:spacing w:after="0"/>
              <w:rPr>
                <w:sz w:val="17"/>
                <w:szCs w:val="17"/>
                <w:color w:val="auto"/>
              </w:rPr>
            </w:pPr>
          </w:p>
        </w:tc>
        <w:tc>
          <w:tcPr>
            <w:tcW w:w="2480" w:type="dxa"/>
            <w:vAlign w:val="bottom"/>
            <w:shd w:val="clear" w:color="auto" w:fill="CCEECC"/>
          </w:tcPr>
          <w:p>
            <w:pPr>
              <w:ind w:left="100"/>
              <w:spacing w:after="0" w:line="201" w:lineRule="exact"/>
              <w:rPr>
                <w:sz w:val="20"/>
                <w:szCs w:val="20"/>
                <w:color w:val="auto"/>
              </w:rPr>
            </w:pPr>
            <w:r>
              <w:rPr>
                <w:rFonts w:ascii="Arial" w:cs="Arial" w:eastAsia="Arial" w:hAnsi="Arial"/>
                <w:sz w:val="18"/>
                <w:szCs w:val="18"/>
                <w:color w:val="auto"/>
              </w:rPr>
              <w:t>Richard Kraniak</w:t>
            </w:r>
          </w:p>
        </w:tc>
        <w:tc>
          <w:tcPr>
            <w:tcW w:w="8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4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7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44"/>
        </w:trPr>
        <w:tc>
          <w:tcPr>
            <w:tcW w:w="1720" w:type="dxa"/>
            <w:vAlign w:val="bottom"/>
          </w:tcPr>
          <w:p>
            <w:pPr>
              <w:spacing w:after="0"/>
              <w:rPr>
                <w:sz w:val="21"/>
                <w:szCs w:val="21"/>
                <w:color w:val="auto"/>
              </w:rPr>
            </w:pPr>
          </w:p>
        </w:tc>
        <w:tc>
          <w:tcPr>
            <w:tcW w:w="24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10% Holder</w:t>
            </w:r>
          </w:p>
        </w:tc>
        <w:tc>
          <w:tcPr>
            <w:tcW w:w="80" w:type="dxa"/>
            <w:vAlign w:val="bottom"/>
            <w:shd w:val="clear" w:color="auto" w:fill="CCEECC"/>
          </w:tcPr>
          <w:p>
            <w:pPr>
              <w:spacing w:after="0"/>
              <w:rPr>
                <w:sz w:val="21"/>
                <w:szCs w:val="21"/>
                <w:color w:val="auto"/>
              </w:rPr>
            </w:pPr>
          </w:p>
        </w:tc>
        <w:tc>
          <w:tcPr>
            <w:tcW w:w="1320" w:type="dxa"/>
            <w:vAlign w:val="bottom"/>
            <w:shd w:val="clear" w:color="auto" w:fill="CCEECC"/>
          </w:tcPr>
          <w:p>
            <w:pPr>
              <w:spacing w:after="0"/>
              <w:rPr>
                <w:sz w:val="21"/>
                <w:szCs w:val="21"/>
                <w:color w:val="auto"/>
              </w:rPr>
            </w:pPr>
          </w:p>
        </w:tc>
        <w:tc>
          <w:tcPr>
            <w:tcW w:w="4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w:t>
            </w:r>
          </w:p>
        </w:tc>
        <w:tc>
          <w:tcPr>
            <w:tcW w:w="1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21"/>
                <w:szCs w:val="21"/>
                <w:color w:val="auto"/>
              </w:rPr>
            </w:pPr>
          </w:p>
        </w:tc>
      </w:tr>
      <w:tr>
        <w:trPr>
          <w:trHeight w:val="648"/>
        </w:trPr>
        <w:tc>
          <w:tcPr>
            <w:tcW w:w="1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19</w:t>
            </w: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2011, we had not adopted a Code of Ethics for Financial Executives, which would include our principal executive officer, principal financial officer, principal accounting officer or controller, or persons performing similar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842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84289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COMPENSATION TABLE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500" w:type="dxa"/>
            <w:vAlign w:val="bottom"/>
            <w:tcBorders>
              <w:top w:val="single" w:sz="8" w:color="auto"/>
              <w:right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Non-Equity</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Nonqualified</w:t>
            </w:r>
          </w:p>
        </w:tc>
        <w:tc>
          <w:tcPr>
            <w:tcW w:w="138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Name</w:t>
            </w:r>
          </w:p>
        </w:tc>
        <w:tc>
          <w:tcPr>
            <w:tcW w:w="5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Incentive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Deferred</w:t>
            </w:r>
          </w:p>
        </w:tc>
        <w:tc>
          <w:tcPr>
            <w:tcW w:w="13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w:t>
            </w:r>
          </w:p>
        </w:tc>
        <w:tc>
          <w:tcPr>
            <w:tcW w:w="5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All Other</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principal</w:t>
            </w:r>
          </w:p>
        </w:tc>
        <w:tc>
          <w:tcPr>
            <w:tcW w:w="5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Salary</w:t>
            </w:r>
          </w:p>
        </w:tc>
        <w:tc>
          <w:tcPr>
            <w:tcW w:w="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Bonus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Earnings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position</w:t>
            </w:r>
          </w:p>
        </w:tc>
        <w:tc>
          <w:tcPr>
            <w:tcW w:w="5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Year</w:t>
            </w:r>
          </w:p>
        </w:tc>
        <w:tc>
          <w:tcPr>
            <w:tcW w:w="90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100"/>
              <w:spacing w:after="0"/>
              <w:rPr>
                <w:sz w:val="20"/>
                <w:szCs w:val="20"/>
                <w:color w:val="auto"/>
              </w:rPr>
            </w:pPr>
            <w:r>
              <w:rPr>
                <w:rFonts w:ascii="Arial" w:cs="Arial" w:eastAsia="Arial" w:hAnsi="Arial"/>
                <w:sz w:val="18"/>
                <w:szCs w:val="18"/>
                <w:color w:val="auto"/>
              </w:rPr>
              <w:t>Total ($)</w:t>
            </w:r>
          </w:p>
        </w:tc>
        <w:tc>
          <w:tcPr>
            <w:tcW w:w="0" w:type="dxa"/>
            <w:vAlign w:val="bottom"/>
          </w:tcPr>
          <w:p>
            <w:pPr>
              <w:spacing w:after="0"/>
              <w:rPr>
                <w:sz w:val="1"/>
                <w:szCs w:val="1"/>
                <w:color w:val="auto"/>
              </w:rPr>
            </w:pPr>
          </w:p>
        </w:tc>
      </w:tr>
      <w:tr>
        <w:trPr>
          <w:trHeight w:val="78"/>
        </w:trPr>
        <w:tc>
          <w:tcPr>
            <w:tcW w:w="25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500" w:type="dxa"/>
            <w:vAlign w:val="bottom"/>
            <w:tcBorders>
              <w:right w:val="single" w:sz="8" w:color="auto"/>
            </w:tcBorders>
            <w:shd w:val="clear" w:color="auto" w:fill="CCEECC"/>
          </w:tcPr>
          <w:p>
            <w:pPr>
              <w:ind w:left="80"/>
              <w:spacing w:after="0" w:line="266" w:lineRule="exact"/>
              <w:rPr>
                <w:sz w:val="20"/>
                <w:szCs w:val="20"/>
                <w:color w:val="auto"/>
              </w:rPr>
            </w:pPr>
            <w:r>
              <w:rPr>
                <w:rFonts w:ascii="Arial" w:cs="Arial" w:eastAsia="Arial" w:hAnsi="Arial"/>
                <w:sz w:val="18"/>
                <w:szCs w:val="18"/>
                <w:color w:val="auto"/>
                <w:w w:val="93"/>
              </w:rPr>
              <w:t>David Lester</w:t>
            </w:r>
            <w:r>
              <w:rPr>
                <w:rFonts w:ascii="Arial" w:cs="Arial" w:eastAsia="Arial" w:hAnsi="Arial"/>
                <w:sz w:val="30"/>
                <w:szCs w:val="30"/>
                <w:color w:val="auto"/>
                <w:w w:val="93"/>
                <w:vertAlign w:val="superscript"/>
              </w:rPr>
              <w:t>(1)</w:t>
            </w:r>
            <w:r>
              <w:rPr>
                <w:rFonts w:ascii="Arial" w:cs="Arial" w:eastAsia="Arial" w:hAnsi="Arial"/>
                <w:sz w:val="18"/>
                <w:szCs w:val="18"/>
                <w:color w:val="auto"/>
                <w:w w:val="93"/>
              </w:rPr>
              <w:t xml:space="preserve"> President, CEO</w:t>
            </w:r>
          </w:p>
        </w:tc>
        <w:tc>
          <w:tcPr>
            <w:tcW w:w="580" w:type="dxa"/>
            <w:vAlign w:val="bottom"/>
            <w:tcBorders>
              <w:right w:val="single" w:sz="8" w:color="auto"/>
            </w:tcBorders>
            <w:shd w:val="clear" w:color="auto" w:fill="CCEECC"/>
          </w:tcPr>
          <w:p>
            <w:pPr>
              <w:jc w:val="right"/>
              <w:ind w:right="70"/>
              <w:spacing w:after="0"/>
              <w:rPr>
                <w:sz w:val="20"/>
                <w:szCs w:val="20"/>
                <w:color w:val="auto"/>
              </w:rPr>
            </w:pPr>
            <w:r>
              <w:rPr>
                <w:rFonts w:ascii="Arial" w:cs="Arial" w:eastAsia="Arial" w:hAnsi="Arial"/>
                <w:sz w:val="18"/>
                <w:szCs w:val="18"/>
                <w:color w:val="auto"/>
                <w:w w:val="99"/>
              </w:rPr>
              <w:t>2011</w:t>
            </w:r>
          </w:p>
        </w:tc>
        <w:tc>
          <w:tcPr>
            <w:tcW w:w="900" w:type="dxa"/>
            <w:vAlign w:val="bottom"/>
            <w:tcBorders>
              <w:right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95"/>
              </w:rPr>
              <w:t>157,500</w:t>
            </w:r>
          </w:p>
        </w:tc>
        <w:tc>
          <w:tcPr>
            <w:tcW w:w="660" w:type="dxa"/>
            <w:vAlign w:val="bottom"/>
            <w:tcBorders>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CC"/>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205,287</w:t>
            </w:r>
          </w:p>
        </w:tc>
        <w:tc>
          <w:tcPr>
            <w:tcW w:w="1360" w:type="dxa"/>
            <w:vAlign w:val="bottom"/>
            <w:tcBorders>
              <w:right w:val="single" w:sz="8" w:color="auto"/>
            </w:tcBorders>
            <w:shd w:val="clear" w:color="auto" w:fill="CCEECC"/>
          </w:tcPr>
          <w:p>
            <w:pPr>
              <w:jc w:val="right"/>
              <w:ind w:right="115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CC"/>
          </w:tcPr>
          <w:p>
            <w:pPr>
              <w:jc w:val="right"/>
              <w:ind w:right="115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362,787</w:t>
            </w:r>
          </w:p>
        </w:tc>
        <w:tc>
          <w:tcPr>
            <w:tcW w:w="0" w:type="dxa"/>
            <w:vAlign w:val="bottom"/>
          </w:tcPr>
          <w:p>
            <w:pPr>
              <w:spacing w:after="0"/>
              <w:rPr>
                <w:sz w:val="1"/>
                <w:szCs w:val="1"/>
                <w:color w:val="auto"/>
              </w:rPr>
            </w:pPr>
          </w:p>
        </w:tc>
      </w:tr>
      <w:tr>
        <w:trPr>
          <w:trHeight w:val="257"/>
        </w:trPr>
        <w:tc>
          <w:tcPr>
            <w:tcW w:w="2500" w:type="dxa"/>
            <w:vAlign w:val="bottom"/>
            <w:tcBorders>
              <w:right w:val="single" w:sz="8" w:color="auto"/>
            </w:tcBorders>
            <w:shd w:val="clear" w:color="auto" w:fill="CCEECC"/>
          </w:tcPr>
          <w:p>
            <w:pPr>
              <w:ind w:left="80"/>
              <w:spacing w:after="0"/>
              <w:rPr>
                <w:sz w:val="20"/>
                <w:szCs w:val="20"/>
                <w:color w:val="auto"/>
              </w:rPr>
            </w:pPr>
            <w:r>
              <w:rPr>
                <w:rFonts w:ascii="Arial" w:cs="Arial" w:eastAsia="Arial" w:hAnsi="Arial"/>
                <w:sz w:val="18"/>
                <w:szCs w:val="18"/>
                <w:color w:val="auto"/>
              </w:rPr>
              <w:t>and Director</w:t>
            </w:r>
          </w:p>
        </w:tc>
        <w:tc>
          <w:tcPr>
            <w:tcW w:w="580" w:type="dxa"/>
            <w:vAlign w:val="bottom"/>
            <w:tcBorders>
              <w:right w:val="single" w:sz="8" w:color="auto"/>
            </w:tcBorders>
            <w:shd w:val="clear" w:color="auto" w:fill="CCEECC"/>
          </w:tcPr>
          <w:p>
            <w:pPr>
              <w:jc w:val="right"/>
              <w:ind w:right="70"/>
              <w:spacing w:after="0"/>
              <w:rPr>
                <w:sz w:val="20"/>
                <w:szCs w:val="20"/>
                <w:color w:val="auto"/>
              </w:rPr>
            </w:pPr>
            <w:r>
              <w:rPr>
                <w:rFonts w:ascii="Arial" w:cs="Arial" w:eastAsia="Arial" w:hAnsi="Arial"/>
                <w:sz w:val="18"/>
                <w:szCs w:val="18"/>
                <w:color w:val="auto"/>
                <w:w w:val="99"/>
              </w:rPr>
              <w:t>2010</w:t>
            </w:r>
          </w:p>
        </w:tc>
        <w:tc>
          <w:tcPr>
            <w:tcW w:w="900" w:type="dxa"/>
            <w:vAlign w:val="bottom"/>
            <w:tcBorders>
              <w:right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95"/>
              </w:rPr>
              <w:t>164,375</w:t>
            </w:r>
          </w:p>
        </w:tc>
        <w:tc>
          <w:tcPr>
            <w:tcW w:w="660" w:type="dxa"/>
            <w:vAlign w:val="bottom"/>
            <w:tcBorders>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11,000</w:t>
            </w:r>
          </w:p>
        </w:tc>
        <w:tc>
          <w:tcPr>
            <w:tcW w:w="900" w:type="dxa"/>
            <w:vAlign w:val="bottom"/>
            <w:tcBorders>
              <w:right w:val="single" w:sz="8" w:color="auto"/>
            </w:tcBorders>
            <w:shd w:val="clear" w:color="auto" w:fill="CCEECC"/>
          </w:tcPr>
          <w:p>
            <w:pPr>
              <w:ind w:left="40"/>
              <w:spacing w:after="0"/>
              <w:rPr>
                <w:sz w:val="20"/>
                <w:szCs w:val="20"/>
                <w:color w:val="auto"/>
              </w:rPr>
            </w:pPr>
            <w:r>
              <w:rPr>
                <w:rFonts w:ascii="Arial" w:cs="Arial" w:eastAsia="Arial" w:hAnsi="Arial"/>
                <w:sz w:val="18"/>
                <w:szCs w:val="18"/>
                <w:color w:val="auto"/>
              </w:rPr>
              <w:t>32,580</w:t>
            </w:r>
          </w:p>
        </w:tc>
        <w:tc>
          <w:tcPr>
            <w:tcW w:w="900" w:type="dxa"/>
            <w:vAlign w:val="bottom"/>
            <w:tcBorders>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CC"/>
          </w:tcPr>
          <w:p>
            <w:pPr>
              <w:jc w:val="right"/>
              <w:ind w:right="115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CC"/>
          </w:tcPr>
          <w:p>
            <w:pPr>
              <w:jc w:val="right"/>
              <w:ind w:right="115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207,955</w:t>
            </w:r>
          </w:p>
        </w:tc>
        <w:tc>
          <w:tcPr>
            <w:tcW w:w="0" w:type="dxa"/>
            <w:vAlign w:val="bottom"/>
          </w:tcPr>
          <w:p>
            <w:pPr>
              <w:spacing w:after="0"/>
              <w:rPr>
                <w:sz w:val="1"/>
                <w:szCs w:val="1"/>
                <w:color w:val="auto"/>
              </w:rPr>
            </w:pPr>
          </w:p>
        </w:tc>
      </w:tr>
      <w:tr>
        <w:trPr>
          <w:trHeight w:val="78"/>
        </w:trPr>
        <w:tc>
          <w:tcPr>
            <w:tcW w:w="2500" w:type="dxa"/>
            <w:vAlign w:val="bottom"/>
            <w:tcBorders>
              <w:bottom w:val="single" w:sz="8" w:color="auto"/>
              <w:right w:val="single" w:sz="8" w:color="auto"/>
            </w:tcBorders>
            <w:shd w:val="clear" w:color="auto" w:fill="CCEECC"/>
          </w:tcPr>
          <w:p>
            <w:pPr>
              <w:spacing w:after="0"/>
              <w:rPr>
                <w:sz w:val="6"/>
                <w:szCs w:val="6"/>
                <w:color w:val="auto"/>
              </w:rPr>
            </w:pPr>
          </w:p>
        </w:tc>
        <w:tc>
          <w:tcPr>
            <w:tcW w:w="580" w:type="dxa"/>
            <w:vAlign w:val="bottom"/>
            <w:tcBorders>
              <w:bottom w:val="single" w:sz="8" w:color="auto"/>
              <w:right w:val="single" w:sz="8" w:color="auto"/>
            </w:tcBorders>
            <w:shd w:val="clear" w:color="auto" w:fill="CCEECC"/>
          </w:tcPr>
          <w:p>
            <w:pPr>
              <w:spacing w:after="0"/>
              <w:rPr>
                <w:sz w:val="6"/>
                <w:szCs w:val="6"/>
                <w:color w:val="auto"/>
              </w:rPr>
            </w:pPr>
          </w:p>
        </w:tc>
        <w:tc>
          <w:tcPr>
            <w:tcW w:w="900" w:type="dxa"/>
            <w:vAlign w:val="bottom"/>
            <w:tcBorders>
              <w:bottom w:val="single" w:sz="8" w:color="auto"/>
              <w:right w:val="single" w:sz="8" w:color="auto"/>
            </w:tcBorders>
            <w:shd w:val="clear" w:color="auto" w:fill="CCEECC"/>
          </w:tcPr>
          <w:p>
            <w:pPr>
              <w:spacing w:after="0"/>
              <w:rPr>
                <w:sz w:val="6"/>
                <w:szCs w:val="6"/>
                <w:color w:val="auto"/>
              </w:rPr>
            </w:pPr>
          </w:p>
        </w:tc>
        <w:tc>
          <w:tcPr>
            <w:tcW w:w="660" w:type="dxa"/>
            <w:vAlign w:val="bottom"/>
            <w:tcBorders>
              <w:bottom w:val="single" w:sz="8" w:color="auto"/>
              <w:right w:val="single" w:sz="8" w:color="auto"/>
            </w:tcBorders>
            <w:shd w:val="clear" w:color="auto" w:fill="CCEECC"/>
          </w:tcPr>
          <w:p>
            <w:pPr>
              <w:spacing w:after="0"/>
              <w:rPr>
                <w:sz w:val="6"/>
                <w:szCs w:val="6"/>
                <w:color w:val="auto"/>
              </w:rPr>
            </w:pPr>
          </w:p>
        </w:tc>
        <w:tc>
          <w:tcPr>
            <w:tcW w:w="900" w:type="dxa"/>
            <w:vAlign w:val="bottom"/>
            <w:tcBorders>
              <w:bottom w:val="single" w:sz="8" w:color="auto"/>
              <w:right w:val="single" w:sz="8" w:color="auto"/>
            </w:tcBorders>
            <w:shd w:val="clear" w:color="auto" w:fill="CCEECC"/>
          </w:tcPr>
          <w:p>
            <w:pPr>
              <w:spacing w:after="0"/>
              <w:rPr>
                <w:sz w:val="6"/>
                <w:szCs w:val="6"/>
                <w:color w:val="auto"/>
              </w:rPr>
            </w:pPr>
          </w:p>
        </w:tc>
        <w:tc>
          <w:tcPr>
            <w:tcW w:w="900" w:type="dxa"/>
            <w:vAlign w:val="bottom"/>
            <w:tcBorders>
              <w:bottom w:val="single" w:sz="8" w:color="auto"/>
              <w:right w:val="single" w:sz="8" w:color="auto"/>
            </w:tcBorders>
            <w:shd w:val="clear" w:color="auto" w:fill="CCEECC"/>
          </w:tcPr>
          <w:p>
            <w:pPr>
              <w:spacing w:after="0"/>
              <w:rPr>
                <w:sz w:val="6"/>
                <w:szCs w:val="6"/>
                <w:color w:val="auto"/>
              </w:rPr>
            </w:pPr>
          </w:p>
        </w:tc>
        <w:tc>
          <w:tcPr>
            <w:tcW w:w="1360" w:type="dxa"/>
            <w:vAlign w:val="bottom"/>
            <w:tcBorders>
              <w:bottom w:val="single" w:sz="8" w:color="auto"/>
              <w:right w:val="single" w:sz="8" w:color="auto"/>
            </w:tcBorders>
            <w:shd w:val="clear" w:color="auto" w:fill="CCEECC"/>
          </w:tcPr>
          <w:p>
            <w:pPr>
              <w:spacing w:after="0"/>
              <w:rPr>
                <w:sz w:val="6"/>
                <w:szCs w:val="6"/>
                <w:color w:val="auto"/>
              </w:rPr>
            </w:pPr>
          </w:p>
        </w:tc>
        <w:tc>
          <w:tcPr>
            <w:tcW w:w="1360" w:type="dxa"/>
            <w:vAlign w:val="bottom"/>
            <w:tcBorders>
              <w:bottom w:val="single" w:sz="8" w:color="auto"/>
              <w:right w:val="single" w:sz="8" w:color="auto"/>
            </w:tcBorders>
            <w:shd w:val="clear" w:color="auto" w:fill="CCEECC"/>
          </w:tcPr>
          <w:p>
            <w:pPr>
              <w:spacing w:after="0"/>
              <w:rPr>
                <w:sz w:val="6"/>
                <w:szCs w:val="6"/>
                <w:color w:val="auto"/>
              </w:rPr>
            </w:pPr>
          </w:p>
        </w:tc>
        <w:tc>
          <w:tcPr>
            <w:tcW w:w="1380" w:type="dxa"/>
            <w:vAlign w:val="bottom"/>
            <w:tcBorders>
              <w:bottom w:val="single" w:sz="8" w:color="auto"/>
              <w:right w:val="single" w:sz="8" w:color="auto"/>
            </w:tcBorders>
            <w:shd w:val="clear" w:color="auto" w:fill="CCEECC"/>
          </w:tcPr>
          <w:p>
            <w:pPr>
              <w:spacing w:after="0"/>
              <w:rPr>
                <w:sz w:val="6"/>
                <w:szCs w:val="6"/>
                <w:color w:val="auto"/>
              </w:rPr>
            </w:pPr>
          </w:p>
        </w:tc>
        <w:tc>
          <w:tcPr>
            <w:tcW w:w="880" w:type="dxa"/>
            <w:vAlign w:val="bottom"/>
            <w:tcBorders>
              <w:bottom w:val="single" w:sz="8" w:color="auto"/>
            </w:tcBorders>
            <w:shd w:val="clear" w:color="auto" w:fill="CCEECC"/>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Thomas E. Majerowicz</w:t>
            </w:r>
          </w:p>
        </w:tc>
        <w:tc>
          <w:tcPr>
            <w:tcW w:w="5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2011</w:t>
            </w:r>
          </w:p>
        </w:tc>
        <w:tc>
          <w:tcPr>
            <w:tcW w:w="90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Former</w:t>
            </w:r>
          </w:p>
        </w:tc>
        <w:tc>
          <w:tcPr>
            <w:tcW w:w="5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Borders>
              <w:right w:val="single" w:sz="8" w:color="auto"/>
            </w:tcBorders>
            <w:vMerge w:val="continue"/>
          </w:tcPr>
          <w:p>
            <w:pPr>
              <w:spacing w:after="0"/>
              <w:rPr>
                <w:sz w:val="9"/>
                <w:szCs w:val="9"/>
                <w:color w:val="auto"/>
              </w:rPr>
            </w:pPr>
          </w:p>
        </w:tc>
        <w:tc>
          <w:tcPr>
            <w:tcW w:w="5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2010</w:t>
            </w:r>
          </w:p>
        </w:tc>
        <w:tc>
          <w:tcPr>
            <w:tcW w:w="90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30,000</w:t>
            </w:r>
          </w:p>
        </w:tc>
        <w:tc>
          <w:tcPr>
            <w:tcW w:w="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ind w:lef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122"/>
        </w:trPr>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Secretary</w:t>
            </w:r>
          </w:p>
        </w:tc>
        <w:tc>
          <w:tcPr>
            <w:tcW w:w="58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Borders>
              <w:right w:val="single" w:sz="8" w:color="auto"/>
            </w:tcBorders>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5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500" w:type="dxa"/>
            <w:vAlign w:val="bottom"/>
            <w:tcBorders>
              <w:right w:val="single" w:sz="8" w:color="auto"/>
            </w:tcBorders>
            <w:shd w:val="clear" w:color="auto" w:fill="CCEECC"/>
          </w:tcPr>
          <w:p>
            <w:pPr>
              <w:ind w:left="80"/>
              <w:spacing w:after="0"/>
              <w:rPr>
                <w:sz w:val="20"/>
                <w:szCs w:val="20"/>
                <w:color w:val="auto"/>
              </w:rPr>
            </w:pPr>
            <w:r>
              <w:rPr>
                <w:rFonts w:ascii="Arial" w:cs="Arial" w:eastAsia="Arial" w:hAnsi="Arial"/>
                <w:sz w:val="18"/>
                <w:szCs w:val="18"/>
                <w:color w:val="auto"/>
              </w:rPr>
              <w:t>Terence J. Hamilton</w:t>
            </w:r>
          </w:p>
        </w:tc>
        <w:tc>
          <w:tcPr>
            <w:tcW w:w="580" w:type="dxa"/>
            <w:vAlign w:val="bottom"/>
            <w:tcBorders>
              <w:right w:val="single" w:sz="8" w:color="auto"/>
            </w:tcBorders>
            <w:shd w:val="clear" w:color="auto" w:fill="CCEECC"/>
          </w:tcPr>
          <w:p>
            <w:pPr>
              <w:jc w:val="right"/>
              <w:ind w:right="70"/>
              <w:spacing w:after="0"/>
              <w:rPr>
                <w:sz w:val="20"/>
                <w:szCs w:val="20"/>
                <w:color w:val="auto"/>
              </w:rPr>
            </w:pPr>
            <w:r>
              <w:rPr>
                <w:rFonts w:ascii="Arial" w:cs="Arial" w:eastAsia="Arial" w:hAnsi="Arial"/>
                <w:sz w:val="18"/>
                <w:szCs w:val="18"/>
                <w:color w:val="auto"/>
                <w:w w:val="99"/>
              </w:rPr>
              <w:t>2011</w:t>
            </w:r>
          </w:p>
        </w:tc>
        <w:tc>
          <w:tcPr>
            <w:tcW w:w="900" w:type="dxa"/>
            <w:vAlign w:val="bottom"/>
            <w:tcBorders>
              <w:right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95"/>
              </w:rPr>
              <w:t>157,500</w:t>
            </w:r>
          </w:p>
        </w:tc>
        <w:tc>
          <w:tcPr>
            <w:tcW w:w="660" w:type="dxa"/>
            <w:vAlign w:val="bottom"/>
            <w:tcBorders>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15,000</w:t>
            </w:r>
          </w:p>
        </w:tc>
        <w:tc>
          <w:tcPr>
            <w:tcW w:w="900" w:type="dxa"/>
            <w:vAlign w:val="bottom"/>
            <w:tcBorders>
              <w:right w:val="single" w:sz="8" w:color="auto"/>
            </w:tcBorders>
            <w:shd w:val="clear" w:color="auto" w:fill="CCEECC"/>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143,420</w:t>
            </w:r>
          </w:p>
        </w:tc>
        <w:tc>
          <w:tcPr>
            <w:tcW w:w="1360" w:type="dxa"/>
            <w:vAlign w:val="bottom"/>
            <w:tcBorders>
              <w:right w:val="single" w:sz="8" w:color="auto"/>
            </w:tcBorders>
            <w:shd w:val="clear" w:color="auto" w:fill="CCEECC"/>
          </w:tcPr>
          <w:p>
            <w:pPr>
              <w:jc w:val="right"/>
              <w:ind w:right="115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CC"/>
          </w:tcPr>
          <w:p>
            <w:pPr>
              <w:jc w:val="right"/>
              <w:ind w:right="115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31,487</w:t>
            </w:r>
          </w:p>
        </w:tc>
        <w:tc>
          <w:tcPr>
            <w:tcW w:w="8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347,407</w:t>
            </w:r>
          </w:p>
        </w:tc>
        <w:tc>
          <w:tcPr>
            <w:tcW w:w="0" w:type="dxa"/>
            <w:vAlign w:val="bottom"/>
          </w:tcPr>
          <w:p>
            <w:pPr>
              <w:spacing w:after="0"/>
              <w:rPr>
                <w:sz w:val="1"/>
                <w:szCs w:val="1"/>
                <w:color w:val="auto"/>
              </w:rPr>
            </w:pPr>
          </w:p>
        </w:tc>
      </w:tr>
      <w:tr>
        <w:trPr>
          <w:trHeight w:val="345"/>
        </w:trPr>
        <w:tc>
          <w:tcPr>
            <w:tcW w:w="2500" w:type="dxa"/>
            <w:vAlign w:val="bottom"/>
            <w:tcBorders>
              <w:bottom w:val="single" w:sz="8" w:color="auto"/>
              <w:right w:val="single" w:sz="8" w:color="auto"/>
            </w:tcBorders>
            <w:shd w:val="clear" w:color="auto" w:fill="CCEECC"/>
          </w:tcPr>
          <w:p>
            <w:pPr>
              <w:ind w:left="80"/>
              <w:spacing w:after="0" w:line="331" w:lineRule="exact"/>
              <w:rPr>
                <w:sz w:val="20"/>
                <w:szCs w:val="20"/>
                <w:color w:val="auto"/>
              </w:rPr>
            </w:pPr>
            <w:r>
              <w:rPr>
                <w:rFonts w:ascii="Arial" w:cs="Arial" w:eastAsia="Arial" w:hAnsi="Arial"/>
                <w:sz w:val="18"/>
                <w:szCs w:val="18"/>
                <w:color w:val="auto"/>
              </w:rPr>
              <w:t>VP of Sales and Director</w:t>
            </w:r>
            <w:r>
              <w:rPr>
                <w:rFonts w:ascii="Arial" w:cs="Arial" w:eastAsia="Arial" w:hAnsi="Arial"/>
                <w:sz w:val="30"/>
                <w:szCs w:val="30"/>
                <w:color w:val="auto"/>
                <w:vertAlign w:val="superscript"/>
              </w:rPr>
              <w:t>(4)</w:t>
            </w:r>
          </w:p>
        </w:tc>
        <w:tc>
          <w:tcPr>
            <w:tcW w:w="580" w:type="dxa"/>
            <w:vAlign w:val="bottom"/>
            <w:tcBorders>
              <w:bottom w:val="single" w:sz="8" w:color="auto"/>
              <w:right w:val="single" w:sz="8" w:color="auto"/>
            </w:tcBorders>
            <w:shd w:val="clear" w:color="auto" w:fill="CCEECC"/>
          </w:tcPr>
          <w:p>
            <w:pPr>
              <w:jc w:val="right"/>
              <w:ind w:right="70"/>
              <w:spacing w:after="0"/>
              <w:rPr>
                <w:sz w:val="20"/>
                <w:szCs w:val="20"/>
                <w:color w:val="auto"/>
              </w:rPr>
            </w:pPr>
            <w:r>
              <w:rPr>
                <w:rFonts w:ascii="Arial" w:cs="Arial" w:eastAsia="Arial" w:hAnsi="Arial"/>
                <w:sz w:val="18"/>
                <w:szCs w:val="18"/>
                <w:color w:val="auto"/>
                <w:w w:val="99"/>
              </w:rPr>
              <w:t>2010</w:t>
            </w:r>
          </w:p>
        </w:tc>
        <w:tc>
          <w:tcPr>
            <w:tcW w:w="900" w:type="dxa"/>
            <w:vAlign w:val="bottom"/>
            <w:tcBorders>
              <w:bottom w:val="single" w:sz="8" w:color="auto"/>
              <w:right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95"/>
              </w:rPr>
              <w:t>164,375</w:t>
            </w:r>
          </w:p>
        </w:tc>
        <w:tc>
          <w:tcPr>
            <w:tcW w:w="660" w:type="dxa"/>
            <w:vAlign w:val="bottom"/>
            <w:tcBorders>
              <w:bottom w:val="single" w:sz="8" w:color="auto"/>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25,500</w:t>
            </w:r>
          </w:p>
        </w:tc>
        <w:tc>
          <w:tcPr>
            <w:tcW w:w="900" w:type="dxa"/>
            <w:vAlign w:val="bottom"/>
            <w:tcBorders>
              <w:bottom w:val="single" w:sz="8" w:color="auto"/>
              <w:right w:val="single" w:sz="8" w:color="auto"/>
            </w:tcBorders>
            <w:shd w:val="clear" w:color="auto" w:fill="CCEECC"/>
          </w:tcPr>
          <w:p>
            <w:pPr>
              <w:ind w:left="40"/>
              <w:spacing w:after="0"/>
              <w:rPr>
                <w:sz w:val="20"/>
                <w:szCs w:val="20"/>
                <w:color w:val="auto"/>
              </w:rPr>
            </w:pPr>
            <w:r>
              <w:rPr>
                <w:rFonts w:ascii="Arial" w:cs="Arial" w:eastAsia="Arial" w:hAnsi="Arial"/>
                <w:sz w:val="18"/>
                <w:szCs w:val="18"/>
                <w:color w:val="auto"/>
              </w:rPr>
              <w:t>43,440</w:t>
            </w:r>
          </w:p>
        </w:tc>
        <w:tc>
          <w:tcPr>
            <w:tcW w:w="900" w:type="dxa"/>
            <w:vAlign w:val="bottom"/>
            <w:tcBorders>
              <w:bottom w:val="single" w:sz="8" w:color="auto"/>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CC"/>
          </w:tcPr>
          <w:p>
            <w:pPr>
              <w:jc w:val="right"/>
              <w:ind w:right="1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CC"/>
          </w:tcPr>
          <w:p>
            <w:pPr>
              <w:jc w:val="right"/>
              <w:ind w:right="1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C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CC"/>
          </w:tcPr>
          <w:p>
            <w:pPr>
              <w:ind w:left="40"/>
              <w:spacing w:after="0"/>
              <w:rPr>
                <w:sz w:val="20"/>
                <w:szCs w:val="20"/>
                <w:color w:val="auto"/>
              </w:rPr>
            </w:pPr>
            <w:r>
              <w:rPr>
                <w:rFonts w:ascii="Arial" w:cs="Arial" w:eastAsia="Arial" w:hAnsi="Arial"/>
                <w:sz w:val="18"/>
                <w:szCs w:val="18"/>
                <w:color w:val="auto"/>
              </w:rPr>
              <w:t>233,315</w:t>
            </w:r>
          </w:p>
        </w:tc>
        <w:tc>
          <w:tcPr>
            <w:tcW w:w="0" w:type="dxa"/>
            <w:vAlign w:val="bottom"/>
          </w:tcPr>
          <w:p>
            <w:pPr>
              <w:spacing w:after="0"/>
              <w:rPr>
                <w:sz w:val="1"/>
                <w:szCs w:val="1"/>
                <w:color w:val="auto"/>
              </w:rPr>
            </w:pPr>
          </w:p>
        </w:tc>
      </w:tr>
      <w:tr>
        <w:trPr>
          <w:trHeight w:val="253"/>
        </w:trPr>
        <w:tc>
          <w:tcPr>
            <w:tcW w:w="2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David Harrell,</w:t>
            </w:r>
          </w:p>
        </w:tc>
        <w:tc>
          <w:tcPr>
            <w:tcW w:w="5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2011</w:t>
            </w:r>
          </w:p>
        </w:tc>
        <w:tc>
          <w:tcPr>
            <w:tcW w:w="90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5"/>
              </w:rPr>
              <w:t>163,390</w:t>
            </w:r>
          </w:p>
        </w:tc>
        <w:tc>
          <w:tcPr>
            <w:tcW w:w="6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20,500</w:t>
            </w:r>
          </w:p>
        </w:tc>
        <w:tc>
          <w:tcPr>
            <w:tcW w:w="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177,165</w:t>
            </w:r>
          </w:p>
        </w:tc>
        <w:tc>
          <w:tcPr>
            <w:tcW w:w="1360" w:type="dxa"/>
            <w:vAlign w:val="bottom"/>
            <w:tcBorders>
              <w:right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ind w:left="40"/>
              <w:spacing w:after="0"/>
              <w:rPr>
                <w:sz w:val="20"/>
                <w:szCs w:val="20"/>
                <w:color w:val="auto"/>
              </w:rPr>
            </w:pPr>
            <w:r>
              <w:rPr>
                <w:rFonts w:ascii="Arial" w:cs="Arial" w:eastAsia="Arial" w:hAnsi="Arial"/>
                <w:sz w:val="18"/>
                <w:szCs w:val="18"/>
                <w:color w:val="auto"/>
              </w:rPr>
              <w:t>361,055</w:t>
            </w:r>
          </w:p>
        </w:tc>
        <w:tc>
          <w:tcPr>
            <w:tcW w:w="0" w:type="dxa"/>
            <w:vAlign w:val="bottom"/>
          </w:tcPr>
          <w:p>
            <w:pPr>
              <w:spacing w:after="0"/>
              <w:rPr>
                <w:sz w:val="1"/>
                <w:szCs w:val="1"/>
                <w:color w:val="auto"/>
              </w:rPr>
            </w:pPr>
          </w:p>
        </w:tc>
      </w:tr>
      <w:tr>
        <w:trPr>
          <w:trHeight w:val="112"/>
        </w:trPr>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Chairman and Director</w:t>
            </w:r>
          </w:p>
        </w:tc>
        <w:tc>
          <w:tcPr>
            <w:tcW w:w="5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Borders>
              <w:right w:val="single" w:sz="8" w:color="auto"/>
            </w:tcBorders>
            <w:vMerge w:val="continue"/>
          </w:tcPr>
          <w:p>
            <w:pPr>
              <w:spacing w:after="0"/>
              <w:rPr>
                <w:sz w:val="9"/>
                <w:szCs w:val="9"/>
                <w:color w:val="auto"/>
              </w:rPr>
            </w:pPr>
          </w:p>
        </w:tc>
        <w:tc>
          <w:tcPr>
            <w:tcW w:w="5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2010</w:t>
            </w:r>
          </w:p>
        </w:tc>
        <w:tc>
          <w:tcPr>
            <w:tcW w:w="90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5"/>
              </w:rPr>
              <w:t>165,640</w:t>
            </w:r>
          </w:p>
        </w:tc>
        <w:tc>
          <w:tcPr>
            <w:tcW w:w="6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20,500</w:t>
            </w:r>
          </w:p>
        </w:tc>
        <w:tc>
          <w:tcPr>
            <w:tcW w:w="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43,440</w:t>
            </w:r>
          </w:p>
        </w:tc>
        <w:tc>
          <w:tcPr>
            <w:tcW w:w="900" w:type="dxa"/>
            <w:vAlign w:val="bottom"/>
            <w:tcBorders>
              <w:right w:val="single" w:sz="8" w:color="auto"/>
            </w:tcBorders>
            <w:vMerge w:val="restart"/>
          </w:tcPr>
          <w:p>
            <w:pPr>
              <w:ind w:left="60"/>
              <w:spacing w:after="0" w:line="321" w:lineRule="exact"/>
              <w:rPr>
                <w:sz w:val="20"/>
                <w:szCs w:val="20"/>
                <w:color w:val="auto"/>
              </w:rPr>
            </w:pPr>
            <w:r>
              <w:rPr>
                <w:rFonts w:ascii="Arial" w:cs="Arial" w:eastAsia="Arial" w:hAnsi="Arial"/>
                <w:sz w:val="18"/>
                <w:szCs w:val="18"/>
                <w:color w:val="auto"/>
                <w:w w:val="89"/>
              </w:rPr>
              <w:t>360,000</w:t>
            </w:r>
            <w:r>
              <w:rPr>
                <w:rFonts w:ascii="Arial" w:cs="Arial" w:eastAsia="Arial" w:hAnsi="Arial"/>
                <w:sz w:val="30"/>
                <w:szCs w:val="30"/>
                <w:color w:val="auto"/>
                <w:w w:val="89"/>
                <w:vertAlign w:val="superscript"/>
              </w:rPr>
              <w:t>(2)</w:t>
            </w:r>
          </w:p>
        </w:tc>
        <w:tc>
          <w:tcPr>
            <w:tcW w:w="1360" w:type="dxa"/>
            <w:vAlign w:val="bottom"/>
            <w:tcBorders>
              <w:right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ind w:left="40"/>
              <w:spacing w:after="0"/>
              <w:rPr>
                <w:sz w:val="20"/>
                <w:szCs w:val="20"/>
                <w:color w:val="auto"/>
              </w:rPr>
            </w:pPr>
            <w:r>
              <w:rPr>
                <w:rFonts w:ascii="Arial" w:cs="Arial" w:eastAsia="Arial" w:hAnsi="Arial"/>
                <w:sz w:val="18"/>
                <w:szCs w:val="18"/>
                <w:color w:val="auto"/>
              </w:rPr>
              <w:t>589,580</w:t>
            </w:r>
          </w:p>
        </w:tc>
        <w:tc>
          <w:tcPr>
            <w:tcW w:w="0" w:type="dxa"/>
            <w:vAlign w:val="bottom"/>
          </w:tcPr>
          <w:p>
            <w:pPr>
              <w:spacing w:after="0"/>
              <w:rPr>
                <w:sz w:val="1"/>
                <w:szCs w:val="1"/>
                <w:color w:val="auto"/>
              </w:rPr>
            </w:pPr>
          </w:p>
        </w:tc>
      </w:tr>
      <w:tr>
        <w:trPr>
          <w:trHeight w:val="213"/>
        </w:trPr>
        <w:tc>
          <w:tcPr>
            <w:tcW w:w="2500" w:type="dxa"/>
            <w:vAlign w:val="bottom"/>
            <w:tcBorders>
              <w:right w:val="single" w:sz="8" w:color="auto"/>
            </w:tcBorders>
            <w:vMerge w:val="restart"/>
          </w:tcPr>
          <w:p>
            <w:pPr>
              <w:ind w:left="80"/>
              <w:spacing w:after="0" w:line="331" w:lineRule="exact"/>
              <w:rPr>
                <w:sz w:val="20"/>
                <w:szCs w:val="20"/>
                <w:color w:val="auto"/>
              </w:rPr>
            </w:pPr>
            <w:r>
              <w:rPr>
                <w:rFonts w:ascii="Arial" w:cs="Arial" w:eastAsia="Arial" w:hAnsi="Arial"/>
                <w:sz w:val="18"/>
                <w:szCs w:val="18"/>
                <w:color w:val="auto"/>
                <w:w w:val="98"/>
              </w:rPr>
              <w:t>Former President and CEO</w:t>
            </w:r>
            <w:r>
              <w:rPr>
                <w:rFonts w:ascii="Arial" w:cs="Arial" w:eastAsia="Arial" w:hAnsi="Arial"/>
                <w:sz w:val="30"/>
                <w:szCs w:val="30"/>
                <w:color w:val="auto"/>
                <w:w w:val="98"/>
                <w:vertAlign w:val="superscript"/>
              </w:rPr>
              <w:t>(5)</w:t>
            </w:r>
          </w:p>
        </w:tc>
        <w:tc>
          <w:tcPr>
            <w:tcW w:w="58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1360" w:type="dxa"/>
            <w:vAlign w:val="bottom"/>
            <w:tcBorders>
              <w:right w:val="single" w:sz="8" w:color="auto"/>
            </w:tcBorders>
            <w:vMerge w:val="continue"/>
          </w:tcPr>
          <w:p>
            <w:pPr>
              <w:spacing w:after="0"/>
              <w:rPr>
                <w:sz w:val="18"/>
                <w:szCs w:val="18"/>
                <w:color w:val="auto"/>
              </w:rPr>
            </w:pPr>
          </w:p>
        </w:tc>
        <w:tc>
          <w:tcPr>
            <w:tcW w:w="1360" w:type="dxa"/>
            <w:vAlign w:val="bottom"/>
            <w:tcBorders>
              <w:right w:val="single" w:sz="8" w:color="auto"/>
            </w:tcBorders>
            <w:vMerge w:val="continue"/>
          </w:tcPr>
          <w:p>
            <w:pPr>
              <w:spacing w:after="0"/>
              <w:rPr>
                <w:sz w:val="18"/>
                <w:szCs w:val="18"/>
                <w:color w:val="auto"/>
              </w:rPr>
            </w:pPr>
          </w:p>
        </w:tc>
        <w:tc>
          <w:tcPr>
            <w:tcW w:w="1380" w:type="dxa"/>
            <w:vAlign w:val="bottom"/>
            <w:tcBorders>
              <w:right w:val="single" w:sz="8" w:color="auto"/>
            </w:tcBorders>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500" w:type="dxa"/>
            <w:vAlign w:val="bottom"/>
            <w:tcBorders>
              <w:bottom w:val="single" w:sz="8" w:color="auto"/>
              <w:right w:val="single" w:sz="8" w:color="auto"/>
            </w:tcBorders>
            <w:vMerge w:val="continue"/>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620" w:hanging="216"/>
        <w:spacing w:after="0"/>
        <w:tabs>
          <w:tab w:leader="none" w:pos="62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Mr. Lester has held office as our Chief Executive Officer since April 1, 2009.</w:t>
      </w:r>
    </w:p>
    <w:p>
      <w:pPr>
        <w:spacing w:after="0" w:line="42" w:lineRule="exact"/>
        <w:rPr>
          <w:rFonts w:ascii="Arial" w:cs="Arial" w:eastAsia="Arial" w:hAnsi="Arial"/>
          <w:sz w:val="26"/>
          <w:szCs w:val="26"/>
          <w:color w:val="auto"/>
          <w:vertAlign w:val="superscript"/>
        </w:rPr>
      </w:pPr>
    </w:p>
    <w:p>
      <w:pPr>
        <w:ind w:left="400" w:right="300" w:firstLine="4"/>
        <w:spacing w:after="0" w:line="213" w:lineRule="auto"/>
        <w:tabs>
          <w:tab w:leader="none" w:pos="62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This amount reflects the dollar amount recognized for financial statement reporting purposes for the fiscal year indicated in accordance with ASC Topic 718 – Stock Compensation, Share Based Payments of awards of restricted stock and stock options, as applicable.</w:t>
      </w:r>
    </w:p>
    <w:p>
      <w:pPr>
        <w:spacing w:after="0" w:line="1" w:lineRule="exact"/>
        <w:rPr>
          <w:rFonts w:ascii="Arial" w:cs="Arial" w:eastAsia="Arial" w:hAnsi="Arial"/>
          <w:sz w:val="26"/>
          <w:szCs w:val="26"/>
          <w:color w:val="auto"/>
          <w:vertAlign w:val="superscript"/>
        </w:rPr>
      </w:pPr>
    </w:p>
    <w:p>
      <w:pPr>
        <w:ind w:left="620" w:hanging="216"/>
        <w:spacing w:after="0" w:line="205" w:lineRule="auto"/>
        <w:tabs>
          <w:tab w:leader="none" w:pos="62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Supplement.</w:t>
      </w:r>
    </w:p>
    <w:p>
      <w:pPr>
        <w:spacing w:after="0" w:line="43" w:lineRule="exact"/>
        <w:rPr>
          <w:rFonts w:ascii="Arial" w:cs="Arial" w:eastAsia="Arial" w:hAnsi="Arial"/>
          <w:sz w:val="26"/>
          <w:szCs w:val="26"/>
          <w:color w:val="auto"/>
          <w:vertAlign w:val="superscript"/>
        </w:rPr>
      </w:pPr>
    </w:p>
    <w:p>
      <w:pPr>
        <w:ind w:left="620" w:hanging="216"/>
        <w:spacing w:after="0" w:line="186" w:lineRule="auto"/>
        <w:tabs>
          <w:tab w:leader="none" w:pos="62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Mr. Hamilton has held office as our VP of Sales since March 1, 2007.</w:t>
      </w:r>
    </w:p>
    <w:p>
      <w:pPr>
        <w:spacing w:after="0" w:line="42" w:lineRule="exact"/>
        <w:rPr>
          <w:rFonts w:ascii="Arial" w:cs="Arial" w:eastAsia="Arial" w:hAnsi="Arial"/>
          <w:sz w:val="24"/>
          <w:szCs w:val="24"/>
          <w:color w:val="auto"/>
          <w:vertAlign w:val="superscript"/>
        </w:rPr>
      </w:pPr>
    </w:p>
    <w:p>
      <w:pPr>
        <w:ind w:left="620" w:hanging="216"/>
        <w:spacing w:after="0" w:line="186" w:lineRule="auto"/>
        <w:tabs>
          <w:tab w:leader="none" w:pos="62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Mr. Harrell has held office as our Chairman since April 2008.</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April 6, 2009, we entered into an employment agreement with Mr. Lester to serve as our Chief Executive Officer.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June 1, 2008, we entered into an employment agreement with Mr. Harrell to serve as our CEO. Mr. Harrell is no longer our CEO, but will be our Chairman and we intend to enter into an employment agreement with him in that capacity in the near future. The terms of his compensation as our CEO,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-127635</wp:posOffset>
            </wp:positionV>
            <wp:extent cx="6114415" cy="4725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4725035"/>
                    </a:xfrm>
                    <a:prstGeom prst="rect">
                      <a:avLst/>
                    </a:prstGeom>
                    <a:noFill/>
                  </pic:spPr>
                </pic:pic>
              </a:graphicData>
            </a:graphic>
          </wp:anchor>
        </w:drawing>
      </w:r>
    </w:p>
    <w:p>
      <w:pPr>
        <w:spacing w:after="0" w:line="7"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10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8"/>
                <w:szCs w:val="18"/>
                <w:color w:val="auto"/>
              </w:rPr>
              <w:t>OPTION AWARDS</w:t>
            </w:r>
          </w:p>
        </w:tc>
        <w:tc>
          <w:tcPr>
            <w:tcW w:w="8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right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w w:val="98"/>
              </w:rPr>
              <w:t>STOCK AWARDS</w:t>
            </w: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00" w:type="dxa"/>
            <w:vAlign w:val="bottom"/>
          </w:tcPr>
          <w:p>
            <w:pPr>
              <w:ind w:left="80"/>
              <w:spacing w:after="0" w:line="195" w:lineRule="exact"/>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Equity</w:t>
            </w:r>
          </w:p>
        </w:tc>
        <w:tc>
          <w:tcPr>
            <w:tcW w:w="900" w:type="dxa"/>
            <w:vAlign w:val="bottom"/>
          </w:tcPr>
          <w:p>
            <w:pPr>
              <w:ind w:left="80"/>
              <w:spacing w:after="0"/>
              <w:rPr>
                <w:sz w:val="20"/>
                <w:szCs w:val="20"/>
                <w:color w:val="auto"/>
              </w:rPr>
            </w:pPr>
            <w:r>
              <w:rPr>
                <w:rFonts w:ascii="Arial" w:cs="Arial" w:eastAsia="Arial" w:hAnsi="Arial"/>
                <w:sz w:val="18"/>
                <w:szCs w:val="18"/>
                <w:color w:val="auto"/>
              </w:rPr>
              <w:t>Incentive</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Incentive</w:t>
            </w:r>
          </w:p>
        </w:tc>
        <w:tc>
          <w:tcPr>
            <w:tcW w:w="900" w:type="dxa"/>
            <w:vAlign w:val="bottom"/>
          </w:tcPr>
          <w:p>
            <w:pPr>
              <w:ind w:left="8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Market</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Plan</w:t>
            </w:r>
          </w:p>
        </w:tc>
        <w:tc>
          <w:tcPr>
            <w:tcW w:w="900" w:type="dxa"/>
            <w:vAlign w:val="bottom"/>
          </w:tcPr>
          <w:p>
            <w:pPr>
              <w:ind w:left="80"/>
              <w:spacing w:after="0"/>
              <w:rPr>
                <w:sz w:val="20"/>
                <w:szCs w:val="20"/>
                <w:color w:val="auto"/>
              </w:rPr>
            </w:pPr>
            <w:r>
              <w:rPr>
                <w:rFonts w:ascii="Arial" w:cs="Arial" w:eastAsia="Arial" w:hAnsi="Arial"/>
                <w:sz w:val="18"/>
                <w:szCs w:val="18"/>
                <w:color w:val="auto"/>
              </w:rPr>
              <w:t>Awards:</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Value</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Awards:</w:t>
            </w:r>
          </w:p>
        </w:tc>
        <w:tc>
          <w:tcPr>
            <w:tcW w:w="900" w:type="dxa"/>
            <w:vAlign w:val="bottom"/>
          </w:tcPr>
          <w:p>
            <w:pPr>
              <w:ind w:left="8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w:t>
            </w:r>
          </w:p>
        </w:tc>
        <w:tc>
          <w:tcPr>
            <w:tcW w:w="900" w:type="dxa"/>
            <w:vAlign w:val="bottom"/>
          </w:tcPr>
          <w:p>
            <w:pPr>
              <w:ind w:left="80"/>
              <w:spacing w:after="0"/>
              <w:rPr>
                <w:sz w:val="20"/>
                <w:szCs w:val="20"/>
                <w:color w:val="auto"/>
              </w:rPr>
            </w:pPr>
            <w:r>
              <w:rPr>
                <w:rFonts w:ascii="Arial" w:cs="Arial" w:eastAsia="Arial" w:hAnsi="Arial"/>
                <w:sz w:val="18"/>
                <w:szCs w:val="18"/>
                <w:color w:val="auto"/>
              </w:rPr>
              <w:t>or Payout</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Equity</w:t>
            </w: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w:t>
            </w:r>
          </w:p>
        </w:tc>
        <w:tc>
          <w:tcPr>
            <w:tcW w:w="900" w:type="dxa"/>
            <w:vAlign w:val="bottom"/>
          </w:tcPr>
          <w:p>
            <w:pPr>
              <w:ind w:left="80"/>
              <w:spacing w:after="0"/>
              <w:rPr>
                <w:sz w:val="20"/>
                <w:szCs w:val="20"/>
                <w:color w:val="auto"/>
              </w:rPr>
            </w:pPr>
            <w:r>
              <w:rPr>
                <w:rFonts w:ascii="Arial" w:cs="Arial" w:eastAsia="Arial" w:hAnsi="Arial"/>
                <w:sz w:val="18"/>
                <w:szCs w:val="18"/>
                <w:color w:val="auto"/>
              </w:rPr>
              <w:t>Value of</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Incentive</w:t>
            </w: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or</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Unearned</w:t>
            </w:r>
          </w:p>
        </w:tc>
        <w:tc>
          <w:tcPr>
            <w:tcW w:w="900" w:type="dxa"/>
            <w:vAlign w:val="bottom"/>
          </w:tcPr>
          <w:p>
            <w:pPr>
              <w:ind w:left="80"/>
              <w:spacing w:after="0"/>
              <w:rPr>
                <w:sz w:val="20"/>
                <w:szCs w:val="20"/>
                <w:color w:val="auto"/>
              </w:rPr>
            </w:pPr>
            <w:r>
              <w:rPr>
                <w:rFonts w:ascii="Arial" w:cs="Arial" w:eastAsia="Arial" w:hAnsi="Arial"/>
                <w:sz w:val="18"/>
                <w:szCs w:val="18"/>
                <w:color w:val="auto"/>
              </w:rPr>
              <w:t>Unearned</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 Units</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Units</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w:t>
            </w:r>
          </w:p>
        </w:tc>
        <w:tc>
          <w:tcPr>
            <w:tcW w:w="900" w:type="dxa"/>
            <w:vAlign w:val="bottom"/>
          </w:tcPr>
          <w:p>
            <w:pPr>
              <w:ind w:left="8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Awards:</w:t>
            </w: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Units or</w:t>
            </w:r>
          </w:p>
        </w:tc>
        <w:tc>
          <w:tcPr>
            <w:tcW w:w="900" w:type="dxa"/>
            <w:vAlign w:val="bottom"/>
          </w:tcPr>
          <w:p>
            <w:pPr>
              <w:ind w:left="80"/>
              <w:spacing w:after="0"/>
              <w:rPr>
                <w:sz w:val="20"/>
                <w:szCs w:val="20"/>
                <w:color w:val="auto"/>
              </w:rPr>
            </w:pPr>
            <w:r>
              <w:rPr>
                <w:rFonts w:ascii="Arial" w:cs="Arial" w:eastAsia="Arial" w:hAnsi="Arial"/>
                <w:sz w:val="18"/>
                <w:szCs w:val="18"/>
                <w:color w:val="auto"/>
              </w:rPr>
              <w:t>Units or</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Number of</w:t>
            </w: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Stock</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Stock</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Other</w:t>
            </w:r>
          </w:p>
        </w:tc>
        <w:tc>
          <w:tcPr>
            <w:tcW w:w="900" w:type="dxa"/>
            <w:vAlign w:val="bottom"/>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Securities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Securities</w:t>
            </w: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Securities</w:t>
            </w: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That</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That</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Rights</w:t>
            </w:r>
          </w:p>
        </w:tc>
        <w:tc>
          <w:tcPr>
            <w:tcW w:w="900" w:type="dxa"/>
            <w:vAlign w:val="bottom"/>
          </w:tcPr>
          <w:p>
            <w:pPr>
              <w:ind w:left="80"/>
              <w:spacing w:after="0"/>
              <w:rPr>
                <w:sz w:val="20"/>
                <w:szCs w:val="20"/>
                <w:color w:val="auto"/>
              </w:rPr>
            </w:pPr>
            <w:r>
              <w:rPr>
                <w:rFonts w:ascii="Arial" w:cs="Arial" w:eastAsia="Arial" w:hAnsi="Arial"/>
                <w:sz w:val="18"/>
                <w:szCs w:val="18"/>
                <w:color w:val="auto"/>
              </w:rPr>
              <w:t>Rights</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Underlying</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Underlying</w:t>
            </w: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Underlying</w:t>
            </w: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Have</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Have</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That</w:t>
            </w:r>
          </w:p>
        </w:tc>
        <w:tc>
          <w:tcPr>
            <w:tcW w:w="900" w:type="dxa"/>
            <w:vAlign w:val="bottom"/>
          </w:tcPr>
          <w:p>
            <w:pPr>
              <w:ind w:left="80"/>
              <w:spacing w:after="0"/>
              <w:rPr>
                <w:sz w:val="20"/>
                <w:szCs w:val="20"/>
                <w:color w:val="auto"/>
              </w:rPr>
            </w:pPr>
            <w:r>
              <w:rPr>
                <w:rFonts w:ascii="Arial" w:cs="Arial" w:eastAsia="Arial" w:hAnsi="Arial"/>
                <w:sz w:val="18"/>
                <w:szCs w:val="18"/>
                <w:color w:val="auto"/>
              </w:rPr>
              <w:t>That</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Unexercised</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Unexercised</w:t>
            </w: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Unexercised</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Option</w:t>
            </w:r>
          </w:p>
        </w:tc>
        <w:tc>
          <w:tcPr>
            <w:tcW w:w="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Option</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Not</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Not</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Have Not</w:t>
            </w:r>
          </w:p>
        </w:tc>
        <w:tc>
          <w:tcPr>
            <w:tcW w:w="900" w:type="dxa"/>
            <w:vAlign w:val="bottom"/>
          </w:tcPr>
          <w:p>
            <w:pPr>
              <w:ind w:left="80"/>
              <w:spacing w:after="0"/>
              <w:rPr>
                <w:sz w:val="20"/>
                <w:szCs w:val="20"/>
                <w:color w:val="auto"/>
              </w:rPr>
            </w:pPr>
            <w:r>
              <w:rPr>
                <w:rFonts w:ascii="Arial" w:cs="Arial" w:eastAsia="Arial" w:hAnsi="Arial"/>
                <w:sz w:val="18"/>
                <w:szCs w:val="18"/>
                <w:color w:val="auto"/>
              </w:rPr>
              <w:t>Have Not</w:t>
            </w: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Options (#)</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Options (#)</w:t>
            </w:r>
          </w:p>
        </w:tc>
        <w:tc>
          <w:tcPr>
            <w:tcW w:w="1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Unearned</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Exercise</w:t>
            </w:r>
          </w:p>
        </w:tc>
        <w:tc>
          <w:tcPr>
            <w:tcW w:w="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Expiration</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Vested</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Vested</w:t>
            </w:r>
          </w:p>
        </w:tc>
        <w:tc>
          <w:tcPr>
            <w:tcW w:w="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Vested</w:t>
            </w:r>
          </w:p>
        </w:tc>
        <w:tc>
          <w:tcPr>
            <w:tcW w:w="900" w:type="dxa"/>
            <w:vAlign w:val="bottom"/>
          </w:tcPr>
          <w:p>
            <w:pPr>
              <w:ind w:left="80"/>
              <w:spacing w:after="0"/>
              <w:rPr>
                <w:sz w:val="20"/>
                <w:szCs w:val="20"/>
                <w:color w:val="auto"/>
              </w:rPr>
            </w:pPr>
            <w:r>
              <w:rPr>
                <w:rFonts w:ascii="Arial" w:cs="Arial" w:eastAsia="Arial" w:hAnsi="Arial"/>
                <w:sz w:val="18"/>
                <w:szCs w:val="18"/>
                <w:color w:val="auto"/>
              </w:rPr>
              <w:t>Vested</w:t>
            </w:r>
          </w:p>
        </w:tc>
        <w:tc>
          <w:tcPr>
            <w:tcW w:w="0" w:type="dxa"/>
            <w:vAlign w:val="bottom"/>
          </w:tcPr>
          <w:p>
            <w:pPr>
              <w:spacing w:after="0"/>
              <w:rPr>
                <w:sz w:val="1"/>
                <w:szCs w:val="1"/>
                <w:color w:val="auto"/>
              </w:rPr>
            </w:pPr>
          </w:p>
        </w:tc>
      </w:tr>
      <w:tr>
        <w:trPr>
          <w:trHeight w:val="230"/>
        </w:trPr>
        <w:tc>
          <w:tcPr>
            <w:tcW w:w="1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1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Exercisable</w:t>
            </w:r>
          </w:p>
        </w:tc>
        <w:tc>
          <w:tcPr>
            <w:tcW w:w="1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8"/>
              </w:rPr>
              <w:t>Unexercisable</w:t>
            </w:r>
          </w:p>
        </w:tc>
        <w:tc>
          <w:tcPr>
            <w:tcW w:w="1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Options (#)</w:t>
            </w:r>
          </w:p>
        </w:tc>
        <w:tc>
          <w:tcPr>
            <w:tcW w:w="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Price ($)</w:t>
            </w:r>
          </w:p>
        </w:tc>
        <w:tc>
          <w:tcPr>
            <w:tcW w:w="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Date</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00" w:type="dxa"/>
            <w:vAlign w:val="bottom"/>
            <w:tcBorders>
              <w:right w:val="single" w:sz="8" w:color="auto"/>
            </w:tcBorders>
            <w:shd w:val="clear" w:color="auto" w:fill="CCEECC"/>
          </w:tcPr>
          <w:p>
            <w:pPr>
              <w:ind w:left="120"/>
              <w:spacing w:after="0" w:line="196" w:lineRule="exact"/>
              <w:rPr>
                <w:sz w:val="20"/>
                <w:szCs w:val="20"/>
                <w:color w:val="auto"/>
              </w:rPr>
            </w:pPr>
            <w:r>
              <w:rPr>
                <w:rFonts w:ascii="Arial" w:cs="Arial" w:eastAsia="Arial" w:hAnsi="Arial"/>
                <w:sz w:val="18"/>
                <w:szCs w:val="18"/>
                <w:color w:val="auto"/>
              </w:rPr>
              <w:t>David</w:t>
            </w:r>
          </w:p>
        </w:tc>
        <w:tc>
          <w:tcPr>
            <w:tcW w:w="1100" w:type="dxa"/>
            <w:vAlign w:val="bottom"/>
            <w:tcBorders>
              <w:right w:val="single" w:sz="8" w:color="auto"/>
            </w:tcBorders>
            <w:shd w:val="clear" w:color="auto" w:fill="CCEECC"/>
          </w:tcPr>
          <w:p>
            <w:pPr>
              <w:ind w:left="80"/>
              <w:spacing w:after="0" w:line="196" w:lineRule="exact"/>
              <w:rPr>
                <w:sz w:val="20"/>
                <w:szCs w:val="20"/>
                <w:color w:val="auto"/>
              </w:rPr>
            </w:pPr>
            <w:r>
              <w:rPr>
                <w:rFonts w:ascii="Arial" w:cs="Arial" w:eastAsia="Arial" w:hAnsi="Arial"/>
                <w:sz w:val="18"/>
                <w:szCs w:val="18"/>
                <w:color w:val="auto"/>
              </w:rPr>
              <w:t>375,000</w:t>
            </w:r>
          </w:p>
        </w:tc>
        <w:tc>
          <w:tcPr>
            <w:tcW w:w="1240" w:type="dxa"/>
            <w:vAlign w:val="bottom"/>
            <w:tcBorders>
              <w:right w:val="single" w:sz="8" w:color="auto"/>
            </w:tcBorders>
            <w:shd w:val="clear" w:color="auto" w:fill="CCEECC"/>
          </w:tcPr>
          <w:p>
            <w:pPr>
              <w:spacing w:after="0"/>
              <w:rPr>
                <w:sz w:val="17"/>
                <w:szCs w:val="17"/>
                <w:color w:val="auto"/>
              </w:rPr>
            </w:pPr>
          </w:p>
        </w:tc>
        <w:tc>
          <w:tcPr>
            <w:tcW w:w="1100" w:type="dxa"/>
            <w:vAlign w:val="bottom"/>
            <w:tcBorders>
              <w:right w:val="single" w:sz="8" w:color="auto"/>
            </w:tcBorders>
            <w:shd w:val="clear" w:color="auto" w:fill="CCEECC"/>
          </w:tcPr>
          <w:p>
            <w:pPr>
              <w:spacing w:after="0"/>
              <w:rPr>
                <w:sz w:val="17"/>
                <w:szCs w:val="17"/>
                <w:color w:val="auto"/>
              </w:rPr>
            </w:pPr>
          </w:p>
        </w:tc>
        <w:tc>
          <w:tcPr>
            <w:tcW w:w="840" w:type="dxa"/>
            <w:vAlign w:val="bottom"/>
            <w:tcBorders>
              <w:right w:val="single" w:sz="8" w:color="auto"/>
            </w:tcBorders>
            <w:shd w:val="clear" w:color="auto" w:fill="CCEECC"/>
          </w:tcPr>
          <w:p>
            <w:pPr>
              <w:ind w:left="100"/>
              <w:spacing w:after="0" w:line="197" w:lineRule="exact"/>
              <w:rPr>
                <w:sz w:val="20"/>
                <w:szCs w:val="20"/>
                <w:color w:val="auto"/>
              </w:rPr>
            </w:pPr>
            <w:r>
              <w:rPr>
                <w:rFonts w:ascii="Arial" w:cs="Arial" w:eastAsia="Arial" w:hAnsi="Arial"/>
                <w:sz w:val="14"/>
                <w:szCs w:val="14"/>
                <w:color w:val="auto"/>
              </w:rPr>
              <w:t>$0.35</w:t>
            </w:r>
            <w:r>
              <w:rPr>
                <w:rFonts w:ascii="Arial" w:cs="Arial" w:eastAsia="Arial" w:hAnsi="Arial"/>
                <w:sz w:val="22"/>
                <w:szCs w:val="22"/>
                <w:color w:val="auto"/>
                <w:vertAlign w:val="superscript"/>
              </w:rPr>
              <w:t>(1)</w:t>
            </w:r>
          </w:p>
        </w:tc>
        <w:tc>
          <w:tcPr>
            <w:tcW w:w="980" w:type="dxa"/>
            <w:vAlign w:val="bottom"/>
            <w:tcBorders>
              <w:right w:val="single" w:sz="8" w:color="auto"/>
            </w:tcBorders>
            <w:shd w:val="clear" w:color="auto" w:fill="CCEECC"/>
          </w:tcPr>
          <w:p>
            <w:pPr>
              <w:ind w:left="100"/>
              <w:spacing w:after="0" w:line="196" w:lineRule="exact"/>
              <w:rPr>
                <w:sz w:val="20"/>
                <w:szCs w:val="20"/>
                <w:color w:val="auto"/>
              </w:rPr>
            </w:pPr>
            <w:r>
              <w:rPr>
                <w:rFonts w:ascii="Arial" w:cs="Arial" w:eastAsia="Arial" w:hAnsi="Arial"/>
                <w:sz w:val="18"/>
                <w:szCs w:val="18"/>
                <w:color w:val="auto"/>
              </w:rPr>
              <w:t>10/1/14</w:t>
            </w:r>
          </w:p>
        </w:tc>
        <w:tc>
          <w:tcPr>
            <w:tcW w:w="800" w:type="dxa"/>
            <w:vAlign w:val="bottom"/>
            <w:tcBorders>
              <w:right w:val="single" w:sz="8" w:color="auto"/>
            </w:tcBorders>
            <w:shd w:val="clear" w:color="auto" w:fill="CCEECC"/>
          </w:tcPr>
          <w:p>
            <w:pPr>
              <w:spacing w:after="0"/>
              <w:rPr>
                <w:sz w:val="17"/>
                <w:szCs w:val="17"/>
                <w:color w:val="auto"/>
              </w:rPr>
            </w:pPr>
          </w:p>
        </w:tc>
        <w:tc>
          <w:tcPr>
            <w:tcW w:w="740" w:type="dxa"/>
            <w:vAlign w:val="bottom"/>
            <w:tcBorders>
              <w:right w:val="single" w:sz="8" w:color="auto"/>
            </w:tcBorders>
            <w:shd w:val="clear" w:color="auto" w:fill="CCEECC"/>
          </w:tcPr>
          <w:p>
            <w:pPr>
              <w:spacing w:after="0"/>
              <w:rPr>
                <w:sz w:val="17"/>
                <w:szCs w:val="17"/>
                <w:color w:val="auto"/>
              </w:rPr>
            </w:pPr>
          </w:p>
        </w:tc>
        <w:tc>
          <w:tcPr>
            <w:tcW w:w="920" w:type="dxa"/>
            <w:vAlign w:val="bottom"/>
            <w:tcBorders>
              <w:right w:val="single" w:sz="8" w:color="auto"/>
            </w:tcBorders>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000" w:type="dxa"/>
            <w:vAlign w:val="bottom"/>
            <w:tcBorders>
              <w:right w:val="single" w:sz="8" w:color="auto"/>
            </w:tcBorders>
            <w:shd w:val="clear" w:color="auto" w:fill="CCEECC"/>
          </w:tcPr>
          <w:p>
            <w:pPr>
              <w:ind w:left="120"/>
              <w:spacing w:after="0"/>
              <w:rPr>
                <w:sz w:val="20"/>
                <w:szCs w:val="20"/>
                <w:color w:val="auto"/>
              </w:rPr>
            </w:pPr>
            <w:r>
              <w:rPr>
                <w:rFonts w:ascii="Arial" w:cs="Arial" w:eastAsia="Arial" w:hAnsi="Arial"/>
                <w:sz w:val="18"/>
                <w:szCs w:val="18"/>
                <w:color w:val="auto"/>
              </w:rPr>
              <w:t>Lester,</w:t>
            </w:r>
          </w:p>
        </w:tc>
        <w:tc>
          <w:tcPr>
            <w:tcW w:w="1100" w:type="dxa"/>
            <w:vAlign w:val="bottom"/>
            <w:tcBorders>
              <w:right w:val="single" w:sz="8" w:color="auto"/>
            </w:tcBorders>
            <w:shd w:val="clear" w:color="auto" w:fill="CCEECC"/>
          </w:tcPr>
          <w:p>
            <w:pPr>
              <w:ind w:left="80"/>
              <w:spacing w:after="0"/>
              <w:rPr>
                <w:sz w:val="20"/>
                <w:szCs w:val="20"/>
                <w:color w:val="auto"/>
              </w:rPr>
            </w:pPr>
            <w:r>
              <w:rPr>
                <w:rFonts w:ascii="Arial" w:cs="Arial" w:eastAsia="Arial" w:hAnsi="Arial"/>
                <w:sz w:val="18"/>
                <w:szCs w:val="18"/>
                <w:color w:val="auto"/>
              </w:rPr>
              <w:t>125,000</w:t>
            </w:r>
          </w:p>
        </w:tc>
        <w:tc>
          <w:tcPr>
            <w:tcW w:w="1240" w:type="dxa"/>
            <w:vAlign w:val="bottom"/>
            <w:tcBorders>
              <w:right w:val="single" w:sz="8" w:color="auto"/>
            </w:tcBorders>
            <w:shd w:val="clear" w:color="auto" w:fill="CCEECC"/>
          </w:tcPr>
          <w:p>
            <w:pPr>
              <w:spacing w:after="0"/>
              <w:rPr>
                <w:sz w:val="20"/>
                <w:szCs w:val="20"/>
                <w:color w:val="auto"/>
              </w:rPr>
            </w:pPr>
          </w:p>
        </w:tc>
        <w:tc>
          <w:tcPr>
            <w:tcW w:w="1100" w:type="dxa"/>
            <w:vAlign w:val="bottom"/>
            <w:tcBorders>
              <w:right w:val="single" w:sz="8" w:color="auto"/>
            </w:tcBorders>
            <w:shd w:val="clear" w:color="auto" w:fill="CCEECC"/>
          </w:tcPr>
          <w:p>
            <w:pPr>
              <w:spacing w:after="0"/>
              <w:rPr>
                <w:sz w:val="20"/>
                <w:szCs w:val="20"/>
                <w:color w:val="auto"/>
              </w:rPr>
            </w:pPr>
          </w:p>
        </w:tc>
        <w:tc>
          <w:tcPr>
            <w:tcW w:w="840" w:type="dxa"/>
            <w:vAlign w:val="bottom"/>
            <w:tcBorders>
              <w:right w:val="single" w:sz="8" w:color="auto"/>
            </w:tcBorders>
            <w:shd w:val="clear" w:color="auto" w:fill="CCEECC"/>
          </w:tcPr>
          <w:p>
            <w:pPr>
              <w:ind w:left="100"/>
              <w:spacing w:after="0" w:line="231" w:lineRule="exact"/>
              <w:rPr>
                <w:sz w:val="20"/>
                <w:szCs w:val="20"/>
                <w:color w:val="auto"/>
              </w:rPr>
            </w:pPr>
            <w:r>
              <w:rPr>
                <w:rFonts w:ascii="Arial" w:cs="Arial" w:eastAsia="Arial" w:hAnsi="Arial"/>
                <w:sz w:val="16"/>
                <w:szCs w:val="16"/>
                <w:color w:val="auto"/>
              </w:rPr>
              <w:t>$0.35</w:t>
            </w:r>
            <w:r>
              <w:rPr>
                <w:rFonts w:ascii="Arial" w:cs="Arial" w:eastAsia="Arial" w:hAnsi="Arial"/>
                <w:sz w:val="26"/>
                <w:szCs w:val="26"/>
                <w:color w:val="auto"/>
                <w:vertAlign w:val="superscript"/>
              </w:rPr>
              <w:t>(1)</w:t>
            </w:r>
          </w:p>
        </w:tc>
        <w:tc>
          <w:tcPr>
            <w:tcW w:w="980" w:type="dxa"/>
            <w:vAlign w:val="bottom"/>
            <w:tcBorders>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12/22/14</w:t>
            </w:r>
          </w:p>
        </w:tc>
        <w:tc>
          <w:tcPr>
            <w:tcW w:w="800" w:type="dxa"/>
            <w:vAlign w:val="bottom"/>
            <w:tcBorders>
              <w:right w:val="single" w:sz="8" w:color="auto"/>
            </w:tcBorders>
            <w:shd w:val="clear" w:color="auto" w:fill="CCEECC"/>
          </w:tcPr>
          <w:p>
            <w:pPr>
              <w:spacing w:after="0"/>
              <w:rPr>
                <w:sz w:val="20"/>
                <w:szCs w:val="20"/>
                <w:color w:val="auto"/>
              </w:rPr>
            </w:pPr>
          </w:p>
        </w:tc>
        <w:tc>
          <w:tcPr>
            <w:tcW w:w="740" w:type="dxa"/>
            <w:vAlign w:val="bottom"/>
            <w:tcBorders>
              <w:right w:val="single" w:sz="8" w:color="auto"/>
            </w:tcBorders>
            <w:shd w:val="clear" w:color="auto" w:fill="CCEECC"/>
          </w:tcPr>
          <w:p>
            <w:pPr>
              <w:spacing w:after="0"/>
              <w:rPr>
                <w:sz w:val="20"/>
                <w:szCs w:val="20"/>
                <w:color w:val="auto"/>
              </w:rPr>
            </w:pPr>
          </w:p>
        </w:tc>
        <w:tc>
          <w:tcPr>
            <w:tcW w:w="920" w:type="dxa"/>
            <w:vAlign w:val="bottom"/>
            <w:tcBorders>
              <w:right w:val="single" w:sz="8" w:color="auto"/>
            </w:tcBorders>
            <w:shd w:val="clear" w:color="auto" w:fill="CCEECC"/>
          </w:tcPr>
          <w:p>
            <w:pPr>
              <w:spacing w:after="0"/>
              <w:rPr>
                <w:sz w:val="20"/>
                <w:szCs w:val="20"/>
                <w:color w:val="auto"/>
              </w:rPr>
            </w:pPr>
          </w:p>
        </w:tc>
        <w:tc>
          <w:tcPr>
            <w:tcW w:w="90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00" w:type="dxa"/>
            <w:vAlign w:val="bottom"/>
            <w:tcBorders>
              <w:right w:val="single" w:sz="8" w:color="auto"/>
            </w:tcBorders>
            <w:shd w:val="clear" w:color="auto" w:fill="CCEECC"/>
          </w:tcPr>
          <w:p>
            <w:pPr>
              <w:ind w:left="120"/>
              <w:spacing w:after="0" w:line="200" w:lineRule="exact"/>
              <w:rPr>
                <w:sz w:val="20"/>
                <w:szCs w:val="20"/>
                <w:color w:val="auto"/>
              </w:rPr>
            </w:pPr>
            <w:r>
              <w:rPr>
                <w:rFonts w:ascii="Arial" w:cs="Arial" w:eastAsia="Arial" w:hAnsi="Arial"/>
                <w:sz w:val="18"/>
                <w:szCs w:val="18"/>
                <w:color w:val="auto"/>
              </w:rPr>
              <w:t>President</w:t>
            </w:r>
          </w:p>
        </w:tc>
        <w:tc>
          <w:tcPr>
            <w:tcW w:w="1100" w:type="dxa"/>
            <w:vAlign w:val="bottom"/>
            <w:tcBorders>
              <w:right w:val="single" w:sz="8" w:color="auto"/>
            </w:tcBorders>
            <w:shd w:val="clear" w:color="auto" w:fill="CCEECC"/>
          </w:tcPr>
          <w:p>
            <w:pPr>
              <w:ind w:left="80"/>
              <w:spacing w:after="0" w:line="200" w:lineRule="exact"/>
              <w:rPr>
                <w:sz w:val="20"/>
                <w:szCs w:val="20"/>
                <w:color w:val="auto"/>
              </w:rPr>
            </w:pPr>
            <w:r>
              <w:rPr>
                <w:rFonts w:ascii="Arial" w:cs="Arial" w:eastAsia="Arial" w:hAnsi="Arial"/>
                <w:sz w:val="18"/>
                <w:szCs w:val="18"/>
                <w:color w:val="auto"/>
              </w:rPr>
              <w:t>55,000</w:t>
            </w:r>
          </w:p>
        </w:tc>
        <w:tc>
          <w:tcPr>
            <w:tcW w:w="1240" w:type="dxa"/>
            <w:vAlign w:val="bottom"/>
            <w:tcBorders>
              <w:right w:val="single" w:sz="8" w:color="auto"/>
            </w:tcBorders>
            <w:shd w:val="clear" w:color="auto" w:fill="CCEECC"/>
          </w:tcPr>
          <w:p>
            <w:pPr>
              <w:spacing w:after="0"/>
              <w:rPr>
                <w:sz w:val="17"/>
                <w:szCs w:val="17"/>
                <w:color w:val="auto"/>
              </w:rPr>
            </w:pPr>
          </w:p>
        </w:tc>
        <w:tc>
          <w:tcPr>
            <w:tcW w:w="1100" w:type="dxa"/>
            <w:vAlign w:val="bottom"/>
            <w:tcBorders>
              <w:right w:val="single" w:sz="8" w:color="auto"/>
            </w:tcBorders>
            <w:shd w:val="clear" w:color="auto" w:fill="CCEECC"/>
          </w:tcPr>
          <w:p>
            <w:pPr>
              <w:spacing w:after="0"/>
              <w:rPr>
                <w:sz w:val="17"/>
                <w:szCs w:val="17"/>
                <w:color w:val="auto"/>
              </w:rPr>
            </w:pPr>
          </w:p>
        </w:tc>
        <w:tc>
          <w:tcPr>
            <w:tcW w:w="840" w:type="dxa"/>
            <w:vAlign w:val="bottom"/>
            <w:tcBorders>
              <w:right w:val="single" w:sz="8" w:color="auto"/>
            </w:tcBorders>
            <w:vMerge w:val="restart"/>
            <w:shd w:val="clear" w:color="auto" w:fill="CCEECC"/>
          </w:tcPr>
          <w:p>
            <w:pPr>
              <w:ind w:left="100"/>
              <w:spacing w:after="0"/>
              <w:rPr>
                <w:sz w:val="20"/>
                <w:szCs w:val="20"/>
                <w:color w:val="auto"/>
              </w:rPr>
            </w:pPr>
            <w:r>
              <w:rPr>
                <w:rFonts w:ascii="Arial" w:cs="Arial" w:eastAsia="Arial" w:hAnsi="Arial"/>
                <w:sz w:val="18"/>
                <w:szCs w:val="18"/>
                <w:color w:val="auto"/>
              </w:rPr>
              <w:t>$1.00</w:t>
            </w:r>
          </w:p>
        </w:tc>
        <w:tc>
          <w:tcPr>
            <w:tcW w:w="980" w:type="dxa"/>
            <w:vAlign w:val="bottom"/>
            <w:tcBorders>
              <w:right w:val="single" w:sz="8" w:color="auto"/>
            </w:tcBorders>
            <w:shd w:val="clear" w:color="auto" w:fill="CCEECC"/>
          </w:tcPr>
          <w:p>
            <w:pPr>
              <w:ind w:left="100"/>
              <w:spacing w:after="0" w:line="200" w:lineRule="exact"/>
              <w:rPr>
                <w:sz w:val="20"/>
                <w:szCs w:val="20"/>
                <w:color w:val="auto"/>
              </w:rPr>
            </w:pPr>
            <w:r>
              <w:rPr>
                <w:rFonts w:ascii="Arial" w:cs="Arial" w:eastAsia="Arial" w:hAnsi="Arial"/>
                <w:sz w:val="18"/>
                <w:szCs w:val="18"/>
                <w:color w:val="auto"/>
              </w:rPr>
              <w:t>5/31/16</w:t>
            </w:r>
          </w:p>
        </w:tc>
        <w:tc>
          <w:tcPr>
            <w:tcW w:w="800" w:type="dxa"/>
            <w:vAlign w:val="bottom"/>
            <w:tcBorders>
              <w:right w:val="single" w:sz="8" w:color="auto"/>
            </w:tcBorders>
            <w:shd w:val="clear" w:color="auto" w:fill="CCEECC"/>
          </w:tcPr>
          <w:p>
            <w:pPr>
              <w:spacing w:after="0"/>
              <w:rPr>
                <w:sz w:val="17"/>
                <w:szCs w:val="17"/>
                <w:color w:val="auto"/>
              </w:rPr>
            </w:pPr>
          </w:p>
        </w:tc>
        <w:tc>
          <w:tcPr>
            <w:tcW w:w="740" w:type="dxa"/>
            <w:vAlign w:val="bottom"/>
            <w:tcBorders>
              <w:right w:val="single" w:sz="8" w:color="auto"/>
            </w:tcBorders>
            <w:shd w:val="clear" w:color="auto" w:fill="CCEECC"/>
          </w:tcPr>
          <w:p>
            <w:pPr>
              <w:spacing w:after="0"/>
              <w:rPr>
                <w:sz w:val="17"/>
                <w:szCs w:val="17"/>
                <w:color w:val="auto"/>
              </w:rPr>
            </w:pPr>
          </w:p>
        </w:tc>
        <w:tc>
          <w:tcPr>
            <w:tcW w:w="920" w:type="dxa"/>
            <w:vAlign w:val="bottom"/>
            <w:tcBorders>
              <w:right w:val="single" w:sz="8" w:color="auto"/>
            </w:tcBorders>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000" w:type="dxa"/>
            <w:vAlign w:val="bottom"/>
            <w:tcBorders>
              <w:right w:val="single" w:sz="8" w:color="auto"/>
            </w:tcBorders>
            <w:vMerge w:val="restart"/>
            <w:shd w:val="clear" w:color="auto" w:fill="CCEECC"/>
          </w:tcPr>
          <w:p>
            <w:pPr>
              <w:ind w:left="120"/>
              <w:spacing w:after="0"/>
              <w:rPr>
                <w:sz w:val="20"/>
                <w:szCs w:val="20"/>
                <w:color w:val="auto"/>
              </w:rPr>
            </w:pPr>
            <w:r>
              <w:rPr>
                <w:rFonts w:ascii="Arial" w:cs="Arial" w:eastAsia="Arial" w:hAnsi="Arial"/>
                <w:sz w:val="18"/>
                <w:szCs w:val="18"/>
                <w:color w:val="auto"/>
              </w:rPr>
              <w:t>CEO,</w:t>
            </w:r>
          </w:p>
        </w:tc>
        <w:tc>
          <w:tcPr>
            <w:tcW w:w="1100" w:type="dxa"/>
            <w:vAlign w:val="bottom"/>
            <w:tcBorders>
              <w:right w:val="single" w:sz="8" w:color="auto"/>
            </w:tcBorders>
            <w:shd w:val="clear" w:color="auto" w:fill="CCEECC"/>
          </w:tcPr>
          <w:p>
            <w:pPr>
              <w:spacing w:after="0"/>
              <w:rPr>
                <w:sz w:val="8"/>
                <w:szCs w:val="8"/>
                <w:color w:val="auto"/>
              </w:rPr>
            </w:pPr>
          </w:p>
        </w:tc>
        <w:tc>
          <w:tcPr>
            <w:tcW w:w="1240" w:type="dxa"/>
            <w:vAlign w:val="bottom"/>
            <w:tcBorders>
              <w:right w:val="single" w:sz="8" w:color="auto"/>
            </w:tcBorders>
            <w:shd w:val="clear" w:color="auto" w:fill="CCEECC"/>
          </w:tcPr>
          <w:p>
            <w:pPr>
              <w:spacing w:after="0"/>
              <w:rPr>
                <w:sz w:val="8"/>
                <w:szCs w:val="8"/>
                <w:color w:val="auto"/>
              </w:rPr>
            </w:pPr>
          </w:p>
        </w:tc>
        <w:tc>
          <w:tcPr>
            <w:tcW w:w="1100" w:type="dxa"/>
            <w:vAlign w:val="bottom"/>
            <w:tcBorders>
              <w:right w:val="single" w:sz="8" w:color="auto"/>
            </w:tcBorders>
            <w:shd w:val="clear" w:color="auto" w:fill="CCEECC"/>
          </w:tcPr>
          <w:p>
            <w:pPr>
              <w:spacing w:after="0"/>
              <w:rPr>
                <w:sz w:val="8"/>
                <w:szCs w:val="8"/>
                <w:color w:val="auto"/>
              </w:rPr>
            </w:pPr>
          </w:p>
        </w:tc>
        <w:tc>
          <w:tcPr>
            <w:tcW w:w="840" w:type="dxa"/>
            <w:vAlign w:val="bottom"/>
            <w:tcBorders>
              <w:right w:val="single" w:sz="8" w:color="auto"/>
            </w:tcBorders>
            <w:vMerge w:val="continue"/>
            <w:shd w:val="clear" w:color="auto" w:fill="CCEECC"/>
          </w:tcPr>
          <w:p>
            <w:pPr>
              <w:spacing w:after="0"/>
              <w:rPr>
                <w:sz w:val="8"/>
                <w:szCs w:val="8"/>
                <w:color w:val="auto"/>
              </w:rPr>
            </w:pPr>
          </w:p>
        </w:tc>
        <w:tc>
          <w:tcPr>
            <w:tcW w:w="980" w:type="dxa"/>
            <w:vAlign w:val="bottom"/>
            <w:tcBorders>
              <w:right w:val="single" w:sz="8" w:color="auto"/>
            </w:tcBorders>
            <w:shd w:val="clear" w:color="auto" w:fill="CCEECC"/>
          </w:tcPr>
          <w:p>
            <w:pPr>
              <w:spacing w:after="0"/>
              <w:rPr>
                <w:sz w:val="8"/>
                <w:szCs w:val="8"/>
                <w:color w:val="auto"/>
              </w:rPr>
            </w:pPr>
          </w:p>
        </w:tc>
        <w:tc>
          <w:tcPr>
            <w:tcW w:w="800" w:type="dxa"/>
            <w:vAlign w:val="bottom"/>
            <w:tcBorders>
              <w:right w:val="single" w:sz="8" w:color="auto"/>
            </w:tcBorders>
            <w:shd w:val="clear" w:color="auto" w:fill="CCEECC"/>
          </w:tcPr>
          <w:p>
            <w:pPr>
              <w:spacing w:after="0"/>
              <w:rPr>
                <w:sz w:val="8"/>
                <w:szCs w:val="8"/>
                <w:color w:val="auto"/>
              </w:rPr>
            </w:pPr>
          </w:p>
        </w:tc>
        <w:tc>
          <w:tcPr>
            <w:tcW w:w="740" w:type="dxa"/>
            <w:vAlign w:val="bottom"/>
            <w:tcBorders>
              <w:right w:val="single" w:sz="8" w:color="auto"/>
            </w:tcBorders>
            <w:shd w:val="clear" w:color="auto" w:fill="CCEECC"/>
          </w:tcPr>
          <w:p>
            <w:pPr>
              <w:spacing w:after="0"/>
              <w:rPr>
                <w:sz w:val="8"/>
                <w:szCs w:val="8"/>
                <w:color w:val="auto"/>
              </w:rPr>
            </w:pPr>
          </w:p>
        </w:tc>
        <w:tc>
          <w:tcPr>
            <w:tcW w:w="920" w:type="dxa"/>
            <w:vAlign w:val="bottom"/>
            <w:tcBorders>
              <w:right w:val="single" w:sz="8" w:color="auto"/>
            </w:tcBorders>
            <w:shd w:val="clear" w:color="auto" w:fill="CCEECC"/>
          </w:tcPr>
          <w:p>
            <w:pPr>
              <w:spacing w:after="0"/>
              <w:rPr>
                <w:sz w:val="8"/>
                <w:szCs w:val="8"/>
                <w:color w:val="auto"/>
              </w:rPr>
            </w:pPr>
          </w:p>
        </w:tc>
        <w:tc>
          <w:tcPr>
            <w:tcW w:w="900" w:type="dxa"/>
            <w:vAlign w:val="bottom"/>
            <w:shd w:val="clear" w:color="auto" w:fill="CCEEC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0" w:type="dxa"/>
            <w:vAlign w:val="bottom"/>
            <w:tcBorders>
              <w:right w:val="single" w:sz="8" w:color="auto"/>
            </w:tcBorders>
            <w:vMerge w:val="continue"/>
            <w:shd w:val="clear" w:color="auto" w:fill="CCEECC"/>
          </w:tcPr>
          <w:p>
            <w:pPr>
              <w:spacing w:after="0"/>
              <w:rPr>
                <w:sz w:val="10"/>
                <w:szCs w:val="10"/>
                <w:color w:val="auto"/>
              </w:rPr>
            </w:pPr>
          </w:p>
        </w:tc>
        <w:tc>
          <w:tcPr>
            <w:tcW w:w="1100" w:type="dxa"/>
            <w:vAlign w:val="bottom"/>
            <w:tcBorders>
              <w:right w:val="single" w:sz="8" w:color="auto"/>
            </w:tcBorders>
            <w:shd w:val="clear" w:color="auto" w:fill="CCEECC"/>
          </w:tcPr>
          <w:p>
            <w:pPr>
              <w:spacing w:after="0"/>
              <w:rPr>
                <w:sz w:val="10"/>
                <w:szCs w:val="10"/>
                <w:color w:val="auto"/>
              </w:rPr>
            </w:pPr>
          </w:p>
        </w:tc>
        <w:tc>
          <w:tcPr>
            <w:tcW w:w="1240" w:type="dxa"/>
            <w:vAlign w:val="bottom"/>
            <w:tcBorders>
              <w:right w:val="single" w:sz="8" w:color="auto"/>
            </w:tcBorders>
            <w:shd w:val="clear" w:color="auto" w:fill="CCEECC"/>
          </w:tcPr>
          <w:p>
            <w:pPr>
              <w:spacing w:after="0"/>
              <w:rPr>
                <w:sz w:val="10"/>
                <w:szCs w:val="10"/>
                <w:color w:val="auto"/>
              </w:rPr>
            </w:pPr>
          </w:p>
        </w:tc>
        <w:tc>
          <w:tcPr>
            <w:tcW w:w="1100" w:type="dxa"/>
            <w:vAlign w:val="bottom"/>
            <w:tcBorders>
              <w:right w:val="single" w:sz="8" w:color="auto"/>
            </w:tcBorders>
            <w:shd w:val="clear" w:color="auto" w:fill="CCEECC"/>
          </w:tcPr>
          <w:p>
            <w:pPr>
              <w:spacing w:after="0"/>
              <w:rPr>
                <w:sz w:val="10"/>
                <w:szCs w:val="10"/>
                <w:color w:val="auto"/>
              </w:rPr>
            </w:pPr>
          </w:p>
        </w:tc>
        <w:tc>
          <w:tcPr>
            <w:tcW w:w="840" w:type="dxa"/>
            <w:vAlign w:val="bottom"/>
            <w:tcBorders>
              <w:right w:val="single" w:sz="8" w:color="auto"/>
            </w:tcBorders>
            <w:shd w:val="clear" w:color="auto" w:fill="CCEECC"/>
          </w:tcPr>
          <w:p>
            <w:pPr>
              <w:spacing w:after="0"/>
              <w:rPr>
                <w:sz w:val="10"/>
                <w:szCs w:val="10"/>
                <w:color w:val="auto"/>
              </w:rPr>
            </w:pPr>
          </w:p>
        </w:tc>
        <w:tc>
          <w:tcPr>
            <w:tcW w:w="980" w:type="dxa"/>
            <w:vAlign w:val="bottom"/>
            <w:tcBorders>
              <w:right w:val="single" w:sz="8" w:color="auto"/>
            </w:tcBorders>
            <w:shd w:val="clear" w:color="auto" w:fill="CCEECC"/>
          </w:tcPr>
          <w:p>
            <w:pPr>
              <w:spacing w:after="0"/>
              <w:rPr>
                <w:sz w:val="10"/>
                <w:szCs w:val="10"/>
                <w:color w:val="auto"/>
              </w:rPr>
            </w:pPr>
          </w:p>
        </w:tc>
        <w:tc>
          <w:tcPr>
            <w:tcW w:w="800" w:type="dxa"/>
            <w:vAlign w:val="bottom"/>
            <w:tcBorders>
              <w:right w:val="single" w:sz="8" w:color="auto"/>
            </w:tcBorders>
            <w:shd w:val="clear" w:color="auto" w:fill="CCEECC"/>
          </w:tcPr>
          <w:p>
            <w:pPr>
              <w:spacing w:after="0"/>
              <w:rPr>
                <w:sz w:val="10"/>
                <w:szCs w:val="10"/>
                <w:color w:val="auto"/>
              </w:rPr>
            </w:pPr>
          </w:p>
        </w:tc>
        <w:tc>
          <w:tcPr>
            <w:tcW w:w="740" w:type="dxa"/>
            <w:vAlign w:val="bottom"/>
            <w:tcBorders>
              <w:right w:val="single" w:sz="8" w:color="auto"/>
            </w:tcBorders>
            <w:shd w:val="clear" w:color="auto" w:fill="CCEECC"/>
          </w:tcPr>
          <w:p>
            <w:pPr>
              <w:spacing w:after="0"/>
              <w:rPr>
                <w:sz w:val="10"/>
                <w:szCs w:val="10"/>
                <w:color w:val="auto"/>
              </w:rPr>
            </w:pPr>
          </w:p>
        </w:tc>
        <w:tc>
          <w:tcPr>
            <w:tcW w:w="920" w:type="dxa"/>
            <w:vAlign w:val="bottom"/>
            <w:tcBorders>
              <w:right w:val="single" w:sz="8" w:color="auto"/>
            </w:tcBorders>
            <w:shd w:val="clear" w:color="auto" w:fill="CCEECC"/>
          </w:tcPr>
          <w:p>
            <w:pPr>
              <w:spacing w:after="0"/>
              <w:rPr>
                <w:sz w:val="10"/>
                <w:szCs w:val="10"/>
                <w:color w:val="auto"/>
              </w:rPr>
            </w:pPr>
          </w:p>
        </w:tc>
        <w:tc>
          <w:tcPr>
            <w:tcW w:w="900" w:type="dxa"/>
            <w:vAlign w:val="bottom"/>
            <w:shd w:val="clear" w:color="auto" w:fill="CCEECC"/>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shd w:val="clear" w:color="auto" w:fill="CCEECC"/>
          </w:tcPr>
          <w:p>
            <w:pPr>
              <w:ind w:left="120"/>
              <w:spacing w:after="0"/>
              <w:rPr>
                <w:sz w:val="20"/>
                <w:szCs w:val="20"/>
                <w:color w:val="auto"/>
              </w:rPr>
            </w:pPr>
            <w:r>
              <w:rPr>
                <w:rFonts w:ascii="Arial" w:cs="Arial" w:eastAsia="Arial" w:hAnsi="Arial"/>
                <w:sz w:val="18"/>
                <w:szCs w:val="18"/>
                <w:color w:val="auto"/>
              </w:rPr>
              <w:t>CFO and</w:t>
            </w:r>
          </w:p>
        </w:tc>
        <w:tc>
          <w:tcPr>
            <w:tcW w:w="1100" w:type="dxa"/>
            <w:vAlign w:val="bottom"/>
            <w:tcBorders>
              <w:right w:val="single" w:sz="8" w:color="auto"/>
            </w:tcBorders>
            <w:shd w:val="clear" w:color="auto" w:fill="CCEECC"/>
          </w:tcPr>
          <w:p>
            <w:pPr>
              <w:spacing w:after="0"/>
              <w:rPr>
                <w:sz w:val="18"/>
                <w:szCs w:val="18"/>
                <w:color w:val="auto"/>
              </w:rPr>
            </w:pPr>
          </w:p>
        </w:tc>
        <w:tc>
          <w:tcPr>
            <w:tcW w:w="1240" w:type="dxa"/>
            <w:vAlign w:val="bottom"/>
            <w:tcBorders>
              <w:right w:val="single" w:sz="8" w:color="auto"/>
            </w:tcBorders>
            <w:shd w:val="clear" w:color="auto" w:fill="CCEECC"/>
          </w:tcPr>
          <w:p>
            <w:pPr>
              <w:spacing w:after="0"/>
              <w:rPr>
                <w:sz w:val="18"/>
                <w:szCs w:val="18"/>
                <w:color w:val="auto"/>
              </w:rPr>
            </w:pPr>
          </w:p>
        </w:tc>
        <w:tc>
          <w:tcPr>
            <w:tcW w:w="1100" w:type="dxa"/>
            <w:vAlign w:val="bottom"/>
            <w:tcBorders>
              <w:right w:val="single" w:sz="8" w:color="auto"/>
            </w:tcBorders>
            <w:shd w:val="clear" w:color="auto" w:fill="CCEECC"/>
          </w:tcPr>
          <w:p>
            <w:pPr>
              <w:spacing w:after="0"/>
              <w:rPr>
                <w:sz w:val="18"/>
                <w:szCs w:val="18"/>
                <w:color w:val="auto"/>
              </w:rPr>
            </w:pPr>
          </w:p>
        </w:tc>
        <w:tc>
          <w:tcPr>
            <w:tcW w:w="840" w:type="dxa"/>
            <w:vAlign w:val="bottom"/>
            <w:tcBorders>
              <w:right w:val="single" w:sz="8" w:color="auto"/>
            </w:tcBorders>
            <w:shd w:val="clear" w:color="auto" w:fill="CCEECC"/>
          </w:tcPr>
          <w:p>
            <w:pPr>
              <w:spacing w:after="0"/>
              <w:rPr>
                <w:sz w:val="18"/>
                <w:szCs w:val="18"/>
                <w:color w:val="auto"/>
              </w:rPr>
            </w:pPr>
          </w:p>
        </w:tc>
        <w:tc>
          <w:tcPr>
            <w:tcW w:w="980" w:type="dxa"/>
            <w:vAlign w:val="bottom"/>
            <w:tcBorders>
              <w:right w:val="single" w:sz="8" w:color="auto"/>
            </w:tcBorders>
            <w:shd w:val="clear" w:color="auto" w:fill="CCEECC"/>
          </w:tcPr>
          <w:p>
            <w:pPr>
              <w:spacing w:after="0"/>
              <w:rPr>
                <w:sz w:val="18"/>
                <w:szCs w:val="18"/>
                <w:color w:val="auto"/>
              </w:rPr>
            </w:pPr>
          </w:p>
        </w:tc>
        <w:tc>
          <w:tcPr>
            <w:tcW w:w="800" w:type="dxa"/>
            <w:vAlign w:val="bottom"/>
            <w:tcBorders>
              <w:right w:val="single" w:sz="8" w:color="auto"/>
            </w:tcBorders>
            <w:shd w:val="clear" w:color="auto" w:fill="CCEECC"/>
          </w:tcPr>
          <w:p>
            <w:pPr>
              <w:spacing w:after="0"/>
              <w:rPr>
                <w:sz w:val="18"/>
                <w:szCs w:val="18"/>
                <w:color w:val="auto"/>
              </w:rPr>
            </w:pPr>
          </w:p>
        </w:tc>
        <w:tc>
          <w:tcPr>
            <w:tcW w:w="740" w:type="dxa"/>
            <w:vAlign w:val="bottom"/>
            <w:tcBorders>
              <w:right w:val="single" w:sz="8" w:color="auto"/>
            </w:tcBorders>
            <w:shd w:val="clear" w:color="auto" w:fill="CCEECC"/>
          </w:tcPr>
          <w:p>
            <w:pPr>
              <w:spacing w:after="0"/>
              <w:rPr>
                <w:sz w:val="18"/>
                <w:szCs w:val="18"/>
                <w:color w:val="auto"/>
              </w:rPr>
            </w:pPr>
          </w:p>
        </w:tc>
        <w:tc>
          <w:tcPr>
            <w:tcW w:w="920" w:type="dxa"/>
            <w:vAlign w:val="bottom"/>
            <w:tcBorders>
              <w:right w:val="single" w:sz="8" w:color="auto"/>
            </w:tcBorders>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Borders>
              <w:bottom w:val="single" w:sz="8" w:color="auto"/>
              <w:right w:val="single" w:sz="8" w:color="auto"/>
            </w:tcBorders>
            <w:shd w:val="clear" w:color="auto" w:fill="CCEECC"/>
          </w:tcPr>
          <w:p>
            <w:pPr>
              <w:ind w:left="120"/>
              <w:spacing w:after="0"/>
              <w:rPr>
                <w:sz w:val="20"/>
                <w:szCs w:val="20"/>
                <w:color w:val="auto"/>
              </w:rPr>
            </w:pPr>
            <w:r>
              <w:rPr>
                <w:rFonts w:ascii="Arial" w:cs="Arial" w:eastAsia="Arial" w:hAnsi="Arial"/>
                <w:sz w:val="18"/>
                <w:szCs w:val="18"/>
                <w:color w:val="auto"/>
              </w:rPr>
              <w:t>Director</w:t>
            </w:r>
          </w:p>
        </w:tc>
        <w:tc>
          <w:tcPr>
            <w:tcW w:w="1100" w:type="dxa"/>
            <w:vAlign w:val="bottom"/>
            <w:tcBorders>
              <w:bottom w:val="single" w:sz="8" w:color="auto"/>
              <w:right w:val="single" w:sz="8" w:color="auto"/>
            </w:tcBorders>
            <w:shd w:val="clear" w:color="auto" w:fill="CCEECC"/>
          </w:tcPr>
          <w:p>
            <w:pPr>
              <w:spacing w:after="0"/>
              <w:rPr>
                <w:sz w:val="20"/>
                <w:szCs w:val="20"/>
                <w:color w:val="auto"/>
              </w:rPr>
            </w:pPr>
          </w:p>
        </w:tc>
        <w:tc>
          <w:tcPr>
            <w:tcW w:w="1240" w:type="dxa"/>
            <w:vAlign w:val="bottom"/>
            <w:tcBorders>
              <w:bottom w:val="single" w:sz="8" w:color="auto"/>
              <w:right w:val="single" w:sz="8" w:color="auto"/>
            </w:tcBorders>
            <w:shd w:val="clear" w:color="auto" w:fill="CCEECC"/>
          </w:tcPr>
          <w:p>
            <w:pPr>
              <w:spacing w:after="0"/>
              <w:rPr>
                <w:sz w:val="20"/>
                <w:szCs w:val="20"/>
                <w:color w:val="auto"/>
              </w:rPr>
            </w:pPr>
          </w:p>
        </w:tc>
        <w:tc>
          <w:tcPr>
            <w:tcW w:w="1100" w:type="dxa"/>
            <w:vAlign w:val="bottom"/>
            <w:tcBorders>
              <w:bottom w:val="single" w:sz="8" w:color="auto"/>
              <w:right w:val="single" w:sz="8" w:color="auto"/>
            </w:tcBorders>
            <w:shd w:val="clear" w:color="auto" w:fill="CCEECC"/>
          </w:tcPr>
          <w:p>
            <w:pPr>
              <w:spacing w:after="0"/>
              <w:rPr>
                <w:sz w:val="20"/>
                <w:szCs w:val="20"/>
                <w:color w:val="auto"/>
              </w:rPr>
            </w:pPr>
          </w:p>
        </w:tc>
        <w:tc>
          <w:tcPr>
            <w:tcW w:w="840" w:type="dxa"/>
            <w:vAlign w:val="bottom"/>
            <w:tcBorders>
              <w:bottom w:val="single" w:sz="8" w:color="auto"/>
              <w:right w:val="single" w:sz="8" w:color="auto"/>
            </w:tcBorders>
            <w:shd w:val="clear" w:color="auto" w:fill="CCEECC"/>
          </w:tcPr>
          <w:p>
            <w:pPr>
              <w:spacing w:after="0"/>
              <w:rPr>
                <w:sz w:val="20"/>
                <w:szCs w:val="20"/>
                <w:color w:val="auto"/>
              </w:rPr>
            </w:pPr>
          </w:p>
        </w:tc>
        <w:tc>
          <w:tcPr>
            <w:tcW w:w="980" w:type="dxa"/>
            <w:vAlign w:val="bottom"/>
            <w:tcBorders>
              <w:bottom w:val="single" w:sz="8" w:color="auto"/>
              <w:right w:val="single" w:sz="8" w:color="auto"/>
            </w:tcBorders>
            <w:shd w:val="clear" w:color="auto" w:fill="CCEECC"/>
          </w:tcPr>
          <w:p>
            <w:pPr>
              <w:spacing w:after="0"/>
              <w:rPr>
                <w:sz w:val="20"/>
                <w:szCs w:val="20"/>
                <w:color w:val="auto"/>
              </w:rPr>
            </w:pPr>
          </w:p>
        </w:tc>
        <w:tc>
          <w:tcPr>
            <w:tcW w:w="800" w:type="dxa"/>
            <w:vAlign w:val="bottom"/>
            <w:tcBorders>
              <w:bottom w:val="single" w:sz="8" w:color="auto"/>
              <w:right w:val="single" w:sz="8" w:color="auto"/>
            </w:tcBorders>
            <w:shd w:val="clear" w:color="auto" w:fill="CCEECC"/>
          </w:tcPr>
          <w:p>
            <w:pPr>
              <w:spacing w:after="0"/>
              <w:rPr>
                <w:sz w:val="20"/>
                <w:szCs w:val="20"/>
                <w:color w:val="auto"/>
              </w:rPr>
            </w:pPr>
          </w:p>
        </w:tc>
        <w:tc>
          <w:tcPr>
            <w:tcW w:w="740" w:type="dxa"/>
            <w:vAlign w:val="bottom"/>
            <w:tcBorders>
              <w:bottom w:val="single" w:sz="8" w:color="auto"/>
              <w:right w:val="single" w:sz="8" w:color="auto"/>
            </w:tcBorders>
            <w:shd w:val="clear" w:color="auto" w:fill="CCEECC"/>
          </w:tcPr>
          <w:p>
            <w:pPr>
              <w:spacing w:after="0"/>
              <w:rPr>
                <w:sz w:val="20"/>
                <w:szCs w:val="20"/>
                <w:color w:val="auto"/>
              </w:rPr>
            </w:pPr>
          </w:p>
        </w:tc>
        <w:tc>
          <w:tcPr>
            <w:tcW w:w="920" w:type="dxa"/>
            <w:vAlign w:val="bottom"/>
            <w:tcBorders>
              <w:bottom w:val="single" w:sz="8" w:color="auto"/>
              <w:right w:val="single" w:sz="8" w:color="auto"/>
            </w:tcBorders>
            <w:shd w:val="clear" w:color="auto" w:fill="CCEECC"/>
          </w:tcPr>
          <w:p>
            <w:pPr>
              <w:spacing w:after="0"/>
              <w:rPr>
                <w:sz w:val="20"/>
                <w:szCs w:val="20"/>
                <w:color w:val="auto"/>
              </w:rPr>
            </w:pPr>
          </w:p>
        </w:tc>
        <w:tc>
          <w:tcPr>
            <w:tcW w:w="900" w:type="dxa"/>
            <w:vAlign w:val="bottom"/>
            <w:tcBorders>
              <w:bottom w:val="single" w:sz="8" w:color="auto"/>
            </w:tcBorders>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David</w:t>
            </w:r>
          </w:p>
        </w:tc>
        <w:tc>
          <w:tcPr>
            <w:tcW w:w="11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100,000</w:t>
            </w:r>
          </w:p>
        </w:tc>
        <w:tc>
          <w:tcPr>
            <w:tcW w:w="12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$1.00</w:t>
            </w:r>
          </w:p>
        </w:tc>
        <w:tc>
          <w:tcPr>
            <w:tcW w:w="9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3/5/14</w:t>
            </w:r>
          </w:p>
        </w:tc>
        <w:tc>
          <w:tcPr>
            <w:tcW w:w="8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Harrell,</w:t>
            </w:r>
          </w:p>
        </w:tc>
        <w:tc>
          <w:tcPr>
            <w:tcW w:w="1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200,000</w:t>
            </w: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$1.81</w:t>
            </w:r>
          </w:p>
        </w:tc>
        <w:tc>
          <w:tcPr>
            <w:tcW w:w="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4/26/15</w:t>
            </w: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Chairman,</w:t>
            </w:r>
          </w:p>
        </w:tc>
        <w:tc>
          <w:tcPr>
            <w:tcW w:w="1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102,500</w:t>
            </w: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5/31/16</w:t>
            </w: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Former</w:t>
            </w: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President</w:t>
            </w: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and CEO</w:t>
            </w:r>
          </w:p>
        </w:tc>
        <w:tc>
          <w:tcPr>
            <w:tcW w:w="11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00" w:type="dxa"/>
            <w:vAlign w:val="bottom"/>
            <w:tcBorders>
              <w:right w:val="single" w:sz="8" w:color="auto"/>
            </w:tcBorders>
            <w:shd w:val="clear" w:color="auto" w:fill="CCEECC"/>
          </w:tcPr>
          <w:p>
            <w:pPr>
              <w:ind w:left="120"/>
              <w:spacing w:after="0" w:line="195" w:lineRule="exact"/>
              <w:rPr>
                <w:sz w:val="20"/>
                <w:szCs w:val="20"/>
                <w:color w:val="auto"/>
              </w:rPr>
            </w:pPr>
            <w:r>
              <w:rPr>
                <w:rFonts w:ascii="Arial" w:cs="Arial" w:eastAsia="Arial" w:hAnsi="Arial"/>
                <w:sz w:val="18"/>
                <w:szCs w:val="18"/>
                <w:color w:val="auto"/>
                <w:w w:val="98"/>
              </w:rPr>
              <w:t>Terence J.</w:t>
            </w:r>
          </w:p>
        </w:tc>
        <w:tc>
          <w:tcPr>
            <w:tcW w:w="1100" w:type="dxa"/>
            <w:vAlign w:val="bottom"/>
            <w:tcBorders>
              <w:right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rPr>
              <w:t>150,000</w:t>
            </w:r>
          </w:p>
        </w:tc>
        <w:tc>
          <w:tcPr>
            <w:tcW w:w="1240" w:type="dxa"/>
            <w:vAlign w:val="bottom"/>
            <w:tcBorders>
              <w:right w:val="single" w:sz="8" w:color="auto"/>
            </w:tcBorders>
            <w:shd w:val="clear" w:color="auto" w:fill="CCEECC"/>
          </w:tcPr>
          <w:p>
            <w:pPr>
              <w:spacing w:after="0"/>
              <w:rPr>
                <w:sz w:val="16"/>
                <w:szCs w:val="16"/>
                <w:color w:val="auto"/>
              </w:rPr>
            </w:pPr>
          </w:p>
        </w:tc>
        <w:tc>
          <w:tcPr>
            <w:tcW w:w="1100" w:type="dxa"/>
            <w:vAlign w:val="bottom"/>
            <w:tcBorders>
              <w:right w:val="single" w:sz="8" w:color="auto"/>
            </w:tcBorders>
            <w:shd w:val="clear" w:color="auto" w:fill="CCEECC"/>
          </w:tcPr>
          <w:p>
            <w:pPr>
              <w:spacing w:after="0"/>
              <w:rPr>
                <w:sz w:val="16"/>
                <w:szCs w:val="16"/>
                <w:color w:val="auto"/>
              </w:rPr>
            </w:pPr>
          </w:p>
        </w:tc>
        <w:tc>
          <w:tcPr>
            <w:tcW w:w="840" w:type="dxa"/>
            <w:vAlign w:val="bottom"/>
            <w:tcBorders>
              <w:right w:val="single" w:sz="8" w:color="auto"/>
            </w:tcBorders>
            <w:shd w:val="clear" w:color="auto" w:fill="CCEECC"/>
          </w:tcPr>
          <w:p>
            <w:pPr>
              <w:ind w:left="100"/>
              <w:spacing w:after="0" w:line="195" w:lineRule="exact"/>
              <w:rPr>
                <w:sz w:val="20"/>
                <w:szCs w:val="20"/>
                <w:color w:val="auto"/>
              </w:rPr>
            </w:pPr>
            <w:r>
              <w:rPr>
                <w:rFonts w:ascii="Arial" w:cs="Arial" w:eastAsia="Arial" w:hAnsi="Arial"/>
                <w:sz w:val="18"/>
                <w:szCs w:val="18"/>
                <w:color w:val="auto"/>
              </w:rPr>
              <w:t>$1.00</w:t>
            </w:r>
          </w:p>
        </w:tc>
        <w:tc>
          <w:tcPr>
            <w:tcW w:w="980" w:type="dxa"/>
            <w:vAlign w:val="bottom"/>
            <w:tcBorders>
              <w:right w:val="single" w:sz="8" w:color="auto"/>
            </w:tcBorders>
            <w:shd w:val="clear" w:color="auto" w:fill="CCEECC"/>
          </w:tcPr>
          <w:p>
            <w:pPr>
              <w:ind w:left="100"/>
              <w:spacing w:after="0" w:line="195" w:lineRule="exact"/>
              <w:rPr>
                <w:sz w:val="20"/>
                <w:szCs w:val="20"/>
                <w:color w:val="auto"/>
              </w:rPr>
            </w:pPr>
            <w:r>
              <w:rPr>
                <w:rFonts w:ascii="Arial" w:cs="Arial" w:eastAsia="Arial" w:hAnsi="Arial"/>
                <w:sz w:val="18"/>
                <w:szCs w:val="18"/>
                <w:color w:val="auto"/>
              </w:rPr>
              <w:t>3/5/14</w:t>
            </w:r>
          </w:p>
        </w:tc>
        <w:tc>
          <w:tcPr>
            <w:tcW w:w="800" w:type="dxa"/>
            <w:vAlign w:val="bottom"/>
            <w:tcBorders>
              <w:right w:val="single" w:sz="8" w:color="auto"/>
            </w:tcBorders>
            <w:shd w:val="clear" w:color="auto" w:fill="CCEECC"/>
          </w:tcPr>
          <w:p>
            <w:pPr>
              <w:spacing w:after="0"/>
              <w:rPr>
                <w:sz w:val="16"/>
                <w:szCs w:val="16"/>
                <w:color w:val="auto"/>
              </w:rPr>
            </w:pPr>
          </w:p>
        </w:tc>
        <w:tc>
          <w:tcPr>
            <w:tcW w:w="740" w:type="dxa"/>
            <w:vAlign w:val="bottom"/>
            <w:tcBorders>
              <w:right w:val="single" w:sz="8" w:color="auto"/>
            </w:tcBorders>
            <w:shd w:val="clear" w:color="auto" w:fill="CCEECC"/>
          </w:tcPr>
          <w:p>
            <w:pPr>
              <w:spacing w:after="0"/>
              <w:rPr>
                <w:sz w:val="16"/>
                <w:szCs w:val="16"/>
                <w:color w:val="auto"/>
              </w:rPr>
            </w:pPr>
          </w:p>
        </w:tc>
        <w:tc>
          <w:tcPr>
            <w:tcW w:w="920" w:type="dxa"/>
            <w:vAlign w:val="bottom"/>
            <w:tcBorders>
              <w:right w:val="single" w:sz="8" w:color="auto"/>
            </w:tcBorders>
            <w:shd w:val="clear" w:color="auto" w:fill="CCEECC"/>
          </w:tcPr>
          <w:p>
            <w:pPr>
              <w:spacing w:after="0"/>
              <w:rPr>
                <w:sz w:val="16"/>
                <w:szCs w:val="16"/>
                <w:color w:val="auto"/>
              </w:rPr>
            </w:pPr>
          </w:p>
        </w:tc>
        <w:tc>
          <w:tcPr>
            <w:tcW w:w="900" w:type="dxa"/>
            <w:vAlign w:val="bottom"/>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shd w:val="clear" w:color="auto" w:fill="CCEECC"/>
          </w:tcPr>
          <w:p>
            <w:pPr>
              <w:ind w:left="120"/>
              <w:spacing w:after="0"/>
              <w:rPr>
                <w:sz w:val="20"/>
                <w:szCs w:val="20"/>
                <w:color w:val="auto"/>
              </w:rPr>
            </w:pPr>
            <w:r>
              <w:rPr>
                <w:rFonts w:ascii="Arial" w:cs="Arial" w:eastAsia="Arial" w:hAnsi="Arial"/>
                <w:sz w:val="18"/>
                <w:szCs w:val="18"/>
                <w:color w:val="auto"/>
              </w:rPr>
              <w:t>Hamilton</w:t>
            </w:r>
          </w:p>
        </w:tc>
        <w:tc>
          <w:tcPr>
            <w:tcW w:w="1100" w:type="dxa"/>
            <w:vAlign w:val="bottom"/>
            <w:tcBorders>
              <w:right w:val="single" w:sz="8" w:color="auto"/>
            </w:tcBorders>
            <w:shd w:val="clear" w:color="auto" w:fill="CCEECC"/>
          </w:tcPr>
          <w:p>
            <w:pPr>
              <w:ind w:left="80"/>
              <w:spacing w:after="0"/>
              <w:rPr>
                <w:sz w:val="20"/>
                <w:szCs w:val="20"/>
                <w:color w:val="auto"/>
              </w:rPr>
            </w:pPr>
            <w:r>
              <w:rPr>
                <w:rFonts w:ascii="Arial" w:cs="Arial" w:eastAsia="Arial" w:hAnsi="Arial"/>
                <w:sz w:val="18"/>
                <w:szCs w:val="18"/>
                <w:color w:val="auto"/>
              </w:rPr>
              <w:t>127,500</w:t>
            </w:r>
          </w:p>
        </w:tc>
        <w:tc>
          <w:tcPr>
            <w:tcW w:w="1240" w:type="dxa"/>
            <w:vAlign w:val="bottom"/>
            <w:tcBorders>
              <w:right w:val="single" w:sz="8" w:color="auto"/>
            </w:tcBorders>
            <w:shd w:val="clear" w:color="auto" w:fill="CCEECC"/>
          </w:tcPr>
          <w:p>
            <w:pPr>
              <w:spacing w:after="0"/>
              <w:rPr>
                <w:sz w:val="18"/>
                <w:szCs w:val="18"/>
                <w:color w:val="auto"/>
              </w:rPr>
            </w:pPr>
          </w:p>
        </w:tc>
        <w:tc>
          <w:tcPr>
            <w:tcW w:w="1100" w:type="dxa"/>
            <w:vAlign w:val="bottom"/>
            <w:tcBorders>
              <w:right w:val="single" w:sz="8" w:color="auto"/>
            </w:tcBorders>
            <w:shd w:val="clear" w:color="auto" w:fill="CCEECC"/>
          </w:tcPr>
          <w:p>
            <w:pPr>
              <w:spacing w:after="0"/>
              <w:rPr>
                <w:sz w:val="18"/>
                <w:szCs w:val="18"/>
                <w:color w:val="auto"/>
              </w:rPr>
            </w:pPr>
          </w:p>
        </w:tc>
        <w:tc>
          <w:tcPr>
            <w:tcW w:w="840" w:type="dxa"/>
            <w:vAlign w:val="bottom"/>
            <w:tcBorders>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$1.00</w:t>
            </w:r>
          </w:p>
        </w:tc>
        <w:tc>
          <w:tcPr>
            <w:tcW w:w="980" w:type="dxa"/>
            <w:vAlign w:val="bottom"/>
            <w:tcBorders>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5/31/16</w:t>
            </w:r>
          </w:p>
        </w:tc>
        <w:tc>
          <w:tcPr>
            <w:tcW w:w="800" w:type="dxa"/>
            <w:vAlign w:val="bottom"/>
            <w:tcBorders>
              <w:right w:val="single" w:sz="8" w:color="auto"/>
            </w:tcBorders>
            <w:shd w:val="clear" w:color="auto" w:fill="CCEECC"/>
          </w:tcPr>
          <w:p>
            <w:pPr>
              <w:spacing w:after="0"/>
              <w:rPr>
                <w:sz w:val="18"/>
                <w:szCs w:val="18"/>
                <w:color w:val="auto"/>
              </w:rPr>
            </w:pPr>
          </w:p>
        </w:tc>
        <w:tc>
          <w:tcPr>
            <w:tcW w:w="740" w:type="dxa"/>
            <w:vAlign w:val="bottom"/>
            <w:tcBorders>
              <w:right w:val="single" w:sz="8" w:color="auto"/>
            </w:tcBorders>
            <w:shd w:val="clear" w:color="auto" w:fill="CCEECC"/>
          </w:tcPr>
          <w:p>
            <w:pPr>
              <w:spacing w:after="0"/>
              <w:rPr>
                <w:sz w:val="18"/>
                <w:szCs w:val="18"/>
                <w:color w:val="auto"/>
              </w:rPr>
            </w:pPr>
          </w:p>
        </w:tc>
        <w:tc>
          <w:tcPr>
            <w:tcW w:w="920" w:type="dxa"/>
            <w:vAlign w:val="bottom"/>
            <w:tcBorders>
              <w:right w:val="single" w:sz="8" w:color="auto"/>
            </w:tcBorders>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shd w:val="clear" w:color="auto" w:fill="CCEECC"/>
          </w:tcPr>
          <w:p>
            <w:pPr>
              <w:ind w:left="120"/>
              <w:spacing w:after="0"/>
              <w:rPr>
                <w:sz w:val="20"/>
                <w:szCs w:val="20"/>
                <w:color w:val="auto"/>
              </w:rPr>
            </w:pPr>
            <w:r>
              <w:rPr>
                <w:rFonts w:ascii="Arial" w:cs="Arial" w:eastAsia="Arial" w:hAnsi="Arial"/>
                <w:sz w:val="18"/>
                <w:szCs w:val="18"/>
                <w:color w:val="auto"/>
              </w:rPr>
              <w:t>VP of</w:t>
            </w:r>
          </w:p>
        </w:tc>
        <w:tc>
          <w:tcPr>
            <w:tcW w:w="1100" w:type="dxa"/>
            <w:vAlign w:val="bottom"/>
            <w:tcBorders>
              <w:right w:val="single" w:sz="8" w:color="auto"/>
            </w:tcBorders>
            <w:shd w:val="clear" w:color="auto" w:fill="CCEECC"/>
          </w:tcPr>
          <w:p>
            <w:pPr>
              <w:spacing w:after="0"/>
              <w:rPr>
                <w:sz w:val="18"/>
                <w:szCs w:val="18"/>
                <w:color w:val="auto"/>
              </w:rPr>
            </w:pPr>
          </w:p>
        </w:tc>
        <w:tc>
          <w:tcPr>
            <w:tcW w:w="1240" w:type="dxa"/>
            <w:vAlign w:val="bottom"/>
            <w:tcBorders>
              <w:right w:val="single" w:sz="8" w:color="auto"/>
            </w:tcBorders>
            <w:shd w:val="clear" w:color="auto" w:fill="CCEECC"/>
          </w:tcPr>
          <w:p>
            <w:pPr>
              <w:spacing w:after="0"/>
              <w:rPr>
                <w:sz w:val="18"/>
                <w:szCs w:val="18"/>
                <w:color w:val="auto"/>
              </w:rPr>
            </w:pPr>
          </w:p>
        </w:tc>
        <w:tc>
          <w:tcPr>
            <w:tcW w:w="1100" w:type="dxa"/>
            <w:vAlign w:val="bottom"/>
            <w:tcBorders>
              <w:right w:val="single" w:sz="8" w:color="auto"/>
            </w:tcBorders>
            <w:shd w:val="clear" w:color="auto" w:fill="CCEECC"/>
          </w:tcPr>
          <w:p>
            <w:pPr>
              <w:spacing w:after="0"/>
              <w:rPr>
                <w:sz w:val="18"/>
                <w:szCs w:val="18"/>
                <w:color w:val="auto"/>
              </w:rPr>
            </w:pPr>
          </w:p>
        </w:tc>
        <w:tc>
          <w:tcPr>
            <w:tcW w:w="840" w:type="dxa"/>
            <w:vAlign w:val="bottom"/>
            <w:tcBorders>
              <w:right w:val="single" w:sz="8" w:color="auto"/>
            </w:tcBorders>
            <w:shd w:val="clear" w:color="auto" w:fill="CCEECC"/>
          </w:tcPr>
          <w:p>
            <w:pPr>
              <w:spacing w:after="0"/>
              <w:rPr>
                <w:sz w:val="18"/>
                <w:szCs w:val="18"/>
                <w:color w:val="auto"/>
              </w:rPr>
            </w:pPr>
          </w:p>
        </w:tc>
        <w:tc>
          <w:tcPr>
            <w:tcW w:w="980" w:type="dxa"/>
            <w:vAlign w:val="bottom"/>
            <w:tcBorders>
              <w:right w:val="single" w:sz="8" w:color="auto"/>
            </w:tcBorders>
            <w:shd w:val="clear" w:color="auto" w:fill="CCEECC"/>
          </w:tcPr>
          <w:p>
            <w:pPr>
              <w:spacing w:after="0"/>
              <w:rPr>
                <w:sz w:val="18"/>
                <w:szCs w:val="18"/>
                <w:color w:val="auto"/>
              </w:rPr>
            </w:pPr>
          </w:p>
        </w:tc>
        <w:tc>
          <w:tcPr>
            <w:tcW w:w="800" w:type="dxa"/>
            <w:vAlign w:val="bottom"/>
            <w:tcBorders>
              <w:right w:val="single" w:sz="8" w:color="auto"/>
            </w:tcBorders>
            <w:shd w:val="clear" w:color="auto" w:fill="CCEECC"/>
          </w:tcPr>
          <w:p>
            <w:pPr>
              <w:spacing w:after="0"/>
              <w:rPr>
                <w:sz w:val="18"/>
                <w:szCs w:val="18"/>
                <w:color w:val="auto"/>
              </w:rPr>
            </w:pPr>
          </w:p>
        </w:tc>
        <w:tc>
          <w:tcPr>
            <w:tcW w:w="740" w:type="dxa"/>
            <w:vAlign w:val="bottom"/>
            <w:tcBorders>
              <w:right w:val="single" w:sz="8" w:color="auto"/>
            </w:tcBorders>
            <w:shd w:val="clear" w:color="auto" w:fill="CCEECC"/>
          </w:tcPr>
          <w:p>
            <w:pPr>
              <w:spacing w:after="0"/>
              <w:rPr>
                <w:sz w:val="18"/>
                <w:szCs w:val="18"/>
                <w:color w:val="auto"/>
              </w:rPr>
            </w:pPr>
          </w:p>
        </w:tc>
        <w:tc>
          <w:tcPr>
            <w:tcW w:w="920" w:type="dxa"/>
            <w:vAlign w:val="bottom"/>
            <w:tcBorders>
              <w:right w:val="single" w:sz="8" w:color="auto"/>
            </w:tcBorders>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Borders>
              <w:bottom w:val="single" w:sz="8" w:color="auto"/>
              <w:right w:val="single" w:sz="8" w:color="auto"/>
            </w:tcBorders>
            <w:shd w:val="clear" w:color="auto" w:fill="CCEECC"/>
          </w:tcPr>
          <w:p>
            <w:pPr>
              <w:ind w:left="120"/>
              <w:spacing w:after="0"/>
              <w:rPr>
                <w:sz w:val="20"/>
                <w:szCs w:val="20"/>
                <w:color w:val="auto"/>
              </w:rPr>
            </w:pPr>
            <w:r>
              <w:rPr>
                <w:rFonts w:ascii="Arial" w:cs="Arial" w:eastAsia="Arial" w:hAnsi="Arial"/>
                <w:sz w:val="18"/>
                <w:szCs w:val="18"/>
                <w:color w:val="auto"/>
              </w:rPr>
              <w:t>Sales</w:t>
            </w:r>
          </w:p>
        </w:tc>
        <w:tc>
          <w:tcPr>
            <w:tcW w:w="1100" w:type="dxa"/>
            <w:vAlign w:val="bottom"/>
            <w:tcBorders>
              <w:bottom w:val="single" w:sz="8" w:color="auto"/>
              <w:right w:val="single" w:sz="8" w:color="auto"/>
            </w:tcBorders>
            <w:shd w:val="clear" w:color="auto" w:fill="CCEECC"/>
          </w:tcPr>
          <w:p>
            <w:pPr>
              <w:spacing w:after="0"/>
              <w:rPr>
                <w:sz w:val="20"/>
                <w:szCs w:val="20"/>
                <w:color w:val="auto"/>
              </w:rPr>
            </w:pPr>
          </w:p>
        </w:tc>
        <w:tc>
          <w:tcPr>
            <w:tcW w:w="1240" w:type="dxa"/>
            <w:vAlign w:val="bottom"/>
            <w:tcBorders>
              <w:bottom w:val="single" w:sz="8" w:color="auto"/>
              <w:right w:val="single" w:sz="8" w:color="auto"/>
            </w:tcBorders>
            <w:shd w:val="clear" w:color="auto" w:fill="CCEECC"/>
          </w:tcPr>
          <w:p>
            <w:pPr>
              <w:spacing w:after="0"/>
              <w:rPr>
                <w:sz w:val="20"/>
                <w:szCs w:val="20"/>
                <w:color w:val="auto"/>
              </w:rPr>
            </w:pPr>
          </w:p>
        </w:tc>
        <w:tc>
          <w:tcPr>
            <w:tcW w:w="1100" w:type="dxa"/>
            <w:vAlign w:val="bottom"/>
            <w:tcBorders>
              <w:bottom w:val="single" w:sz="8" w:color="auto"/>
              <w:right w:val="single" w:sz="8" w:color="auto"/>
            </w:tcBorders>
            <w:shd w:val="clear" w:color="auto" w:fill="CCEECC"/>
          </w:tcPr>
          <w:p>
            <w:pPr>
              <w:spacing w:after="0"/>
              <w:rPr>
                <w:sz w:val="20"/>
                <w:szCs w:val="20"/>
                <w:color w:val="auto"/>
              </w:rPr>
            </w:pPr>
          </w:p>
        </w:tc>
        <w:tc>
          <w:tcPr>
            <w:tcW w:w="840" w:type="dxa"/>
            <w:vAlign w:val="bottom"/>
            <w:tcBorders>
              <w:bottom w:val="single" w:sz="8" w:color="auto"/>
              <w:right w:val="single" w:sz="8" w:color="auto"/>
            </w:tcBorders>
            <w:shd w:val="clear" w:color="auto" w:fill="CCEECC"/>
          </w:tcPr>
          <w:p>
            <w:pPr>
              <w:spacing w:after="0"/>
              <w:rPr>
                <w:sz w:val="20"/>
                <w:szCs w:val="20"/>
                <w:color w:val="auto"/>
              </w:rPr>
            </w:pPr>
          </w:p>
        </w:tc>
        <w:tc>
          <w:tcPr>
            <w:tcW w:w="980" w:type="dxa"/>
            <w:vAlign w:val="bottom"/>
            <w:tcBorders>
              <w:bottom w:val="single" w:sz="8" w:color="auto"/>
              <w:right w:val="single" w:sz="8" w:color="auto"/>
            </w:tcBorders>
            <w:shd w:val="clear" w:color="auto" w:fill="CCEECC"/>
          </w:tcPr>
          <w:p>
            <w:pPr>
              <w:spacing w:after="0"/>
              <w:rPr>
                <w:sz w:val="20"/>
                <w:szCs w:val="20"/>
                <w:color w:val="auto"/>
              </w:rPr>
            </w:pPr>
          </w:p>
        </w:tc>
        <w:tc>
          <w:tcPr>
            <w:tcW w:w="800" w:type="dxa"/>
            <w:vAlign w:val="bottom"/>
            <w:tcBorders>
              <w:bottom w:val="single" w:sz="8" w:color="auto"/>
              <w:right w:val="single" w:sz="8" w:color="auto"/>
            </w:tcBorders>
            <w:shd w:val="clear" w:color="auto" w:fill="CCEECC"/>
          </w:tcPr>
          <w:p>
            <w:pPr>
              <w:spacing w:after="0"/>
              <w:rPr>
                <w:sz w:val="20"/>
                <w:szCs w:val="20"/>
                <w:color w:val="auto"/>
              </w:rPr>
            </w:pPr>
          </w:p>
        </w:tc>
        <w:tc>
          <w:tcPr>
            <w:tcW w:w="740" w:type="dxa"/>
            <w:vAlign w:val="bottom"/>
            <w:tcBorders>
              <w:bottom w:val="single" w:sz="8" w:color="auto"/>
              <w:right w:val="single" w:sz="8" w:color="auto"/>
            </w:tcBorders>
            <w:shd w:val="clear" w:color="auto" w:fill="CCEECC"/>
          </w:tcPr>
          <w:p>
            <w:pPr>
              <w:spacing w:after="0"/>
              <w:rPr>
                <w:sz w:val="20"/>
                <w:szCs w:val="20"/>
                <w:color w:val="auto"/>
              </w:rPr>
            </w:pPr>
          </w:p>
        </w:tc>
        <w:tc>
          <w:tcPr>
            <w:tcW w:w="920" w:type="dxa"/>
            <w:vAlign w:val="bottom"/>
            <w:tcBorders>
              <w:bottom w:val="single" w:sz="8" w:color="auto"/>
              <w:right w:val="single" w:sz="8" w:color="auto"/>
            </w:tcBorders>
            <w:shd w:val="clear" w:color="auto" w:fill="CCEECC"/>
          </w:tcPr>
          <w:p>
            <w:pPr>
              <w:spacing w:after="0"/>
              <w:rPr>
                <w:sz w:val="20"/>
                <w:szCs w:val="20"/>
                <w:color w:val="auto"/>
              </w:rPr>
            </w:pPr>
          </w:p>
        </w:tc>
        <w:tc>
          <w:tcPr>
            <w:tcW w:w="900" w:type="dxa"/>
            <w:vAlign w:val="bottom"/>
            <w:tcBorders>
              <w:bottom w:val="single" w:sz="8" w:color="auto"/>
            </w:tcBorders>
            <w:shd w:val="clear" w:color="auto" w:fill="CCEEC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36"/>
          <w:szCs w:val="36"/>
          <w:color w:val="auto"/>
          <w:vertAlign w:val="superscript"/>
        </w:rPr>
        <w:t>(1)</w:t>
      </w:r>
      <w:r>
        <w:rPr>
          <w:rFonts w:ascii="Arial" w:cs="Arial" w:eastAsia="Arial" w:hAnsi="Arial"/>
          <w:sz w:val="18"/>
          <w:szCs w:val="18"/>
          <w:color w:val="auto"/>
        </w:rPr>
        <w:t xml:space="preserve"> These are warrants that were revalued on October 1, 2009 to $0.35 per share.</w:t>
      </w:r>
    </w:p>
    <w:p>
      <w:pPr>
        <w:sectPr>
          <w:pgSz w:w="11900" w:h="16838" w:orient="portrait"/>
          <w:cols w:equalWidth="0" w:num="1">
            <w:col w:w="11420"/>
          </w:cols>
          <w:pgMar w:left="240" w:top="233"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2011.</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5797550" cy="1132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7550" cy="1132205"/>
                    </a:xfrm>
                    <a:prstGeom prst="rect">
                      <a:avLst/>
                    </a:prstGeom>
                    <a:noFill/>
                  </pic:spPr>
                </pic:pic>
              </a:graphicData>
            </a:graphic>
          </wp:anchor>
        </w:drawing>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95"/>
        </w:trPr>
        <w:tc>
          <w:tcPr>
            <w:tcW w:w="1320" w:type="dxa"/>
            <w:vAlign w:val="bottom"/>
            <w:tcBorders>
              <w:top w:val="single" w:sz="8" w:color="auto"/>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124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Non-</w:t>
            </w:r>
          </w:p>
        </w:tc>
        <w:tc>
          <w:tcPr>
            <w:tcW w:w="1260" w:type="dxa"/>
            <w:vAlign w:val="bottom"/>
            <w:tcBorders>
              <w:top w:val="single" w:sz="8" w:color="auto"/>
              <w:right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Fees Earned</w:t>
            </w: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Non-Equity</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Qualified</w:t>
            </w:r>
          </w:p>
        </w:tc>
        <w:tc>
          <w:tcPr>
            <w:tcW w:w="12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or</w:t>
            </w: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Incentive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Deferred</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All</w:t>
            </w:r>
          </w:p>
        </w:tc>
        <w:tc>
          <w:tcPr>
            <w:tcW w:w="76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Paid in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w:t>
            </w:r>
          </w:p>
        </w:tc>
        <w:tc>
          <w:tcPr>
            <w:tcW w:w="104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Option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76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10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Awards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Earnings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760" w:type="dxa"/>
            <w:vAlign w:val="bottom"/>
          </w:tcPr>
          <w:p>
            <w:pPr>
              <w:ind w:left="180"/>
              <w:spacing w:after="0"/>
              <w:rPr>
                <w:sz w:val="20"/>
                <w:szCs w:val="20"/>
                <w:color w:val="auto"/>
              </w:rPr>
            </w:pPr>
            <w:r>
              <w:rPr>
                <w:rFonts w:ascii="Arial" w:cs="Arial" w:eastAsia="Arial" w:hAnsi="Arial"/>
                <w:sz w:val="18"/>
                <w:szCs w:val="18"/>
                <w:color w:val="auto"/>
              </w:rPr>
              <w:t>Total</w:t>
            </w:r>
          </w:p>
        </w:tc>
      </w:tr>
      <w:tr>
        <w:trPr>
          <w:trHeight w:val="230"/>
        </w:trPr>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122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10"/>
        </w:trPr>
        <w:tc>
          <w:tcPr>
            <w:tcW w:w="1320" w:type="dxa"/>
            <w:vAlign w:val="bottom"/>
            <w:tcBorders>
              <w:bottom w:val="single" w:sz="8" w:color="auto"/>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w w:val="96"/>
              </w:rPr>
              <w:t>Shad Shastney</w:t>
            </w:r>
          </w:p>
        </w:tc>
        <w:tc>
          <w:tcPr>
            <w:tcW w:w="1220" w:type="dxa"/>
            <w:vAlign w:val="bottom"/>
            <w:tcBorders>
              <w:bottom w:val="single" w:sz="8" w:color="auto"/>
              <w:right w:val="single" w:sz="8" w:color="auto"/>
            </w:tcBorders>
            <w:shd w:val="clear" w:color="auto" w:fill="CCEECC"/>
          </w:tcPr>
          <w:p>
            <w:pPr>
              <w:jc w:val="right"/>
              <w:ind w:right="330"/>
              <w:spacing w:after="0"/>
              <w:rPr>
                <w:sz w:val="20"/>
                <w:szCs w:val="20"/>
                <w:color w:val="auto"/>
              </w:rPr>
            </w:pPr>
            <w:r>
              <w:rPr>
                <w:rFonts w:ascii="Arial" w:cs="Arial" w:eastAsia="Arial" w:hAnsi="Arial"/>
                <w:sz w:val="18"/>
                <w:szCs w:val="18"/>
                <w:color w:val="auto"/>
              </w:rPr>
              <w:t>7,200</w:t>
            </w:r>
          </w:p>
        </w:tc>
        <w:tc>
          <w:tcPr>
            <w:tcW w:w="1020" w:type="dxa"/>
            <w:vAlign w:val="bottom"/>
            <w:tcBorders>
              <w:bottom w:val="single" w:sz="8" w:color="auto"/>
              <w:right w:val="single" w:sz="8" w:color="auto"/>
            </w:tcBorders>
            <w:shd w:val="clear" w:color="auto" w:fill="CCEECC"/>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CC"/>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CC"/>
          </w:tcPr>
          <w:p>
            <w:pPr>
              <w:jc w:val="right"/>
              <w:ind w:right="5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CC"/>
          </w:tcPr>
          <w:p>
            <w:pPr>
              <w:jc w:val="right"/>
              <w:ind w:right="5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CC"/>
          </w:tcPr>
          <w:p>
            <w:pPr>
              <w:jc w:val="right"/>
              <w:ind w:right="5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CC"/>
          </w:tcPr>
          <w:p>
            <w:pPr>
              <w:jc w:val="right"/>
              <w:ind w:right="110"/>
              <w:spacing w:after="0"/>
              <w:rPr>
                <w:sz w:val="20"/>
                <w:szCs w:val="20"/>
                <w:color w:val="auto"/>
              </w:rPr>
            </w:pPr>
            <w:r>
              <w:rPr>
                <w:rFonts w:ascii="Arial" w:cs="Arial" w:eastAsia="Arial" w:hAnsi="Arial"/>
                <w:sz w:val="18"/>
                <w:szCs w:val="18"/>
                <w:color w:val="auto"/>
              </w:rPr>
              <w:t>7,200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table sets forth certain information known to us with respect to the beneficial ownership of our Common Stock as of February 15, 2012, by (1) all persons who are beneficial owners of 5% or more of our voting securities, (2) each director, (3) each executive officer, and (4) all directors and executive officers as a group. The information regarding beneficial ownership of our common stock has been presented in accordance with the rules of the Securities and Exchange Commission. Under these rules, a person may be deemed to beneficially own any shares of capital stock as to which such person, directly or indirectly, has or shares voting power or investment power, and to beneficially own any shares of our capital stock as to which such person has the right to acquire voting or investment power within 60 days through the exercise of any stock option or other right. The percentage of beneficial ownership as to any person as of a particular date is calculated by dividing (a) (i) the number of shares beneficially owned by such person plus (ii) the number of shares as to which such person has the right to acquire voting or investment power within 60 days by (b) the total number of shares outstanding as of such date, plus any shares that such person has the right to acquire from us within 60 days. Including those shares in the tables does not, however, constitute an admission that the named stockholder is a direct or indirect beneficial owner of those shares. Unless otherwise indicated, each person or entity named in the table has sole voting power and investment power (or shares that power with that person’s spouse) with respect to all shares of capital stock listed as owned by that person or entity.</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Except as otherwise indicated, all shares are owned directly and the percentage shown is based on 14,192,496 shares of common stock issued and outstanding on February 15, 2012. Except as otherwise indicated, the address of each person named in this table is c/o OptimizeRx Corporation, 400 Water Street, Ste. 200, Rochester, MI 48307.</w:t>
      </w:r>
    </w:p>
    <w:p>
      <w:pPr>
        <w:spacing w:after="0" w:line="176" w:lineRule="exact"/>
        <w:rPr>
          <w:sz w:val="20"/>
          <w:szCs w:val="20"/>
          <w:color w:val="auto"/>
        </w:rPr>
      </w:pPr>
    </w:p>
    <w:tbl>
      <w:tblPr>
        <w:tblLayout w:type="fixed"/>
        <w:tblInd w:w="1170" w:type="dxa"/>
        <w:tblCellMar>
          <w:top w:w="0" w:type="dxa"/>
          <w:left w:w="0" w:type="dxa"/>
          <w:bottom w:w="0" w:type="dxa"/>
          <w:right w:w="0" w:type="dxa"/>
        </w:tblCellMar>
      </w:tblPr>
      <w:tr>
        <w:trPr>
          <w:trHeight w:val="215"/>
        </w:trPr>
        <w:tc>
          <w:tcPr>
            <w:tcW w:w="1480" w:type="dxa"/>
            <w:vAlign w:val="bottom"/>
            <w:tcBorders>
              <w:top w:val="single" w:sz="8" w:color="auto"/>
              <w:left w:val="single" w:sz="8" w:color="auto"/>
              <w:right w:val="single" w:sz="8" w:color="auto"/>
            </w:tcBorders>
          </w:tcPr>
          <w:p>
            <w:pPr>
              <w:spacing w:after="0"/>
              <w:rPr>
                <w:sz w:val="18"/>
                <w:szCs w:val="18"/>
                <w:color w:val="auto"/>
              </w:rPr>
            </w:pPr>
          </w:p>
        </w:tc>
        <w:tc>
          <w:tcPr>
            <w:tcW w:w="39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Name and address of beneficial owner</w:t>
            </w:r>
          </w:p>
        </w:tc>
        <w:tc>
          <w:tcPr>
            <w:tcW w:w="2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Amount of beneficial</w:t>
            </w:r>
          </w:p>
        </w:tc>
        <w:tc>
          <w:tcPr>
            <w:tcW w:w="14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of class</w:t>
            </w:r>
          </w:p>
        </w:tc>
        <w:tc>
          <w:tcPr>
            <w:tcW w:w="3920" w:type="dxa"/>
            <w:vAlign w:val="bottom"/>
            <w:tcBorders>
              <w:bottom w:val="single" w:sz="8" w:color="auto"/>
              <w:right w:val="single" w:sz="8" w:color="auto"/>
            </w:tcBorders>
            <w:vMerge w:val="continue"/>
          </w:tcPr>
          <w:p>
            <w:pPr>
              <w:spacing w:after="0"/>
              <w:rPr>
                <w:sz w:val="20"/>
                <w:szCs w:val="20"/>
                <w:color w:val="auto"/>
              </w:rPr>
            </w:pP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ownership</w:t>
            </w: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2"/>
              </w:rPr>
              <w:t>Percent of class</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rPr>
              <w:t>Executive Officers &amp; Directors:</w:t>
            </w:r>
          </w:p>
        </w:tc>
        <w:tc>
          <w:tcPr>
            <w:tcW w:w="22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Common</w:t>
            </w:r>
          </w:p>
        </w:tc>
        <w:tc>
          <w:tcPr>
            <w:tcW w:w="3920" w:type="dxa"/>
            <w:vAlign w:val="bottom"/>
            <w:tcBorders>
              <w:bottom w:val="single" w:sz="8" w:color="auto"/>
              <w:right w:val="single" w:sz="8" w:color="auto"/>
            </w:tcBorders>
            <w:shd w:val="clear" w:color="auto" w:fill="CCEECC"/>
          </w:tcPr>
          <w:p>
            <w:pPr>
              <w:ind w:left="100"/>
              <w:spacing w:after="0" w:line="250" w:lineRule="exact"/>
              <w:rPr>
                <w:sz w:val="20"/>
                <w:szCs w:val="20"/>
                <w:color w:val="auto"/>
              </w:rPr>
            </w:pPr>
            <w:r>
              <w:rPr>
                <w:rFonts w:ascii="Arial" w:cs="Arial" w:eastAsia="Arial" w:hAnsi="Arial"/>
                <w:sz w:val="17"/>
                <w:szCs w:val="17"/>
                <w:color w:val="auto"/>
              </w:rPr>
              <w:t>David Lester</w:t>
            </w:r>
            <w:r>
              <w:rPr>
                <w:rFonts w:ascii="Arial" w:cs="Arial" w:eastAsia="Arial" w:hAnsi="Arial"/>
                <w:sz w:val="28"/>
                <w:szCs w:val="28"/>
                <w:color w:val="auto"/>
                <w:vertAlign w:val="superscript"/>
              </w:rPr>
              <w:t>(1)</w:t>
            </w:r>
          </w:p>
        </w:tc>
        <w:tc>
          <w:tcPr>
            <w:tcW w:w="2280" w:type="dxa"/>
            <w:vAlign w:val="bottom"/>
            <w:tcBorders>
              <w:bottom w:val="single" w:sz="8" w:color="auto"/>
              <w:right w:val="single" w:sz="8" w:color="auto"/>
            </w:tcBorders>
            <w:shd w:val="clear" w:color="auto" w:fill="CCEECC"/>
          </w:tcPr>
          <w:p>
            <w:pPr>
              <w:jc w:val="right"/>
              <w:ind w:right="50"/>
              <w:spacing w:after="0"/>
              <w:rPr>
                <w:sz w:val="20"/>
                <w:szCs w:val="20"/>
                <w:color w:val="auto"/>
              </w:rPr>
            </w:pPr>
            <w:r>
              <w:rPr>
                <w:rFonts w:ascii="Arial" w:cs="Arial" w:eastAsia="Arial" w:hAnsi="Arial"/>
                <w:sz w:val="18"/>
                <w:szCs w:val="18"/>
                <w:color w:val="auto"/>
              </w:rPr>
              <w:t>573,000 shares</w:t>
            </w:r>
          </w:p>
        </w:tc>
        <w:tc>
          <w:tcPr>
            <w:tcW w:w="1460" w:type="dxa"/>
            <w:vAlign w:val="bottom"/>
            <w:tcBorders>
              <w:bottom w:val="single" w:sz="8" w:color="auto"/>
              <w:right w:val="single" w:sz="8" w:color="auto"/>
            </w:tcBorders>
            <w:shd w:val="clear" w:color="auto" w:fill="CCEECC"/>
          </w:tcPr>
          <w:p>
            <w:pPr>
              <w:jc w:val="right"/>
              <w:ind w:right="5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w:t>
            </w:r>
          </w:p>
        </w:tc>
        <w:tc>
          <w:tcPr>
            <w:tcW w:w="392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David A. Harrell</w:t>
            </w:r>
            <w:r>
              <w:rPr>
                <w:rFonts w:ascii="Arial" w:cs="Arial" w:eastAsia="Arial" w:hAnsi="Arial"/>
                <w:sz w:val="28"/>
                <w:szCs w:val="28"/>
                <w:color w:val="auto"/>
                <w:vertAlign w:val="superscript"/>
              </w:rPr>
              <w:t>(2)</w:t>
            </w:r>
          </w:p>
        </w:tc>
        <w:tc>
          <w:tcPr>
            <w:tcW w:w="2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3,538,750 shares</w:t>
            </w:r>
          </w:p>
        </w:tc>
        <w:tc>
          <w:tcPr>
            <w:tcW w:w="1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Common</w:t>
            </w:r>
          </w:p>
        </w:tc>
        <w:tc>
          <w:tcPr>
            <w:tcW w:w="3920" w:type="dxa"/>
            <w:vAlign w:val="bottom"/>
            <w:tcBorders>
              <w:bottom w:val="single" w:sz="8" w:color="auto"/>
              <w:right w:val="single" w:sz="8" w:color="auto"/>
            </w:tcBorders>
            <w:shd w:val="clear" w:color="auto" w:fill="CCEECC"/>
          </w:tcPr>
          <w:p>
            <w:pPr>
              <w:ind w:left="100"/>
              <w:spacing w:after="0" w:line="250" w:lineRule="exact"/>
              <w:rPr>
                <w:sz w:val="20"/>
                <w:szCs w:val="20"/>
                <w:color w:val="auto"/>
              </w:rPr>
            </w:pPr>
            <w:r>
              <w:rPr>
                <w:rFonts w:ascii="Arial" w:cs="Arial" w:eastAsia="Arial" w:hAnsi="Arial"/>
                <w:sz w:val="17"/>
                <w:szCs w:val="17"/>
                <w:color w:val="auto"/>
              </w:rPr>
              <w:t>Terence J. Hamilton</w:t>
            </w:r>
            <w:r>
              <w:rPr>
                <w:rFonts w:ascii="Arial" w:cs="Arial" w:eastAsia="Arial" w:hAnsi="Arial"/>
                <w:sz w:val="28"/>
                <w:szCs w:val="28"/>
                <w:color w:val="auto"/>
                <w:vertAlign w:val="superscript"/>
              </w:rPr>
              <w:t>(3)</w:t>
            </w:r>
          </w:p>
        </w:tc>
        <w:tc>
          <w:tcPr>
            <w:tcW w:w="2280" w:type="dxa"/>
            <w:vAlign w:val="bottom"/>
            <w:tcBorders>
              <w:bottom w:val="single" w:sz="8" w:color="auto"/>
              <w:right w:val="single" w:sz="8" w:color="auto"/>
            </w:tcBorders>
            <w:shd w:val="clear" w:color="auto" w:fill="CCEECC"/>
          </w:tcPr>
          <w:p>
            <w:pPr>
              <w:jc w:val="right"/>
              <w:ind w:right="50"/>
              <w:spacing w:after="0"/>
              <w:rPr>
                <w:sz w:val="20"/>
                <w:szCs w:val="20"/>
                <w:color w:val="auto"/>
              </w:rPr>
            </w:pPr>
            <w:r>
              <w:rPr>
                <w:rFonts w:ascii="Arial" w:cs="Arial" w:eastAsia="Arial" w:hAnsi="Arial"/>
                <w:sz w:val="18"/>
                <w:szCs w:val="18"/>
                <w:color w:val="auto"/>
              </w:rPr>
              <w:t>747,000 shares</w:t>
            </w:r>
          </w:p>
        </w:tc>
        <w:tc>
          <w:tcPr>
            <w:tcW w:w="1460" w:type="dxa"/>
            <w:vAlign w:val="bottom"/>
            <w:tcBorders>
              <w:bottom w:val="single" w:sz="8" w:color="auto"/>
              <w:right w:val="single" w:sz="8" w:color="auto"/>
            </w:tcBorders>
            <w:shd w:val="clear" w:color="auto" w:fill="CCEECC"/>
          </w:tcPr>
          <w:p>
            <w:pPr>
              <w:jc w:val="right"/>
              <w:ind w:right="5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0"/>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w:t>
            </w:r>
          </w:p>
        </w:tc>
        <w:tc>
          <w:tcPr>
            <w:tcW w:w="3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Shad Shastney</w:t>
            </w:r>
          </w:p>
        </w:tc>
        <w:tc>
          <w:tcPr>
            <w:tcW w:w="2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 shares</w:t>
            </w:r>
          </w:p>
        </w:tc>
        <w:tc>
          <w:tcPr>
            <w:tcW w:w="1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Total of All Directors and Executive Officers:</w:t>
            </w:r>
          </w:p>
        </w:tc>
        <w:tc>
          <w:tcPr>
            <w:tcW w:w="2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4,858,750 shares</w:t>
            </w:r>
          </w:p>
        </w:tc>
        <w:tc>
          <w:tcPr>
            <w:tcW w:w="1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rPr>
              <w:t>More Than 5% Beneficial Owners:</w:t>
            </w:r>
          </w:p>
        </w:tc>
        <w:tc>
          <w:tcPr>
            <w:tcW w:w="22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Common</w:t>
            </w:r>
          </w:p>
        </w:tc>
        <w:tc>
          <w:tcPr>
            <w:tcW w:w="3920" w:type="dxa"/>
            <w:vAlign w:val="bottom"/>
            <w:tcBorders>
              <w:bottom w:val="single" w:sz="8" w:color="auto"/>
              <w:right w:val="single" w:sz="8" w:color="auto"/>
            </w:tcBorders>
            <w:shd w:val="clear" w:color="auto" w:fill="CCEECC"/>
          </w:tcPr>
          <w:p>
            <w:pPr>
              <w:ind w:left="100"/>
              <w:spacing w:after="0" w:line="250" w:lineRule="exact"/>
              <w:rPr>
                <w:sz w:val="20"/>
                <w:szCs w:val="20"/>
                <w:color w:val="auto"/>
              </w:rPr>
            </w:pPr>
            <w:r>
              <w:rPr>
                <w:rFonts w:ascii="Arial" w:cs="Arial" w:eastAsia="Arial" w:hAnsi="Arial"/>
                <w:sz w:val="17"/>
                <w:szCs w:val="17"/>
                <w:color w:val="auto"/>
              </w:rPr>
              <w:t>Cypress Trust</w:t>
            </w:r>
            <w:r>
              <w:rPr>
                <w:rFonts w:ascii="Arial" w:cs="Arial" w:eastAsia="Arial" w:hAnsi="Arial"/>
                <w:sz w:val="28"/>
                <w:szCs w:val="28"/>
                <w:color w:val="auto"/>
                <w:vertAlign w:val="superscript"/>
              </w:rPr>
              <w:t>(4)</w:t>
            </w:r>
          </w:p>
        </w:tc>
        <w:tc>
          <w:tcPr>
            <w:tcW w:w="2280" w:type="dxa"/>
            <w:vAlign w:val="bottom"/>
            <w:tcBorders>
              <w:bottom w:val="single" w:sz="8" w:color="auto"/>
              <w:right w:val="single" w:sz="8" w:color="auto"/>
            </w:tcBorders>
            <w:shd w:val="clear" w:color="auto" w:fill="CCEECC"/>
          </w:tcPr>
          <w:p>
            <w:pPr>
              <w:jc w:val="right"/>
              <w:ind w:right="50"/>
              <w:spacing w:after="0"/>
              <w:rPr>
                <w:sz w:val="20"/>
                <w:szCs w:val="20"/>
                <w:color w:val="auto"/>
              </w:rPr>
            </w:pPr>
            <w:r>
              <w:rPr>
                <w:rFonts w:ascii="Arial" w:cs="Arial" w:eastAsia="Arial" w:hAnsi="Arial"/>
                <w:sz w:val="18"/>
                <w:szCs w:val="18"/>
                <w:color w:val="auto"/>
              </w:rPr>
              <w:t>808,999 shares</w:t>
            </w:r>
          </w:p>
        </w:tc>
        <w:tc>
          <w:tcPr>
            <w:tcW w:w="1460" w:type="dxa"/>
            <w:vAlign w:val="bottom"/>
            <w:tcBorders>
              <w:bottom w:val="single" w:sz="8" w:color="auto"/>
              <w:right w:val="single" w:sz="8" w:color="auto"/>
            </w:tcBorders>
            <w:shd w:val="clear" w:color="auto" w:fill="CCEECC"/>
          </w:tcPr>
          <w:p>
            <w:pPr>
              <w:jc w:val="right"/>
              <w:ind w:right="5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w:t>
            </w:r>
          </w:p>
        </w:tc>
        <w:tc>
          <w:tcPr>
            <w:tcW w:w="392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Vicis Capital Master Fund</w:t>
            </w:r>
            <w:r>
              <w:rPr>
                <w:rFonts w:ascii="Arial" w:cs="Arial" w:eastAsia="Arial" w:hAnsi="Arial"/>
                <w:sz w:val="28"/>
                <w:szCs w:val="28"/>
                <w:color w:val="auto"/>
                <w:vertAlign w:val="superscript"/>
              </w:rPr>
              <w:t>(5)</w:t>
            </w:r>
          </w:p>
        </w:tc>
        <w:tc>
          <w:tcPr>
            <w:tcW w:w="2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896,340 shares</w:t>
            </w:r>
          </w:p>
        </w:tc>
        <w:tc>
          <w:tcPr>
            <w:tcW w:w="14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hanging="489"/>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18,000 shares held in his name and warrants to purchase 555,000 shares of common stock at a price of $0.35 per share.</w:t>
      </w:r>
    </w:p>
    <w:p>
      <w:pPr>
        <w:spacing w:after="0" w:line="23" w:lineRule="exact"/>
        <w:rPr>
          <w:rFonts w:ascii="Arial" w:cs="Arial" w:eastAsia="Arial" w:hAnsi="Arial"/>
          <w:sz w:val="18"/>
          <w:szCs w:val="18"/>
          <w:color w:val="auto"/>
        </w:rPr>
      </w:pPr>
    </w:p>
    <w:p>
      <w:pPr>
        <w:ind w:left="700" w:right="540" w:hanging="489"/>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3,136,250 shares held in his name, options to purchase 202,500 shares of common stock at a price of $1.00 per share, and options to purchase 200,000 shares of common stock at $1.81 per share.</w:t>
      </w:r>
    </w:p>
    <w:p>
      <w:pPr>
        <w:ind w:left="700" w:hanging="489"/>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469,500 shares held in his name and options to purchase 277,500 shares of common stock at a price of $1.00 per share.</w:t>
      </w:r>
    </w:p>
    <w:p>
      <w:pPr>
        <w:spacing w:after="0" w:line="9" w:lineRule="exact"/>
        <w:rPr>
          <w:rFonts w:ascii="Arial" w:cs="Arial" w:eastAsia="Arial" w:hAnsi="Arial"/>
          <w:sz w:val="18"/>
          <w:szCs w:val="18"/>
          <w:color w:val="auto"/>
        </w:rPr>
      </w:pPr>
    </w:p>
    <w:p>
      <w:pPr>
        <w:ind w:left="700" w:right="300" w:hanging="489"/>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Linwood C. Meehan III has voting and dispositive control over the shares held by Cypress Trust, which is located at 13750 W. Colonial Dr., Ste. 250-317, Winter Garden, Florida 34787.</w:t>
      </w:r>
    </w:p>
    <w:p>
      <w:pPr>
        <w:ind w:left="700" w:hanging="489"/>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reported on the Schedule 13D filed by the reporting person.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Except as follows, none of our directors or executive officers, nor any proposed nominee for election as a director, nor any person who beneficially owns, directly or indirectly, shares carrying more than 5% of the voting rights attached to all of our outstanding shares, nor any members of the immediate family (including spouse, parents, children, siblings, and in-laws) of any of the foregoing persons has any material interest, direct or indirect, in any transaction since the beginning of our last fiscal year on January 1, 2011 or in any presently proposed transaction which, in either case, has or will materially affect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section titled Executive Compensation.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Below is the table of Audit Fees (amounts in US$) billed by our auditor in connection with the audit of the Company’s annual financial statements for the years ended:</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color w:val="auto"/>
                <w:w w:val="90"/>
              </w:rPr>
              <w:t>Financial Statements for the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Audit Related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 Ended December 31</w:t>
            </w:r>
          </w:p>
        </w:tc>
        <w:tc>
          <w:tcPr>
            <w:tcW w:w="160" w:type="dxa"/>
            <w:vAlign w:val="bottom"/>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Audit Services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Fees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Tax Fees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Other Fees</w:t>
            </w:r>
          </w:p>
        </w:tc>
        <w:tc>
          <w:tcPr>
            <w:tcW w:w="20" w:type="dxa"/>
            <w:vAlign w:val="bottom"/>
          </w:tcPr>
          <w:p>
            <w:pPr>
              <w:spacing w:after="0"/>
              <w:rPr>
                <w:sz w:val="20"/>
                <w:szCs w:val="20"/>
                <w:color w:val="auto"/>
              </w:rPr>
            </w:pPr>
          </w:p>
        </w:tc>
      </w:tr>
      <w:tr>
        <w:trPr>
          <w:trHeight w:val="210"/>
        </w:trPr>
        <w:tc>
          <w:tcPr>
            <w:tcW w:w="22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2011</w:t>
            </w:r>
          </w:p>
        </w:tc>
        <w:tc>
          <w:tcPr>
            <w:tcW w:w="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24,850</w:t>
            </w: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30"/>
        </w:trPr>
        <w:tc>
          <w:tcPr>
            <w:tcW w:w="22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24,650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bl>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29" w:lineRule="exact"/>
        <w:rPr>
          <w:sz w:val="20"/>
          <w:szCs w:val="20"/>
          <w:color w:val="auto"/>
        </w:rPr>
      </w:pPr>
    </w:p>
    <w:p>
      <w:pPr>
        <w:ind w:left="1400" w:hanging="744"/>
        <w:spacing w:after="0"/>
        <w:tabs>
          <w:tab w:leader="none" w:pos="14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and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and schedules listed below are included in this Form 10-K.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Item 8)</w:t>
      </w:r>
    </w:p>
    <w:p>
      <w:pPr>
        <w:spacing w:after="0" w:line="211" w:lineRule="exact"/>
        <w:rPr>
          <w:sz w:val="20"/>
          <w:szCs w:val="20"/>
          <w:color w:val="auto"/>
        </w:rPr>
      </w:pPr>
    </w:p>
    <w:p>
      <w:pPr>
        <w:ind w:left="1400" w:hanging="744"/>
        <w:spacing w:after="0"/>
        <w:tabs>
          <w:tab w:leader="none" w:pos="14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ectPr>
          <w:pgSz w:w="11900" w:h="16838" w:orient="portrait"/>
          <w:cols w:equalWidth="0" w:num="1">
            <w:col w:w="11380"/>
          </w:cols>
          <w:pgMar w:left="240" w:top="233" w:right="279" w:bottom="1440" w:gutter="0" w:footer="0" w:header="0"/>
        </w:sectPr>
      </w:pP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8"/>
          <w:szCs w:val="18"/>
          <w:u w:val="single" w:color="auto"/>
          <w:color w:val="auto"/>
        </w:rPr>
        <w:t xml:space="preserve">Exhibit Number </w:t>
      </w:r>
      <w:r>
        <w:rPr>
          <w:rFonts w:ascii="Arial" w:cs="Arial" w:eastAsia="Arial" w:hAnsi="Arial"/>
          <w:sz w:val="18"/>
          <w:szCs w:val="18"/>
          <w:color w:val="auto"/>
        </w:rPr>
        <w:t>3.1</w:t>
      </w: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w:t>
      </w:r>
    </w:p>
    <w:p>
      <w:pPr>
        <w:spacing w:after="0" w:line="195" w:lineRule="auto"/>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-162560</wp:posOffset>
            </wp:positionV>
            <wp:extent cx="506857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Amended and Restated Bylaws of the Company</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0</wp:posOffset>
            </wp:positionV>
            <wp:extent cx="5068570"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68570" cy="300355"/>
                    </a:xfrm>
                    <a:prstGeom prst="rect">
                      <a:avLst/>
                    </a:prstGeom>
                    <a:noFill/>
                  </pic:spPr>
                </pic:pic>
              </a:graphicData>
            </a:graphic>
          </wp:anchor>
        </w:drawing>
      </w:r>
    </w:p>
    <w:p>
      <w:pPr>
        <w:ind w:right="3400"/>
        <w:spacing w:after="0" w:line="205" w:lineRule="auto"/>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185" w:lineRule="auto"/>
        <w:rPr>
          <w:sz w:val="20"/>
          <w:szCs w:val="20"/>
          <w:color w:val="auto"/>
        </w:rPr>
      </w:pPr>
      <w:r>
        <w:rPr>
          <w:rFonts w:ascii="Arial" w:cs="Arial" w:eastAsia="Arial" w:hAnsi="Arial"/>
          <w:sz w:val="18"/>
          <w:szCs w:val="18"/>
          <w:color w:val="auto"/>
        </w:rPr>
        <w:t>Termination Agreement and Release, dated September 16, 2011</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0</wp:posOffset>
            </wp:positionV>
            <wp:extent cx="506857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Securities Purchase Agreement, dated September 16, 2011</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184" w:lineRule="auto"/>
        <w:rPr>
          <w:sz w:val="20"/>
          <w:szCs w:val="20"/>
          <w:color w:val="auto"/>
        </w:rPr>
      </w:pPr>
      <w:r>
        <w:rPr>
          <w:rFonts w:ascii="Arial" w:cs="Arial" w:eastAsia="Arial" w:hAnsi="Arial"/>
          <w:sz w:val="18"/>
          <w:szCs w:val="18"/>
          <w:color w:val="auto"/>
        </w:rPr>
        <w:t>Amended and Restated Guarantee Agreement, dated September 16, 2011</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0</wp:posOffset>
            </wp:positionV>
            <wp:extent cx="5068570"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68570" cy="300355"/>
                    </a:xfrm>
                    <a:prstGeom prst="rect">
                      <a:avLst/>
                    </a:prstGeom>
                    <a:noFill/>
                  </pic:spPr>
                </pic:pic>
              </a:graphicData>
            </a:graphic>
          </wp:anchor>
        </w:drawing>
      </w:r>
    </w:p>
    <w:p>
      <w:pPr>
        <w:ind w:right="3420"/>
        <w:spacing w:after="0" w:line="205" w:lineRule="auto"/>
        <w:rPr>
          <w:sz w:val="20"/>
          <w:szCs w:val="20"/>
          <w:color w:val="auto"/>
        </w:rPr>
      </w:pPr>
      <w:r>
        <w:rPr>
          <w:rFonts w:ascii="Arial" w:cs="Arial" w:eastAsia="Arial" w:hAnsi="Arial"/>
          <w:sz w:val="18"/>
          <w:szCs w:val="18"/>
          <w:color w:val="auto"/>
        </w:rPr>
        <w:t>Second Amended and Restated Registration Rights Agreement, dated September 16, 2011</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185" w:lineRule="auto"/>
        <w:rPr>
          <w:sz w:val="20"/>
          <w:szCs w:val="20"/>
          <w:color w:val="auto"/>
        </w:rPr>
      </w:pPr>
      <w:r>
        <w:rPr>
          <w:rFonts w:ascii="Arial" w:cs="Arial" w:eastAsia="Arial" w:hAnsi="Arial"/>
          <w:sz w:val="18"/>
          <w:szCs w:val="18"/>
          <w:color w:val="auto"/>
        </w:rPr>
        <w:t>Third Amended and Restated Security Agreement, dated September 16, 2011</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0</wp:posOffset>
            </wp:positionV>
            <wp:extent cx="506857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06" w:lineRule="auto"/>
        <w:rPr>
          <w:sz w:val="20"/>
          <w:szCs w:val="20"/>
          <w:color w:val="auto"/>
        </w:rPr>
      </w:pPr>
      <w:r>
        <w:rPr>
          <w:rFonts w:ascii="Arial" w:cs="Arial" w:eastAsia="Arial" w:hAnsi="Arial"/>
          <w:sz w:val="16"/>
          <w:szCs w:val="16"/>
          <w:color w:val="auto"/>
        </w:rPr>
        <w:t>Third Amended and Restated Guarantor Security Agreement, dated September 16, 2011</w:t>
      </w:r>
      <w:r>
        <w:rPr>
          <w:rFonts w:ascii="Arial" w:cs="Arial" w:eastAsia="Arial" w:hAnsi="Arial"/>
          <w:sz w:val="26"/>
          <w:szCs w:val="26"/>
          <w:color w:val="auto"/>
          <w:vertAlign w:val="superscript"/>
        </w:rPr>
        <w:t>2</w:t>
      </w:r>
      <w:r>
        <w:rPr>
          <w:rFonts w:ascii="Arial" w:cs="Arial" w:eastAsia="Arial" w:hAnsi="Arial"/>
          <w:sz w:val="16"/>
          <w:szCs w:val="16"/>
          <w:color w:val="auto"/>
        </w:rPr>
        <w:t>.</w:t>
      </w:r>
    </w:p>
    <w:p>
      <w:pPr>
        <w:spacing w:after="0" w:line="185" w:lineRule="auto"/>
        <w:rPr>
          <w:sz w:val="20"/>
          <w:szCs w:val="20"/>
          <w:color w:val="auto"/>
        </w:rPr>
      </w:pPr>
      <w:r>
        <w:rPr>
          <w:rFonts w:ascii="Arial" w:cs="Arial" w:eastAsia="Arial" w:hAnsi="Arial"/>
          <w:sz w:val="18"/>
          <w:szCs w:val="18"/>
          <w:color w:val="auto"/>
        </w:rPr>
        <w:t>List of Subsidiaries</w:t>
      </w:r>
      <w:r>
        <w:rPr>
          <w:rFonts w:ascii="Arial" w:cs="Arial" w:eastAsia="Arial" w:hAnsi="Arial"/>
          <w:sz w:val="29"/>
          <w:szCs w:val="29"/>
          <w:color w:val="auto"/>
          <w:vertAlign w:val="superscript"/>
        </w:rPr>
        <w:t>1</w:t>
      </w:r>
    </w:p>
    <w:p>
      <w:pPr>
        <w:spacing w:after="0"/>
        <w:rPr>
          <w:sz w:val="20"/>
          <w:szCs w:val="20"/>
          <w:color w:val="auto"/>
        </w:rPr>
      </w:pPr>
      <w:r>
        <w:rPr>
          <w:rFonts w:ascii="Arial" w:cs="Arial" w:eastAsia="Arial" w:hAnsi="Arial"/>
          <w:sz w:val="18"/>
          <w:szCs w:val="18"/>
          <w:u w:val="single" w:color="auto"/>
          <w:color w:val="0000EE"/>
        </w:rPr>
        <w:t>Consent of Independent Registered Public Accounting Firm</w:t>
      </w:r>
    </w:p>
    <w:p>
      <w:pPr>
        <w:spacing w:after="0" w:line="7" w:lineRule="exact"/>
        <w:rPr>
          <w:sz w:val="20"/>
          <w:szCs w:val="20"/>
          <w:color w:val="auto"/>
        </w:rPr>
      </w:pPr>
    </w:p>
    <w:p>
      <w:pPr>
        <w:ind w:right="3400"/>
        <w:spacing w:after="0" w:line="290" w:lineRule="auto"/>
        <w:rPr>
          <w:sz w:val="20"/>
          <w:szCs w:val="20"/>
          <w:color w:val="auto"/>
        </w:rPr>
      </w:pPr>
      <w:r>
        <w:rPr>
          <w:rFonts w:ascii="Arial" w:cs="Arial" w:eastAsia="Arial" w:hAnsi="Arial"/>
          <w:sz w:val="16"/>
          <w:szCs w:val="16"/>
          <w:u w:val="single" w:color="auto"/>
          <w:color w:val="0000EE"/>
        </w:rPr>
        <w:t>Certification of Chief Executive Officer pursuant to Securities Exchange Act Rule 13a-14(a)/15d-14(a), as adopted pursuant to Section 302 of the Sarbanes-Oxley Act of 2002 Certification of Chief Financial Officer pursuant to Securities Exchange Act Rule 13a-14(a)/15d-14(a), as adopted pursuant to Section 302 of the Sarbanes-Oxley Act of 2002 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-846455</wp:posOffset>
            </wp:positionV>
            <wp:extent cx="506857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68570" cy="274320"/>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-297815</wp:posOffset>
            </wp:positionV>
            <wp:extent cx="506857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1180" w:space="280"/>
            <w:col w:w="9920"/>
          </w:cols>
          <w:pgMar w:left="240" w:top="233" w:right="279" w:bottom="1440" w:gutter="0" w:footer="0" w:header="0"/>
          <w:type w:val="continuous"/>
        </w:sectPr>
      </w:pPr>
    </w:p>
    <w:p>
      <w:pPr>
        <w:ind w:left="120" w:hanging="112"/>
        <w:spacing w:after="0"/>
        <w:tabs>
          <w:tab w:leader="none" w:pos="1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spacing w:after="0" w:line="42"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Incorporated by reference to the Form 8-K, filed by the Company with the Securities and Exchange Commission on September 21, 2011.</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OptimizeRx Corporation</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David Lester</w:t>
            </w:r>
          </w:p>
        </w:tc>
        <w:tc>
          <w:tcPr>
            <w:tcW w:w="566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David Lester</w:t>
            </w:r>
          </w:p>
        </w:tc>
      </w:tr>
      <w:tr>
        <w:trPr>
          <w:trHeight w:val="216"/>
        </w:trPr>
        <w:tc>
          <w:tcPr>
            <w:tcW w:w="9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230"/>
        </w:trPr>
        <w:tc>
          <w:tcPr>
            <w:tcW w:w="9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3"/>
              </w:rPr>
              <w:t>Chief Financial Officer, Principal Financial Officer, Principal Accounting Officer and Director</w:t>
            </w:r>
          </w:p>
        </w:tc>
      </w:tr>
      <w:tr>
        <w:trPr>
          <w:trHeight w:val="432"/>
        </w:trPr>
        <w:tc>
          <w:tcPr>
            <w:tcW w:w="92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March 30, 2012</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David Harrell</w:t>
            </w:r>
          </w:p>
        </w:tc>
        <w:tc>
          <w:tcPr>
            <w:tcW w:w="740" w:type="dxa"/>
            <w:vAlign w:val="bottom"/>
            <w:gridSpan w:val="2"/>
          </w:tcPr>
          <w:p>
            <w:pPr>
              <w:spacing w:after="0"/>
              <w:rPr>
                <w:sz w:val="17"/>
                <w:szCs w:val="17"/>
                <w:color w:val="auto"/>
              </w:rPr>
            </w:pPr>
          </w:p>
        </w:tc>
      </w:tr>
      <w:tr>
        <w:trPr>
          <w:trHeight w:val="222"/>
        </w:trPr>
        <w:tc>
          <w:tcPr>
            <w:tcW w:w="92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David Harrell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96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1960" w:type="dxa"/>
            <w:vAlign w:val="bottom"/>
            <w:gridSpan w:val="3"/>
          </w:tcPr>
          <w:p>
            <w:pPr>
              <w:spacing w:after="0"/>
              <w:rPr>
                <w:sz w:val="20"/>
                <w:szCs w:val="20"/>
                <w:color w:val="auto"/>
              </w:rPr>
            </w:pPr>
            <w:r>
              <w:rPr>
                <w:rFonts w:ascii="Arial" w:cs="Arial" w:eastAsia="Arial" w:hAnsi="Arial"/>
                <w:sz w:val="18"/>
                <w:szCs w:val="18"/>
                <w:color w:val="auto"/>
              </w:rPr>
              <w:t>March 30, 2012</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Shad Shastney</w:t>
            </w:r>
          </w:p>
        </w:tc>
      </w:tr>
      <w:tr>
        <w:trPr>
          <w:trHeight w:val="222"/>
        </w:trPr>
        <w:tc>
          <w:tcPr>
            <w:tcW w:w="92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Shad Shastney</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96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1960" w:type="dxa"/>
            <w:vAlign w:val="bottom"/>
            <w:gridSpan w:val="3"/>
          </w:tcPr>
          <w:p>
            <w:pPr>
              <w:spacing w:after="0"/>
              <w:rPr>
                <w:sz w:val="20"/>
                <w:szCs w:val="20"/>
                <w:color w:val="auto"/>
              </w:rPr>
            </w:pPr>
            <w:r>
              <w:rPr>
                <w:rFonts w:ascii="Arial" w:cs="Arial" w:eastAsia="Arial" w:hAnsi="Arial"/>
                <w:sz w:val="18"/>
                <w:szCs w:val="18"/>
                <w:color w:val="auto"/>
              </w:rPr>
              <w:t>March 30, 2012</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/s/ Terence J. Hamilton</w:t>
            </w:r>
          </w:p>
        </w:tc>
        <w:tc>
          <w:tcPr>
            <w:tcW w:w="28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Terence J. Hamilton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96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1960" w:type="dxa"/>
            <w:vAlign w:val="bottom"/>
            <w:gridSpan w:val="3"/>
          </w:tcPr>
          <w:p>
            <w:pPr>
              <w:spacing w:after="0"/>
              <w:rPr>
                <w:sz w:val="20"/>
                <w:szCs w:val="20"/>
                <w:color w:val="auto"/>
              </w:rPr>
            </w:pPr>
            <w:r>
              <w:rPr>
                <w:rFonts w:ascii="Arial" w:cs="Arial" w:eastAsia="Arial" w:hAnsi="Arial"/>
                <w:sz w:val="18"/>
                <w:szCs w:val="18"/>
                <w:color w:val="auto"/>
              </w:rPr>
              <w:t>March 30, 2012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www.sucpas.com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Silberstein Ungar, PLLC hereby consents to the use in the Form 10-K, Annual Report under Section 13 or 15(d) of the Securities Exchange Act of 1934, filed by OptimizeRx Corporation of our report dated March 29, 2012, relating to the consolidated financial statements of OptimizeRx Corporation, a Nevada Corporation, as of and for the years ending December 31, 2011 and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w:t>
      </w:r>
    </w:p>
    <w:p>
      <w:pPr>
        <w:sectPr>
          <w:pgSz w:w="11900" w:h="16838" w:orient="portrait"/>
          <w:cols w:equalWidth="0" w:num="1">
            <w:col w:w="11420"/>
          </w:cols>
          <w:pgMar w:left="240" w:top="125"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00"/>
          </w:cols>
          <w:pgMar w:left="240" w:top="121" w:right="2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OPTIMIZERx Corp (the “Company”) on Form 10-K for the year ended December 31, 2011 filed with the Securities and Exchange Commission (the “Report”), I, David Lester,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David Lester</w:t>
            </w:r>
          </w:p>
        </w:tc>
        <w:tc>
          <w:tcPr>
            <w:tcW w:w="3780" w:type="dxa"/>
            <w:vAlign w:val="bottom"/>
          </w:tcPr>
          <w:p>
            <w:pPr>
              <w:spacing w:after="0"/>
              <w:rPr>
                <w:sz w:val="17"/>
                <w:szCs w:val="17"/>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gridSpan w:val="2"/>
          </w:tcPr>
          <w:p>
            <w:pPr>
              <w:spacing w:after="0"/>
              <w:rPr>
                <w:sz w:val="20"/>
                <w:szCs w:val="20"/>
                <w:color w:val="auto"/>
              </w:rPr>
            </w:pPr>
            <w:r>
              <w:rPr>
                <w:rFonts w:ascii="Arial" w:cs="Arial" w:eastAsia="Arial" w:hAnsi="Arial"/>
                <w:sz w:val="18"/>
                <w:szCs w:val="18"/>
                <w:color w:val="auto"/>
              </w:rPr>
              <w:t>David Lester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 Principal Financial Officer and Director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gridSpan w:val="2"/>
          </w:tcPr>
          <w:p>
            <w:pPr>
              <w:spacing w:after="0"/>
              <w:rPr>
                <w:sz w:val="20"/>
                <w:szCs w:val="20"/>
                <w:color w:val="auto"/>
              </w:rPr>
            </w:pPr>
            <w:r>
              <w:rPr>
                <w:rFonts w:ascii="Arial" w:cs="Arial" w:eastAsia="Arial" w:hAnsi="Arial"/>
                <w:sz w:val="18"/>
                <w:szCs w:val="18"/>
                <w:color w:val="auto"/>
              </w:rPr>
              <w:t>March 30, 2012</w:t>
            </w:r>
          </w:p>
        </w:tc>
      </w:tr>
    </w:tbl>
    <w:p>
      <w:pPr>
        <w:spacing w:after="0" w:line="1" w:lineRule="exact"/>
        <w:rPr>
          <w:sz w:val="20"/>
          <w:szCs w:val="20"/>
          <w:color w:val="auto"/>
        </w:rPr>
      </w:pPr>
    </w:p>
    <w:sectPr>
      <w:pgSz w:w="11900" w:h="16838" w:orient="portrait"/>
      <w:cols w:equalWidth="0" w:num="2">
        <w:col w:w="5320" w:space="400"/>
        <w:col w:w="570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2019-12-09T19:25:04Z</dcterms:created>
  <dcterms:modified xsi:type="dcterms:W3CDTF">2019-12-09T19:25:04Z</dcterms:modified>
</cp:coreProperties>
</file>