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80" w:right="2380" w:hanging="1686"/>
        <w:spacing w:after="0" w:line="482" w:lineRule="auto"/>
        <w:tabs>
          <w:tab w:leader="none" w:pos="26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2015</w:t>
      </w:r>
    </w:p>
    <w:p>
      <w:pPr>
        <w:spacing w:after="0" w:line="33" w:lineRule="exact"/>
        <w:rPr>
          <w:sz w:val="24"/>
          <w:szCs w:val="24"/>
          <w:color w:val="auto"/>
        </w:rPr>
      </w:pPr>
    </w:p>
    <w:p>
      <w:pPr>
        <w:ind w:left="3580" w:right="2660" w:hanging="916"/>
        <w:spacing w:after="0" w:line="528" w:lineRule="auto"/>
        <w:tabs>
          <w:tab w:leader="none" w:pos="2912"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ind w:left="2520"/>
              <w:spacing w:after="0"/>
              <w:rPr>
                <w:sz w:val="20"/>
                <w:szCs w:val="20"/>
                <w:color w:val="auto"/>
              </w:rPr>
            </w:pPr>
            <w:r>
              <w:rPr>
                <w:rFonts w:ascii="Arial" w:cs="Arial" w:eastAsia="Arial" w:hAnsi="Arial"/>
                <w:sz w:val="18"/>
                <w:szCs w:val="18"/>
                <w:b w:val="1"/>
                <w:bCs w:val="1"/>
                <w:color w:val="auto"/>
              </w:rPr>
              <w:t>Nevada</w:t>
            </w:r>
          </w:p>
        </w:tc>
        <w:tc>
          <w:tcPr>
            <w:tcW w:w="7340" w:type="dxa"/>
            <w:vAlign w:val="bottom"/>
            <w:gridSpan w:val="7"/>
          </w:tcPr>
          <w:p>
            <w:pPr>
              <w:jc w:val="center"/>
              <w:ind w:left="16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080" w:type="dxa"/>
            <w:vAlign w:val="bottom"/>
            <w:tcBorders>
              <w:top w:val="single" w:sz="8" w:color="auto"/>
            </w:tcBorders>
          </w:tcPr>
          <w:p>
            <w:pPr>
              <w:ind w:left="1740"/>
              <w:spacing w:after="0" w:line="201" w:lineRule="exact"/>
              <w:rPr>
                <w:sz w:val="20"/>
                <w:szCs w:val="20"/>
                <w:color w:val="auto"/>
              </w:rPr>
            </w:pPr>
            <w:r>
              <w:rPr>
                <w:rFonts w:ascii="Arial" w:cs="Arial" w:eastAsia="Arial" w:hAnsi="Arial"/>
                <w:sz w:val="18"/>
                <w:szCs w:val="18"/>
                <w:color w:val="auto"/>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5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080" w:type="dxa"/>
            <w:vAlign w:val="bottom"/>
          </w:tcPr>
          <w:p>
            <w:pPr>
              <w:ind w:left="1720"/>
              <w:spacing w:after="0"/>
              <w:rPr>
                <w:sz w:val="20"/>
                <w:szCs w:val="20"/>
                <w:color w:val="auto"/>
              </w:rPr>
            </w:pPr>
            <w:r>
              <w:rPr>
                <w:rFonts w:ascii="Arial" w:cs="Arial" w:eastAsia="Arial" w:hAnsi="Arial"/>
                <w:sz w:val="18"/>
                <w:szCs w:val="18"/>
                <w:color w:val="auto"/>
                <w:w w:val="99"/>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274320</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17" w:right="239" w:bottom="1440" w:gutter="0" w:footer="0" w:header="0"/>
        </w:sectPr>
      </w:pPr>
    </w:p>
    <w:p>
      <w:pPr>
        <w:spacing w:after="0" w:line="204" w:lineRule="exact"/>
        <w:rPr>
          <w:sz w:val="24"/>
          <w:szCs w:val="24"/>
          <w:color w:val="auto"/>
        </w:rPr>
      </w:pPr>
    </w:p>
    <w:p>
      <w:pPr>
        <w:ind w:left="3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3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99" w:lineRule="exact"/>
        <w:rPr>
          <w:sz w:val="24"/>
          <w:szCs w:val="24"/>
          <w:color w:val="auto"/>
        </w:rPr>
      </w:pPr>
    </w:p>
    <w:p>
      <w:pPr>
        <w:sectPr>
          <w:pgSz w:w="11900" w:h="16838" w:orient="portrait"/>
          <w:cols w:equalWidth="0" w:num="2">
            <w:col w:w="5000" w:space="720"/>
            <w:col w:w="5700"/>
          </w:cols>
          <w:pgMar w:left="240" w:top="517" w:right="239" w:bottom="1440" w:gutter="0" w:footer="0" w:header="0"/>
          <w:type w:val="continuous"/>
        </w:sectPr>
      </w:pPr>
    </w:p>
    <w:p>
      <w:pPr>
        <w:spacing w:after="0" w:line="196" w:lineRule="exact"/>
        <w:tabs>
          <w:tab w:leader="none" w:pos="88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22,949,819 common shares as of August 11,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80" w:type="dxa"/>
            <w:vAlign w:val="bottom"/>
          </w:tcPr>
          <w:p>
            <w:pPr>
              <w:ind w:left="38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380" w:type="dxa"/>
            <w:vAlign w:val="bottom"/>
          </w:tcPr>
          <w:p>
            <w:pPr>
              <w:ind w:left="3560"/>
              <w:spacing w:after="0"/>
              <w:rPr>
                <w:sz w:val="20"/>
                <w:szCs w:val="20"/>
                <w:color w:val="auto"/>
              </w:rPr>
            </w:pPr>
            <w:r>
              <w:rPr>
                <w:rFonts w:ascii="Arial" w:cs="Arial" w:eastAsia="Arial" w:hAnsi="Arial"/>
                <w:sz w:val="18"/>
                <w:szCs w:val="18"/>
                <w:b w:val="1"/>
                <w:bCs w:val="1"/>
                <w:color w:val="auto"/>
              </w:rPr>
              <w:t>PART I – FINANCIAL INFORMATION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240"/>
              <w:spacing w:after="0"/>
              <w:rPr>
                <w:sz w:val="20"/>
                <w:szCs w:val="20"/>
                <w:color w:val="auto"/>
              </w:rPr>
            </w:pPr>
            <w:r>
              <w:rPr>
                <w:rFonts w:ascii="Arial" w:cs="Arial" w:eastAsia="Arial" w:hAnsi="Arial"/>
                <w:sz w:val="18"/>
                <w:szCs w:val="18"/>
                <w:color w:val="auto"/>
              </w:rPr>
              <w:t>Controls and Procedures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ind w:left="3700"/>
              <w:spacing w:after="0"/>
              <w:rPr>
                <w:sz w:val="20"/>
                <w:szCs w:val="20"/>
                <w:color w:val="auto"/>
              </w:rPr>
            </w:pPr>
            <w:r>
              <w:rPr>
                <w:rFonts w:ascii="Arial" w:cs="Arial" w:eastAsia="Arial" w:hAnsi="Arial"/>
                <w:sz w:val="18"/>
                <w:szCs w:val="18"/>
                <w:b w:val="1"/>
                <w:bCs w:val="1"/>
                <w:color w:val="auto"/>
              </w:rPr>
              <w:t>PART II – OTHER INFORMATION</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24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Risk Factors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240"/>
              <w:spacing w:after="0"/>
              <w:rPr>
                <w:sz w:val="20"/>
                <w:szCs w:val="20"/>
                <w:color w:val="auto"/>
              </w:rPr>
            </w:pPr>
            <w:r>
              <w:rPr>
                <w:rFonts w:ascii="Arial" w:cs="Arial" w:eastAsia="Arial" w:hAnsi="Arial"/>
                <w:sz w:val="18"/>
                <w:szCs w:val="18"/>
                <w:color w:val="auto"/>
              </w:rPr>
              <w:t>Unregistered Sales of Equity Securities and Use of Proceeds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Defaults Upon Senior Securities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240"/>
              <w:spacing w:after="0"/>
              <w:rPr>
                <w:sz w:val="20"/>
                <w:szCs w:val="20"/>
                <w:color w:val="auto"/>
              </w:rPr>
            </w:pPr>
            <w:r>
              <w:rPr>
                <w:rFonts w:ascii="Arial" w:cs="Arial" w:eastAsia="Arial" w:hAnsi="Arial"/>
                <w:sz w:val="18"/>
                <w:szCs w:val="18"/>
                <w:color w:val="auto"/>
              </w:rPr>
              <w:t>Mine Safety Disclosure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Information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380" w:type="dxa"/>
            <w:vAlign w:val="bottom"/>
          </w:tcPr>
          <w:p>
            <w:pPr>
              <w:ind w:left="240"/>
              <w:spacing w:after="0"/>
              <w:rPr>
                <w:sz w:val="20"/>
                <w:szCs w:val="20"/>
                <w:color w:val="auto"/>
              </w:rPr>
            </w:pPr>
            <w:r>
              <w:rPr>
                <w:rFonts w:ascii="Arial" w:cs="Arial" w:eastAsia="Arial" w:hAnsi="Arial"/>
                <w:sz w:val="18"/>
                <w:szCs w:val="18"/>
                <w:color w:val="auto"/>
              </w:rPr>
              <w:t>Exhibits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641"/>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5"/>
          <w:szCs w:val="15"/>
          <w:color w:val="auto"/>
        </w:rPr>
        <w:t>Condensed consolidated Balance Sheets as of June 30, 2015 and December 31, 2014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F-2</w:t>
      </w:r>
      <w:r>
        <w:rPr>
          <w:sz w:val="20"/>
          <w:szCs w:val="20"/>
          <w:color w:val="auto"/>
        </w:rPr>
        <w:tab/>
      </w:r>
      <w:r>
        <w:rPr>
          <w:rFonts w:ascii="Arial" w:cs="Arial" w:eastAsia="Arial" w:hAnsi="Arial"/>
          <w:sz w:val="16"/>
          <w:szCs w:val="16"/>
          <w:color w:val="auto"/>
        </w:rPr>
        <w:t>Condensed consolidated Statements of Operations for the three and six months ended June 30, 2015 and 2014 (unaudited);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6"/>
          <w:szCs w:val="16"/>
          <w:color w:val="auto"/>
        </w:rPr>
        <w:t>Condensed consolidated Statements of Cash Flow for the six months ended June 30, 2015 and 2014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F-4</w:t>
      </w:r>
      <w:r>
        <w:rPr>
          <w:sz w:val="20"/>
          <w:szCs w:val="20"/>
          <w:color w:val="auto"/>
        </w:rPr>
        <w:tab/>
      </w:r>
      <w:r>
        <w:rPr>
          <w:rFonts w:ascii="Arial" w:cs="Arial" w:eastAsia="Arial" w:hAnsi="Arial"/>
          <w:sz w:val="16"/>
          <w:szCs w:val="16"/>
          <w:color w:val="auto"/>
        </w:rPr>
        <w:t>Notes to condensed consolidated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June 30, 2015 are not necessarily indicative of the results that can be expected for the full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2015 AND DECEMBER 31,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June 30,</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8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54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3,645,878</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3,446,973</w:t>
            </w: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1,918,419</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2,100,381</w:t>
            </w:r>
          </w:p>
        </w:tc>
        <w:tc>
          <w:tcPr>
            <w:tcW w:w="80" w:type="dxa"/>
            <w:vAlign w:val="bottom"/>
          </w:tcPr>
          <w:p>
            <w:pPr>
              <w:spacing w:after="0"/>
              <w:rPr>
                <w:sz w:val="18"/>
                <w:szCs w:val="18"/>
                <w:color w:val="auto"/>
              </w:rPr>
            </w:pPr>
          </w:p>
        </w:tc>
      </w:tr>
      <w:tr>
        <w:trPr>
          <w:trHeight w:val="25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76,376</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28,093</w:t>
            </w:r>
          </w:p>
        </w:tc>
        <w:tc>
          <w:tcPr>
            <w:tcW w:w="80" w:type="dxa"/>
            <w:vAlign w:val="bottom"/>
            <w:shd w:val="clear" w:color="auto" w:fill="CCEEFF"/>
          </w:tcPr>
          <w:p>
            <w:pPr>
              <w:spacing w:after="0"/>
              <w:rPr>
                <w:sz w:val="21"/>
                <w:szCs w:val="2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5,640,673</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5,575,447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54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901,491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930,854</w:t>
            </w: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ind w:left="340"/>
              <w:spacing w:after="0"/>
              <w:rPr>
                <w:sz w:val="20"/>
                <w:szCs w:val="20"/>
                <w:color w:val="auto"/>
              </w:rPr>
            </w:pPr>
            <w:r>
              <w:rPr>
                <w:rFonts w:ascii="Arial" w:cs="Arial" w:eastAsia="Arial" w:hAnsi="Arial"/>
                <w:sz w:val="18"/>
                <w:szCs w:val="18"/>
                <w:color w:val="auto"/>
              </w:rPr>
              <w:t>Web development costs,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424,075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504,643</w:t>
            </w:r>
          </w:p>
        </w:tc>
        <w:tc>
          <w:tcPr>
            <w:tcW w:w="80" w:type="dxa"/>
            <w:vAlign w:val="bottom"/>
          </w:tcPr>
          <w:p>
            <w:pPr>
              <w:spacing w:after="0"/>
              <w:rPr>
                <w:sz w:val="18"/>
                <w:szCs w:val="18"/>
                <w:color w:val="auto"/>
              </w:rPr>
            </w:pPr>
          </w:p>
        </w:tc>
      </w:tr>
      <w:tr>
        <w:trPr>
          <w:trHeight w:val="25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2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1,330,615</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1,440,546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6,981,962</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7,028,806</w:t>
            </w:r>
          </w:p>
        </w:tc>
        <w:tc>
          <w:tcPr>
            <w:tcW w:w="80" w:type="dxa"/>
            <w:vAlign w:val="bottom"/>
            <w:shd w:val="clear" w:color="auto" w:fill="CCEEFF"/>
          </w:tcPr>
          <w:p>
            <w:pPr>
              <w:spacing w:after="0"/>
              <w:rPr>
                <w:sz w:val="21"/>
                <w:szCs w:val="21"/>
                <w:color w:val="auto"/>
              </w:rPr>
            </w:pPr>
          </w:p>
        </w:tc>
      </w:tr>
      <w:tr>
        <w:trPr>
          <w:trHeight w:val="21"/>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4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trade</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172,183</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200,372</w:t>
            </w: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ind w:left="340"/>
              <w:spacing w:after="0"/>
              <w:rPr>
                <w:sz w:val="20"/>
                <w:szCs w:val="20"/>
                <w:color w:val="auto"/>
              </w:rPr>
            </w:pPr>
            <w:r>
              <w:rPr>
                <w:rFonts w:ascii="Arial" w:cs="Arial" w:eastAsia="Arial" w:hAnsi="Arial"/>
                <w:sz w:val="18"/>
                <w:szCs w:val="18"/>
                <w:color w:val="auto"/>
              </w:rPr>
              <w:t>Accounts payable - related party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570,000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25,459</w:t>
            </w: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ind w:left="340"/>
              <w:spacing w:after="0"/>
              <w:rPr>
                <w:sz w:val="20"/>
                <w:szCs w:val="20"/>
                <w:color w:val="auto"/>
              </w:rPr>
            </w:pPr>
            <w:r>
              <w:rPr>
                <w:rFonts w:ascii="Arial" w:cs="Arial" w:eastAsia="Arial" w:hAnsi="Arial"/>
                <w:sz w:val="18"/>
                <w:szCs w:val="18"/>
                <w:color w:val="auto"/>
              </w:rPr>
              <w:t>Revenue share payable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1,190,995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1,502,761</w:t>
            </w:r>
          </w:p>
        </w:tc>
        <w:tc>
          <w:tcPr>
            <w:tcW w:w="80" w:type="dxa"/>
            <w:vAlign w:val="bottom"/>
          </w:tcPr>
          <w:p>
            <w:pPr>
              <w:spacing w:after="0"/>
              <w:rPr>
                <w:sz w:val="18"/>
                <w:szCs w:val="18"/>
                <w:color w:val="auto"/>
              </w:rPr>
            </w:pPr>
          </w:p>
        </w:tc>
      </w:tr>
      <w:tr>
        <w:trPr>
          <w:trHeight w:val="25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336,213</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120,130</w:t>
            </w:r>
          </w:p>
        </w:tc>
        <w:tc>
          <w:tcPr>
            <w:tcW w:w="80" w:type="dxa"/>
            <w:vAlign w:val="bottom"/>
            <w:shd w:val="clear" w:color="auto" w:fill="CCEEFF"/>
          </w:tcPr>
          <w:p>
            <w:pPr>
              <w:spacing w:after="0"/>
              <w:rPr>
                <w:sz w:val="21"/>
                <w:szCs w:val="21"/>
                <w:color w:val="auto"/>
              </w:rPr>
            </w:pPr>
          </w:p>
        </w:tc>
      </w:tr>
      <w:tr>
        <w:trPr>
          <w:trHeight w:val="210"/>
        </w:trPr>
        <w:tc>
          <w:tcPr>
            <w:tcW w:w="854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2,279,242</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2,418,722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540" w:type="dxa"/>
            <w:vAlign w:val="bottom"/>
          </w:tcPr>
          <w:p>
            <w:pPr>
              <w:ind w:left="340"/>
              <w:spacing w:after="0" w:line="201" w:lineRule="exact"/>
              <w:rPr>
                <w:sz w:val="20"/>
                <w:szCs w:val="20"/>
                <w:color w:val="auto"/>
              </w:rPr>
            </w:pPr>
            <w:r>
              <w:rPr>
                <w:rFonts w:ascii="Arial" w:cs="Arial" w:eastAsia="Arial" w:hAnsi="Arial"/>
                <w:sz w:val="18"/>
                <w:szCs w:val="18"/>
                <w:color w:val="auto"/>
                <w:w w:val="91"/>
              </w:rPr>
              <w:t>Common stock, $.001 par value, 500,000,000 shares authorized, 22,949,819 and 22,867,319 shares issued and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outstanding, respectively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22,950</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22,867</w:t>
            </w:r>
          </w:p>
        </w:tc>
        <w:tc>
          <w:tcPr>
            <w:tcW w:w="80" w:type="dxa"/>
            <w:vAlign w:val="bottom"/>
          </w:tcPr>
          <w:p>
            <w:pPr>
              <w:spacing w:after="0"/>
              <w:rPr>
                <w:sz w:val="20"/>
                <w:szCs w:val="20"/>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ind w:left="340"/>
              <w:spacing w:after="0"/>
              <w:rPr>
                <w:sz w:val="20"/>
                <w:szCs w:val="20"/>
                <w:color w:val="auto"/>
              </w:rPr>
            </w:pPr>
            <w:r>
              <w:rPr>
                <w:rFonts w:ascii="Arial" w:cs="Arial" w:eastAsia="Arial" w:hAnsi="Arial"/>
                <w:sz w:val="18"/>
                <w:szCs w:val="18"/>
                <w:color w:val="auto"/>
              </w:rPr>
              <w:t>Stock warrants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2,153,295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2,153,295</w:t>
            </w:r>
          </w:p>
        </w:tc>
        <w:tc>
          <w:tcPr>
            <w:tcW w:w="80" w:type="dxa"/>
            <w:vAlign w:val="bottom"/>
          </w:tcPr>
          <w:p>
            <w:pPr>
              <w:spacing w:after="0"/>
              <w:rPr>
                <w:sz w:val="18"/>
                <w:szCs w:val="18"/>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27,806,253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27,595,609</w:t>
            </w: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ind w:left="340"/>
              <w:spacing w:after="0"/>
              <w:rPr>
                <w:sz w:val="20"/>
                <w:szCs w:val="20"/>
                <w:color w:val="auto"/>
              </w:rPr>
            </w:pPr>
            <w:r>
              <w:rPr>
                <w:rFonts w:ascii="Arial" w:cs="Arial" w:eastAsia="Arial" w:hAnsi="Arial"/>
                <w:sz w:val="18"/>
                <w:szCs w:val="18"/>
                <w:color w:val="auto"/>
              </w:rPr>
              <w:t>Stock payable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1,132,148</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963,063</w:t>
            </w:r>
          </w:p>
        </w:tc>
        <w:tc>
          <w:tcPr>
            <w:tcW w:w="80" w:type="dxa"/>
            <w:vAlign w:val="bottom"/>
          </w:tcPr>
          <w:p>
            <w:pPr>
              <w:spacing w:after="0"/>
              <w:rPr>
                <w:sz w:val="18"/>
                <w:szCs w:val="18"/>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stock compensation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(18,750)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85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(26,393,176)</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(26,124,750)</w:t>
            </w:r>
          </w:p>
        </w:tc>
      </w:tr>
      <w:tr>
        <w:trPr>
          <w:trHeight w:val="236"/>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4,702,720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4,610,084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6,981,962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7,028,806</w:t>
            </w:r>
          </w:p>
        </w:tc>
        <w:tc>
          <w:tcPr>
            <w:tcW w:w="80" w:type="dxa"/>
            <w:vAlign w:val="bottom"/>
          </w:tcPr>
          <w:p>
            <w:pPr>
              <w:spacing w:after="0"/>
              <w:rPr>
                <w:sz w:val="20"/>
                <w:szCs w:val="20"/>
                <w:color w:val="auto"/>
              </w:rPr>
            </w:pPr>
          </w:p>
        </w:tc>
      </w:tr>
      <w:tr>
        <w:trPr>
          <w:trHeight w:val="21"/>
        </w:trPr>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440"/>
              <w:spacing w:after="0"/>
              <w:rPr>
                <w:sz w:val="20"/>
                <w:szCs w:val="20"/>
                <w:color w:val="auto"/>
              </w:rPr>
            </w:pPr>
            <w:r>
              <w:rPr>
                <w:rFonts w:ascii="Arial" w:cs="Arial" w:eastAsia="Arial" w:hAnsi="Arial"/>
                <w:sz w:val="18"/>
                <w:szCs w:val="18"/>
                <w:color w:val="auto"/>
                <w:w w:val="92"/>
              </w:rPr>
              <w:t>For the Three Months Ended</w:t>
            </w:r>
          </w:p>
        </w:tc>
        <w:tc>
          <w:tcPr>
            <w:tcW w:w="200" w:type="dxa"/>
            <w:vAlign w:val="bottom"/>
          </w:tcPr>
          <w:p>
            <w:pPr>
              <w:spacing w:after="0"/>
              <w:rPr>
                <w:sz w:val="19"/>
                <w:szCs w:val="19"/>
                <w:color w:val="auto"/>
              </w:rPr>
            </w:pPr>
          </w:p>
        </w:tc>
        <w:tc>
          <w:tcPr>
            <w:tcW w:w="2400" w:type="dxa"/>
            <w:vAlign w:val="bottom"/>
            <w:gridSpan w:val="6"/>
          </w:tcPr>
          <w:p>
            <w:pPr>
              <w:jc w:val="right"/>
              <w:ind w:right="400"/>
              <w:spacing w:after="0"/>
              <w:rPr>
                <w:sz w:val="20"/>
                <w:szCs w:val="20"/>
                <w:color w:val="auto"/>
              </w:rPr>
            </w:pPr>
            <w:r>
              <w:rPr>
                <w:rFonts w:ascii="Arial" w:cs="Arial" w:eastAsia="Arial" w:hAnsi="Arial"/>
                <w:sz w:val="18"/>
                <w:szCs w:val="18"/>
                <w:color w:val="auto"/>
                <w:w w:val="95"/>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91"/>
              </w:rPr>
              <w:t>Restated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88"/>
              </w:rPr>
              <w:t>Restated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1,705,457</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3,193,010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882,327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730,140</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1,638,768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823,130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696,668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1,554,242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1,424,685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980,659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896,529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1,823,269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(199,861)</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(269,027)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TOTAL OTHER INCOME (EXPENSE)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(LOSS) BEFORE PROVISION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INCOME TAXES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(199,638)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(199,638)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(268,426)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(961,733)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AVERGE NUMBER OF SHARES OUTSTANDING</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22,924,819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23,241,707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22,917,678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20,355,651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360"/>
              <w:spacing w:after="0"/>
              <w:rPr>
                <w:sz w:val="20"/>
                <w:szCs w:val="20"/>
                <w:color w:val="auto"/>
              </w:rPr>
            </w:pPr>
            <w:r>
              <w:rPr>
                <w:rFonts w:ascii="Arial" w:cs="Arial" w:eastAsia="Arial" w:hAnsi="Arial"/>
                <w:sz w:val="18"/>
                <w:szCs w:val="18"/>
                <w:color w:val="auto"/>
                <w:w w:val="94"/>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91"/>
              </w:rPr>
              <w:t>Restated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 for the period</w:t>
            </w:r>
          </w:p>
        </w:tc>
        <w:tc>
          <w:tcPr>
            <w:tcW w:w="1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(268,426)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580"/>
              <w:spacing w:after="0"/>
              <w:rPr>
                <w:sz w:val="20"/>
                <w:szCs w:val="20"/>
                <w:color w:val="auto"/>
              </w:rPr>
            </w:pPr>
            <w:r>
              <w:rPr>
                <w:rFonts w:ascii="Arial" w:cs="Arial" w:eastAsia="Arial" w:hAnsi="Arial"/>
                <w:sz w:val="18"/>
                <w:szCs w:val="18"/>
                <w:color w:val="auto"/>
              </w:rPr>
              <w:t>Stock and options issued for services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361,062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181,962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(28,189)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Revenue share payable</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(15,608)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216,083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246,172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(149,745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Patent rights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(92.624)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Website site development costs</w:t>
            </w: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(47,267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(213,832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Equity issuance costs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(1,204,968)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common and preferred stock and warrants</w:t>
            </w: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2,795,032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3,446,973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3,645,878</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3,549,698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1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CEEFF"/>
              <w:bottom w:val="single" w:sz="8" w:color="CCEEFF"/>
            </w:tcBorders>
            <w:shd w:val="clear" w:color="auto" w:fill="CCEEFF"/>
          </w:tcPr>
          <w:p>
            <w:pPr>
              <w:ind w:left="320"/>
              <w:spacing w:after="0" w:line="190" w:lineRule="exact"/>
              <w:rPr>
                <w:sz w:val="20"/>
                <w:szCs w:val="20"/>
                <w:color w:val="auto"/>
              </w:rPr>
            </w:pPr>
            <w:r>
              <w:rPr>
                <w:rFonts w:ascii="Arial" w:cs="Arial" w:eastAsia="Arial" w:hAnsi="Arial"/>
                <w:sz w:val="18"/>
                <w:szCs w:val="18"/>
                <w:color w:val="auto"/>
              </w:rPr>
              <w:t>Cash paid for income taxes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OptimizeRx Corporation is a technology solution company focused on the health care industry. Its objective is to bring better access to better care by leveraging its proprietary technology to provide on demand savings and support within physicians and patients web based platforms, including Electronic Health Records and Patient Portals. Initially defined as a marketing and advertising company through its consumer website, OptimizeRx.com, the Company has matured as a technology solutions provider through its direct to physician solution, SampleMD. SampleMD allows physicians to automatically display and distribute sample vouchers and/or co-pay coupons electronically within the ePrescription platform to pharmacies on behalf of their patients. The SampleMD solution is integrated into the ePrescribing or Electronic Medical Records applications, but can also sit on a prescriber’s desktop.</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solutions provide health care institutions with an alternative option to the traditional hassles and issues associated with storing and managing physical drug samples and pre-printed coupons and it provides better access and affordability to patients to improve affordability, adherence and outcomes. In turn, OptimizeRx provides pharmaceutical manufacturers with both direct to consumer and direct to physician channels for more efficiently communicating and promoting their products and savings.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and six month periods ended June 30, 2015 and 2014 have been prepared by us without audit pursuant to the rules and regulations of the Securities and Exchange Commission. In the opinion of management, all adjustments necessary to present fairly our financial position, results of operations, and cash flows as of June 30, 2015 and 2014, and for the periods then ended, have been made. Those adjustments consist of normal and recurring adjustments. The consolidated balance sheet as of December 31, 2014,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2014, as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six month periods ended June 30, 2015, are not necessarily indicative of the results to be expected for the full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in the prior period’s consolidated financial statements to conform to the current period’s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2015, we issued 12,500 shares of common stock to outside Directors in connection with our Director Compensation plan, which calls for issuance of 6,250 shares per quarter for each Director. Those shares were recorded as stock payable at December 31, 2014. In addition, we recorded an additional 12,500 shares, valued at $16,375 as stock payable at March 31, 2015 for shares to be issued in April 2015 and 12,500 shares, valued at $13,375 were issued in June 2015 for the second quarter payment.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2015, we entered into a capital markets advisory agreement covering a one year period, which called for 90,000 shares of common stock to be issued as compensation. These shares were valued at $112,500 and are being amortized to expense over the period of service. 45,000 of these shares were issued in March 2015, with the balance to be issued in August 2015. The agreement was terminated in July 2015, effective in August, and the remaining 45,000 shares will not be issued. The total expense to be recognized will be $56,250 and is being amortized over the period the agreement is in effect.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 (CONTINUED)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we entered into a securities purchase agreement, pursuant to which we sold 8,333,333 shares of our common stock for $1.20 per share, or gross proceeds of $10,000,000.</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our common stock with an exercise price of $1.20 per share and a term of 5 years. The warrants were valued at $1,110,211, have been recorded as equity issuance costs, and were registered on a registration statement that went effective May 28, 2014. In addition to the warrants to placement agents, we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executive officers at any time.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used the net proceeds of the offering to exercise the securities redemption option agreement, as amended, with Vicis Capital Master Fund that provided us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were used for working capital purposes.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2014, an executive officer exercised 500,000 stock warrants using the cashless exercise feature included in the warrants. In exchange for the 500,000 warrants, 410,348 shares of common stock were issued.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2015, we agreed to grant 197,605 fully vested shares of our common stock to two executive officers as bonuses. These shares have not been issued, but are recorded as stock payable and can be requested by the officers at any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we agreed to grant 337,500 shares of our common stock, half of which vested immediately and half of which vested in August 2014, to two executive officers as bonuses based on their efforts to recapitalize the company to secure approximately $3 million in working capital while reducing fully diluted shares by approximately 7 million shares. These shares have not been issued, but are recorded as stock payable and can be requested by the officers at any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the fair value method to account for stock based compensation. We recorded $110,039 and $170,611 in compensation expense in the periods ended June 30, 2015 and 2014, respectively, related to options issued under our stock-based incentive compensation plan. This includes expense related to options issued in prior years for which the requisite service period for those options includes the current year, options granted in the current year and options repriced in the current year. The fair value of these instruments was calculated using the Black-Scholes option pricing model. Information related to the assumptions used in this model is set forth in our Annual Report on Form 10-K for the fiscal year ended December 31,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4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2014, we initiated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approximates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approximates $1.0 million, as well as damages for lost income and business value as a result of PDR’s actions.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May 2015, we filed an amended complaint in the Missouri case to consolidate the two cases and withdrew the case against PDR Networks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District Court in the District of New Jersey, without prejudice.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July, 2015, the U.S. District Court for the Eastern District of Missouri dismissed the case, citing lack of Federal jurisdiction in the matter. We are in the process of refiling the consolidated case against PDR Network and LDM group in State court in Missouri.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NOTE 5 – RESTATEMENT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restated our financial statements to correct the way we accounted for certain items related to stock based compensation, revenue share expense, and revenue recognition. The full impact of the restatement was reflected in the December 31, 2014 financial statements at the end of the year. The table below reflects the impact on the 2014 period reflected in this report.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restated Consolidated Statement of Operations and Consolidated Statement of Cash Flows for the three and six months ended June 30, 2014, as applicable,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3"/>
          </w:tcPr>
          <w:p>
            <w:pPr>
              <w:jc w:val="center"/>
              <w:ind w:right="2630"/>
              <w:spacing w:after="0"/>
              <w:rPr>
                <w:sz w:val="20"/>
                <w:szCs w:val="20"/>
                <w:color w:val="auto"/>
              </w:rPr>
            </w:pPr>
            <w:r>
              <w:rPr>
                <w:rFonts w:ascii="Arial" w:cs="Arial" w:eastAsia="Arial" w:hAnsi="Arial"/>
                <w:sz w:val="18"/>
                <w:szCs w:val="18"/>
                <w:color w:val="auto"/>
                <w:w w:val="88"/>
              </w:rPr>
              <w:t>Three months ended June 30, 2014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Previously</w:t>
            </w:r>
          </w:p>
        </w:tc>
      </w:tr>
      <w:tr>
        <w:trPr>
          <w:trHeight w:val="223"/>
        </w:trPr>
        <w:tc>
          <w:tcPr>
            <w:tcW w:w="2740" w:type="dxa"/>
            <w:vAlign w:val="bottom"/>
          </w:tcPr>
          <w:p>
            <w:pPr>
              <w:ind w:left="1260"/>
              <w:spacing w:after="0"/>
              <w:rPr>
                <w:sz w:val="20"/>
                <w:szCs w:val="20"/>
                <w:color w:val="auto"/>
              </w:rPr>
            </w:pPr>
            <w:r>
              <w:rPr>
                <w:rFonts w:ascii="Arial" w:cs="Arial" w:eastAsia="Arial" w:hAnsi="Arial"/>
                <w:sz w:val="18"/>
                <w:szCs w:val="18"/>
                <w:color w:val="auto"/>
                <w:w w:val="91"/>
              </w:rPr>
              <w:t>Financial Statement</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Line Item</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Corrected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Stated</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1,426,808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1,454,214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730,140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540,048</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896,529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967,070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(199,861)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(52,904)</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(199,638)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(52,681)</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(199,638)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(52,681)</w:t>
            </w:r>
          </w:p>
        </w:tc>
      </w:tr>
      <w:tr>
        <w:trPr>
          <w:trHeight w:val="438"/>
        </w:trPr>
        <w:tc>
          <w:tcPr>
            <w:tcW w:w="27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3"/>
          </w:tcPr>
          <w:p>
            <w:pPr>
              <w:jc w:val="center"/>
              <w:ind w:right="2650"/>
              <w:spacing w:after="0"/>
              <w:rPr>
                <w:sz w:val="20"/>
                <w:szCs w:val="20"/>
                <w:color w:val="auto"/>
              </w:rPr>
            </w:pPr>
            <w:r>
              <w:rPr>
                <w:rFonts w:ascii="Arial" w:cs="Arial" w:eastAsia="Arial" w:hAnsi="Arial"/>
                <w:sz w:val="18"/>
                <w:szCs w:val="18"/>
                <w:color w:val="auto"/>
                <w:w w:val="88"/>
              </w:rPr>
              <w:t>Six months ended June 30, 2014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Previously</w:t>
            </w:r>
          </w:p>
        </w:tc>
      </w:tr>
      <w:tr>
        <w:trPr>
          <w:trHeight w:val="237"/>
        </w:trPr>
        <w:tc>
          <w:tcPr>
            <w:tcW w:w="2740" w:type="dxa"/>
            <w:vAlign w:val="bottom"/>
          </w:tcPr>
          <w:p>
            <w:pPr>
              <w:ind w:left="1260"/>
              <w:spacing w:after="0"/>
              <w:rPr>
                <w:sz w:val="20"/>
                <w:szCs w:val="20"/>
                <w:color w:val="auto"/>
              </w:rPr>
            </w:pPr>
            <w:r>
              <w:rPr>
                <w:rFonts w:ascii="Arial" w:cs="Arial" w:eastAsia="Arial" w:hAnsi="Arial"/>
                <w:sz w:val="18"/>
                <w:szCs w:val="18"/>
                <w:color w:val="auto"/>
                <w:w w:val="91"/>
              </w:rPr>
              <w:t>Financial Statement</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Line Item</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Corrected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Stated</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2,716,236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2,771,560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1,291,551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1,038,858</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2,386,747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2,439,028</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(962,062)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(706,326)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(961,733)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(705,996)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(961,733)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(705,996)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(961,733)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(705,996)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Stock and options issued for services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627,344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654,634</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203,714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173,889</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Decrease in revenue share payable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(311,776)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(686,760)</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revenue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38,656</w:t>
            </w:r>
          </w:p>
        </w:tc>
      </w:tr>
      <w:tr>
        <w:trPr>
          <w:trHeight w:val="682"/>
        </w:trPr>
        <w:tc>
          <w:tcPr>
            <w:tcW w:w="2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F-7</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August, 2015</w:t>
      </w:r>
    </w:p>
    <w:p>
      <w:pPr>
        <w:spacing w:after="0" w:line="225" w:lineRule="exact"/>
        <w:rPr>
          <w:sz w:val="20"/>
          <w:szCs w:val="20"/>
          <w:color w:val="auto"/>
        </w:rPr>
      </w:pPr>
    </w:p>
    <w:p>
      <w:pPr>
        <w:ind w:left="720" w:hanging="361"/>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for the first six months of 2015 approached $3.2 million, an 18% increase over the same period in 2014.</w:t>
      </w:r>
    </w:p>
    <w:p>
      <w:pPr>
        <w:spacing w:after="0" w:line="23" w:lineRule="exact"/>
        <w:rPr>
          <w:rFonts w:ascii="Arial" w:cs="Arial" w:eastAsia="Arial" w:hAnsi="Arial"/>
          <w:sz w:val="18"/>
          <w:szCs w:val="18"/>
          <w:color w:val="auto"/>
        </w:rPr>
      </w:pPr>
    </w:p>
    <w:p>
      <w:pPr>
        <w:ind w:left="720" w:hanging="361"/>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for the second quarter of 2015 exceeded $1.7 million, an increase of 20% over the same period in 2014 and a 15% increase over the first quarter of 2015.</w:t>
      </w:r>
    </w:p>
    <w:p>
      <w:pPr>
        <w:ind w:left="720" w:hanging="361"/>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generated positive cash flow from operations of approximately $250,000 during the six month period of 2015.</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balance increased to in excess of $3.6 million.</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continued to improve with working capital of approximately $3.4 million and a working capital ratio of 2.5 to 1.</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Excluding non-cash expenses, the first six months of 2015 generated operating income of $251,372.</w:t>
      </w:r>
    </w:p>
    <w:p>
      <w:pPr>
        <w:spacing w:after="0" w:line="9" w:lineRule="exact"/>
        <w:rPr>
          <w:rFonts w:ascii="Arial" w:cs="Arial" w:eastAsia="Arial" w:hAnsi="Arial"/>
          <w:sz w:val="18"/>
          <w:szCs w:val="18"/>
          <w:color w:val="auto"/>
        </w:rPr>
      </w:pPr>
    </w:p>
    <w:p>
      <w:pPr>
        <w:jc w:val="both"/>
        <w:ind w:left="720" w:hanging="361"/>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initially launched our SampleMD e-coupon solution in April 2015 within Practice Fusion’s EMR and we are now fully integrated. We also began running key campaigns through NextGen in August 2015. Additionally, we have actively engaged and advanced with other leading platforms to position and prioritize integration of services.</w:t>
      </w:r>
    </w:p>
    <w:p>
      <w:pPr>
        <w:spacing w:after="0" w:line="1" w:lineRule="exact"/>
        <w:rPr>
          <w:rFonts w:ascii="Arial" w:cs="Arial" w:eastAsia="Arial" w:hAnsi="Arial"/>
          <w:sz w:val="18"/>
          <w:szCs w:val="18"/>
          <w:color w:val="auto"/>
        </w:rPr>
      </w:pPr>
    </w:p>
    <w:p>
      <w:pPr>
        <w:ind w:left="720" w:hanging="361"/>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signed an agreement with Allscripts to integrate our eCoupon functionality into their Touchworks platform, which serves many large health systems throughout the country, and to become their exclusive eCoupon provider in all of their platforms.</w:t>
      </w:r>
    </w:p>
    <w:p>
      <w:pPr>
        <w:ind w:left="720" w:hanging="361"/>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sponsored the ePrescribe/EHR conference held in Philadelphia in March 2015, which generated significant leads for our sales force.</w:t>
      </w:r>
    </w:p>
    <w:p>
      <w:pPr>
        <w:spacing w:after="0" w:line="20" w:lineRule="exact"/>
        <w:rPr>
          <w:rFonts w:ascii="Arial" w:cs="Arial" w:eastAsia="Arial" w:hAnsi="Arial"/>
          <w:sz w:val="17"/>
          <w:szCs w:val="17"/>
          <w:color w:val="auto"/>
        </w:rPr>
      </w:pPr>
    </w:p>
    <w:p>
      <w:pPr>
        <w:ind w:left="720" w:hanging="361"/>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continued to add new brands in 2015 at both existing customers such as AstraZenica and Lilly, as well as at new customers such as Otsuka and Shionogi. AstraZeneca extended their contract and budget for two years to promote 15 of their leading brands.</w:t>
      </w:r>
    </w:p>
    <w:p>
      <w:pPr>
        <w:ind w:left="720" w:hanging="361"/>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continued to prove an outstanding return on investment on our pharmaceutical promotions through independent analytics firms.</w:t>
      </w:r>
    </w:p>
    <w:p>
      <w:pPr>
        <w:spacing w:after="0" w:line="9" w:lineRule="exact"/>
        <w:rPr>
          <w:rFonts w:ascii="Arial" w:cs="Arial" w:eastAsia="Arial" w:hAnsi="Arial"/>
          <w:sz w:val="18"/>
          <w:szCs w:val="18"/>
          <w:color w:val="auto"/>
        </w:rPr>
      </w:pPr>
    </w:p>
    <w:p>
      <w:pPr>
        <w:ind w:left="720" w:right="20" w:hanging="361"/>
        <w:spacing w:after="0" w:line="261"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made substantial progress toward completing major technical upgrades, including migration to a new Oracle database to allow for very robust growth and performance.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The company continues to make significant progress on growing both sides of our business, including expanding new brands and agreements with pharmaceutical companies looking for new ways to promote and reach doctors and patients at point of prescribe; as well as our networks with the dramatic announcement of Allscripts agreeing to exclusively work with OptimizeRx to manage their patient savings within all platforms that will soon include their largest platform Touchworks.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With the addition of Allscripts, we now are the </w:t>
      </w:r>
      <w:r>
        <w:rPr>
          <w:rFonts w:ascii="Arial" w:cs="Arial" w:eastAsia="Arial" w:hAnsi="Arial"/>
          <w:sz w:val="17"/>
          <w:szCs w:val="17"/>
          <w:b w:val="1"/>
          <w:bCs w:val="1"/>
          <w:color w:val="auto"/>
        </w:rPr>
        <w:t>EXCLUSIVE delivery platform of over 200 other EHRs—which represent two thirds of our network.</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Simply put, OptimizeRx has now created the largest promotional network that engages more healthcare providers at point of prescribe than any other company, including promotion of our programs within over 350 leading EHRs and growing. This also provides a huge barrier to entry to any potential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of these advancements will have meaningful consequences to further accelerate our growth in the second half of year and into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to further leverage this huge market opportunity of bringing savings and patient support right into physicians workflow, we are seeking top notch sales executives on both sides to help us:</w:t>
      </w:r>
    </w:p>
    <w:p>
      <w:pPr>
        <w:spacing w:after="0" w:line="170" w:lineRule="exact"/>
        <w:rPr>
          <w:sz w:val="20"/>
          <w:szCs w:val="20"/>
          <w:color w:val="auto"/>
        </w:rPr>
      </w:pPr>
    </w:p>
    <w:p>
      <w:pPr>
        <w:ind w:left="660" w:right="3140"/>
        <w:spacing w:after="0" w:line="277" w:lineRule="auto"/>
        <w:rPr>
          <w:sz w:val="20"/>
          <w:szCs w:val="20"/>
          <w:color w:val="auto"/>
        </w:rPr>
      </w:pPr>
      <w:r>
        <w:rPr>
          <w:rFonts w:ascii="Arial" w:cs="Arial" w:eastAsia="Arial" w:hAnsi="Arial"/>
          <w:sz w:val="18"/>
          <w:szCs w:val="18"/>
          <w:color w:val="auto"/>
        </w:rPr>
        <w:t>Expand pharma sales account executives, just hired one who has strong specialty products knowledge and 10+ years of pharma experience. Initiating search for Regional VP of Sales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the business development side of our channels, we will also be searching for additional support to grow our network, including a new operational manager to interact daily with key clients and assess performance, as well as an additional key business development executiveto work with the team.</w:t>
      </w:r>
    </w:p>
    <w:p>
      <w:pPr>
        <w:spacing w:after="0" w:line="185"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We also will be expanding our Investor and Public Relations efforts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including attendance at the Liolios Group's 2015 Gateway Conference in San Francisco, as well as hiring a Public Relations firm.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our Board of Directors, we are interviewing proven seasoned executives to further add outside guidance and leadership, as well as additional governance.</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involved in many strategic partnership discussions with some of the largest healthcare companies in the world to look at new opportunities to leverage our proprietary technology and grow our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generated positive cash flow from operations for the six months ended June 30, 2015, and we expect to continue to do so each quarter for the rest of the year. We expect to achieve profitability in future quarters based on the expected escalation of revenues, unless we make positive decisions to invest in development activities to expand our network reach or commit additional marketing resources to customer procurement activities. The outlay of these funds may negatively affect our profitability in the short term, but we are confident the investment will escalate our revenues in the long term and put us in a better position to attain and increase profitability.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w w:val="90"/>
              </w:rPr>
              <w:t>We also generated positive income from operations, when excluding non-cash expenses, as set forth in the table below.</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8"/>
                <w:szCs w:val="18"/>
                <w:color w:val="auto"/>
                <w:w w:val="93"/>
              </w:rPr>
              <w:t>Six 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3,193,010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2,716,236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1,638,768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1,291,551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1,554,242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1,424,685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1,823,269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2,386,747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Noncash operating expenses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520,399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operating Expenses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1,302,870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1,643,565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excluding noncash expenses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(218,880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acquiring, integrating and expanding into new promotional EHR/eRx platforms continues to grow as well. We launched our initial brands into Practice Fusion on a limited basis in April 2015 and we fully integrated the rollout at end of June 2015. We are also working extensively with our existing platforms to expand the reach of our eCoupon product to all of their providers, as well as increasing the utilization of the eCoupon functionality by their existing users.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throughout the year and over the levels of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finished the first six months of 2015 with a loss of approximately $268,000 a substantial reduction over the same period last year, and we generated positive cash flow from operations during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revenue for the three months ended June 30, 2015 was approximately $1.7 million, an increase of 20% over the approximately $1.425 million from the same period in 2014. Our total revenue for the six months ended June 30, 2015 was approximately $3.2 million, an increase of 18% over the approximately $2.7 million from the same period in 2014. These increased revenues result from both increased pharmaceutical brands being promoted and expanded distribution channels. We expect continued quarter over quarter revenue increases for the balance of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cost of sales, comprised of revenue share expense, increased over the same period in 2014 as a result of both the revenue increases and the LDM settlement signed in February 2014. In addition, revenue share expense as a percentage of revenue in 2015 increased over the same period in 2014 as a result of the LDM settlement. In the three month period, revenue share expense increased slightly to approximately 51.7% of sales in 2015 from approximately 51.1% in the same period in 2014 as a result of product mix. In the six month period, revenue share expense increased to approximately 51.3% of sales in 2015 from approximately 47.5% in the same period in 2014 as a result of the LDM settlement.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these increases in revenue share expense as a percentage of revenue result from a combination of factors, including product mix whereby a larger percentage of overall revenues are subject to revenue share, the LDM agreement which resulted in increased revenue share payments, and increased distributions at channel partners with financial incentives to increase distributions that result in higher payments per distribution. We expect revenue share expense as a percentage of revenue in future quarters to continue at levels similar to that of the quarter ended June 30, 2015 as revenues subject to revenue share expense continues to increase as a percentage of our overall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increased from approximately $900,000 for the three month period ended June 30, 2014 to approximately $980,000 for the same period in 2015, an increase of approximately 9%. Operating expenses decreased from approximately $2.4 million for the six month period ended June 30, 2014 to approximately $1.8 for the same period in 2015, a decrease of approximately 24%. The detail by major category is reflected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387,074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374,180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782,273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Professional Fees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81,405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119,403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154,825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Board Compensation</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Investor Relations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20,809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16,905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20,951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56,922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56,445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36,023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106,860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Office, Facility, and other</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32,884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Travel</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34,174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30,937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Subtotal</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699,188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709,014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1,462,207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1,359,393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281,471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187,515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361,062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627,354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Lawsuit settlement</w:t>
            </w:r>
          </w:p>
        </w:tc>
        <w:tc>
          <w:tcPr>
            <w:tcW w:w="1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980,659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896,529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1,823,269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2,386,747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 reasons for the decrease in operating expenses in 2015 are the lawsuit settlement in 2014, which resulted in a $400,000 payment to the plaintiff, and the reduction in stock-based compensation from 2014 to 2015. Ignoring those two items, operating expenses increased approximately 8%, however the majority of those increases related to things implemented after the first quarter of 2014, as opposed to new items in 2015. This would include new hires, as well as the addition of outside Directors and related compensation.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operating expenses to continue to increase slightly as we further implement our business plan and expand our operations, however, we do not expect those increases to be significant in the near future unless we make the proactive decision to increase marketing dollars spent on customer procurement activities or spend more on development activities to increase our overall reach. We expect development expenditures to increase significantly in the fourth quarter based on planned initiatives. Professional fees are significantly affected by litigation, and we do have litigation in progress, causing those fees to fluctuate from quarter to quarter.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loss for the three months ended June 30, 2015 was approximately $157,000 as compared to a loss of approximately $200,000 during the same period in 2014. Our net loss for the six months ended June 30, 2015 was approximately $268,000 as compared to a loss of approximately $962,000 during the same period in 2014. The reasons for specific components are discussed above. Overall, the decreased loss for the six month period is primarily explained by the decrease in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2015, we had total current assets of approximately $5.6 million, compared with current liabilities of approximately $2.3 million, resulting in working capital of approximately $3.4 million and a current ratio of approximately 2.5 to 1, similar to, but improved over, the working capital of approximately $3.2 million and current ratio of 2.3 to 1 at December 31, 2014. We are currently generating positive cash flow from operations and we expect our working capital balance to continue to improve in future quarters as we continue to generate positive cash flow from operations.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operating activities generated approximately $250,000 in cash flow during the six months ended June 30, 2015, compared with cash used in operating activities of approximately $150,000 in the same period in 2014. This increase is primarily the result of the reduced loss for the period.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$50,000 in investing activities in the six months ended June 30, 2015 compared with approximately $215,000 in the same period in 2014. These investment activities relate to improvements being implemented in our SampleMD website, as well as protection and expansion of our patent portfolio. These items both represent important components of our business strategy moving forward.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cash flows from financing activities in 2015, however financing activities provided approximately $2.8 million during the six months ended June 30, 2014. This resulted from a $10 million equity raise in March 2014, partially offset by costs of the raise and redemption of all the common stock, preferred stock, and warrants held by a major shareholder that significantly reduced the fully diluted shares count, even when considering the new equity issued. With the financing and cash on hand, we have sufficient cash to operate our business for more than the next twelve months and we do not anticipate the need to raise additional equity for operating purposes, however we may consider a strategic investments that would allow us to accelerate the growth of the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2014, however we consider our critical accounting policies to be those related to revenue recognition, revenue share expense, stock-based compensation, capitalization and related amortization of intangible assets, and impairment of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June 30, 2015. This evaluation was carried out under the supervision and with the participation of our Chief Executive Officer and our Chief Financial Officer. Based upon that evaluation, our Chief Executive Officer and Chief Financial Officer concluded that, as of June 30, 2015, our disclosure controls and procedures are not completely effective due to the presence of material weaknesses in internal control over financial reporting.</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June 30, 2015, our disclosure controls and procedures were not effective: (i) inadequate segregation of duties; and (ii) inadequate information technology reporting systems to insure that accurate financial information is provided for accounting and financial reporting with respect to the requirements and application of both US GAAP and SEC guidelines.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to Address the Material Weaknesses in Internal Control over Financial Reporting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discussed in our Annual Report on Form 10-K we have taken steps to enhance and improve the design of our internal controls over financial reporting. We will continue to establish procedures to mitigate the segregation of duties issues, but it is not possible to completely remediate the issue without hiring additional personnel. We are continuing to upgrade our technical systems to increase the reliability of information provided.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2014, we initiated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approximates $1.0 million, as well as damages for lost income and business value as a result of LDM’s breach of the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approximates $1.0 million, as well as damages for lost income and business value as a result of PDR’s actions.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May 2015, we filed an amended complaint in the Missouri case to consolidate the two cases and withdrew the case against PDR Networks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District Court in the District of New Jersey, without prejudice.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July, 2015, the U.S. District Court for the Eastern District of Missouri dismissed the case, citing lack of Federal jurisdiction in the matter. We are in the process of refiling the consolidated case against PDR Network and LDM group in State court in Missouri.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the Company’s Annual Report on form 10-K for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0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98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Description of Exhibit</w:t>
            </w:r>
          </w:p>
        </w:tc>
      </w:tr>
      <w:tr>
        <w:trPr>
          <w:trHeight w:val="195"/>
        </w:trPr>
        <w:tc>
          <w:tcPr>
            <w:tcW w:w="1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31.1</w:t>
            </w:r>
          </w:p>
        </w:tc>
        <w:tc>
          <w:tcPr>
            <w:tcW w:w="100" w:type="dxa"/>
            <w:vAlign w:val="bottom"/>
            <w:tcBorders>
              <w:top w:val="single" w:sz="8" w:color="CCEEFF"/>
            </w:tcBorders>
            <w:shd w:val="clear" w:color="auto" w:fill="CCEEFF"/>
          </w:tcPr>
          <w:p>
            <w:pPr>
              <w:spacing w:after="0"/>
              <w:rPr>
                <w:sz w:val="16"/>
                <w:szCs w:val="16"/>
                <w:color w:val="auto"/>
              </w:rPr>
            </w:pPr>
          </w:p>
        </w:tc>
        <w:tc>
          <w:tcPr>
            <w:tcW w:w="9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302 of the Sarbanes-</w:t>
            </w:r>
          </w:p>
        </w:tc>
      </w:tr>
      <w:tr>
        <w:trPr>
          <w:trHeight w:val="230"/>
        </w:trPr>
        <w:tc>
          <w:tcPr>
            <w:tcW w:w="1620" w:type="dxa"/>
            <w:vAlign w:val="bottom"/>
            <w:shd w:val="clear" w:color="auto" w:fill="CCEEFF"/>
          </w:tcPr>
          <w:p>
            <w:pPr>
              <w:spacing w:after="0"/>
              <w:rPr>
                <w:sz w:val="20"/>
                <w:szCs w:val="20"/>
                <w:color w:val="auto"/>
              </w:rPr>
            </w:pPr>
          </w:p>
        </w:tc>
        <w:tc>
          <w:tcPr>
            <w:tcW w:w="9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Oxley Act of 2002</w:t>
            </w: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31.2</w:t>
            </w:r>
          </w:p>
        </w:tc>
        <w:tc>
          <w:tcPr>
            <w:tcW w:w="98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302 of the Sarbanes-Oxley</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Act of 2002</w:t>
            </w:r>
          </w:p>
        </w:tc>
      </w:tr>
      <w:tr>
        <w:trPr>
          <w:trHeight w:val="202"/>
        </w:trPr>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32.1</w:t>
            </w:r>
          </w:p>
        </w:tc>
        <w:tc>
          <w:tcPr>
            <w:tcW w:w="98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Certification of Chief Executive Officer and Chief Financial Officer pursuant to 18 U.S.C. Section 1350, as adopted pursuant to</w:t>
            </w:r>
          </w:p>
        </w:tc>
      </w:tr>
      <w:tr>
        <w:trPr>
          <w:trHeight w:val="230"/>
        </w:trPr>
        <w:tc>
          <w:tcPr>
            <w:tcW w:w="1620" w:type="dxa"/>
            <w:vAlign w:val="bottom"/>
            <w:shd w:val="clear" w:color="auto" w:fill="CCEEFF"/>
          </w:tcPr>
          <w:p>
            <w:pPr>
              <w:spacing w:after="0"/>
              <w:rPr>
                <w:sz w:val="20"/>
                <w:szCs w:val="20"/>
                <w:color w:val="auto"/>
              </w:rPr>
            </w:pPr>
          </w:p>
        </w:tc>
        <w:tc>
          <w:tcPr>
            <w:tcW w:w="9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Section 906 of the Sarbanes-Oxley Act of 2002</w:t>
            </w:r>
          </w:p>
        </w:tc>
      </w:tr>
      <w:tr>
        <w:trPr>
          <w:trHeight w:val="218"/>
        </w:trPr>
        <w:tc>
          <w:tcPr>
            <w:tcW w:w="1620" w:type="dxa"/>
            <w:vAlign w:val="bottom"/>
          </w:tcPr>
          <w:p>
            <w:pPr>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7"/>
              </w:rPr>
              <w:t>The following materials from the Company’s Quarterly Report on Form 10-Q for the quarter ended June 30, 2015 formatted in</w:t>
            </w:r>
          </w:p>
        </w:tc>
      </w:tr>
    </w:tbl>
    <w:p>
      <w:pPr>
        <w:ind w:left="1720"/>
        <w:spacing w:after="0"/>
        <w:rPr>
          <w:sz w:val="20"/>
          <w:szCs w:val="20"/>
          <w:color w:val="auto"/>
        </w:rPr>
      </w:pPr>
      <w:r>
        <w:rPr>
          <w:rFonts w:ascii="Arial" w:cs="Arial" w:eastAsia="Arial" w:hAnsi="Arial"/>
          <w:sz w:val="18"/>
          <w:szCs w:val="18"/>
          <w:color w:val="auto"/>
        </w:rPr>
        <w:t>Extensible Business Reporting Language (XBRL).</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August 11, 2015</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198"/>
        </w:trPr>
        <w:tc>
          <w:tcPr>
            <w:tcW w:w="70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Arial" w:cs="Arial" w:eastAsia="Arial" w:hAnsi="Arial"/>
                <w:sz w:val="18"/>
                <w:szCs w:val="18"/>
                <w:color w:val="auto"/>
              </w:rPr>
              <w:t>David Harrell</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b w:val="1"/>
                <w:bCs w:val="1"/>
                <w:color w:val="auto"/>
              </w:rPr>
              <w:t>Chief Executive Officer, Principal Executive</w:t>
            </w:r>
          </w:p>
        </w:tc>
      </w:tr>
      <w:tr>
        <w:trPr>
          <w:trHeight w:val="234"/>
        </w:trPr>
        <w:tc>
          <w:tcPr>
            <w:tcW w:w="7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Officer, and Director</w:t>
            </w:r>
          </w:p>
        </w:tc>
      </w:tr>
    </w:tbl>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August 11, 2015</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70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b w:val="1"/>
                <w:bCs w:val="1"/>
                <w:color w:val="auto"/>
              </w:rPr>
              <w:t>Chief Financial Officer, Principal Financial</w:t>
            </w:r>
          </w:p>
        </w:tc>
      </w:tr>
      <w:tr>
        <w:trPr>
          <w:trHeight w:val="234"/>
        </w:trPr>
        <w:tc>
          <w:tcPr>
            <w:tcW w:w="7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Harrell, certify that;</w:t>
      </w:r>
    </w:p>
    <w:p>
      <w:pPr>
        <w:spacing w:after="0" w:line="22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2015 of OptimizeRx Corp (the “registrant”);</w:t>
      </w:r>
    </w:p>
    <w:p>
      <w:pPr>
        <w:spacing w:after="0" w:line="225"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00" w:hanging="482"/>
        <w:spacing w:after="0" w:line="264"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00" w:hanging="482"/>
        <w:spacing w:after="0" w:line="308" w:lineRule="auto"/>
        <w:tabs>
          <w:tab w:leader="none" w:pos="100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00" w:hanging="492"/>
        <w:spacing w:after="0" w:line="264"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482"/>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hanging="492"/>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1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2015 of OptimizeRx Corp (the “registrant”);</w:t>
      </w:r>
    </w:p>
    <w:p>
      <w:pPr>
        <w:spacing w:after="0" w:line="225"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00" w:hanging="482"/>
        <w:spacing w:after="0" w:line="264"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00" w:hanging="482"/>
        <w:spacing w:after="0" w:line="308" w:lineRule="auto"/>
        <w:tabs>
          <w:tab w:leader="none" w:pos="100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00" w:hanging="492"/>
        <w:spacing w:after="0" w:line="264"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482"/>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hanging="492"/>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June 30, 2015 filed with the Securities and Exchange Commission (the “Report”), I, David Harrell,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David Harrell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August 11, 2015</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Douglas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August 11, 2015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2019-12-08T21:52:48Z</dcterms:created>
  <dcterms:modified xsi:type="dcterms:W3CDTF">2019-12-08T21:52:48Z</dcterms:modified>
</cp:coreProperties>
</file>