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December 5, 2012</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2480" w:type="dxa"/>
            <w:vAlign w:val="bottom"/>
            <w:gridSpan w:val="3"/>
          </w:tcPr>
          <w:p>
            <w:pPr>
              <w:jc w:val="center"/>
              <w:ind w:right="1850"/>
              <w:spacing w:after="0"/>
              <w:rPr>
                <w:sz w:val="20"/>
                <w:szCs w:val="20"/>
                <w:color w:val="auto"/>
              </w:rPr>
            </w:pPr>
            <w:r>
              <w:rPr>
                <w:rFonts w:ascii="Arial" w:cs="Arial" w:eastAsia="Arial" w:hAnsi="Arial"/>
                <w:sz w:val="18"/>
                <w:szCs w:val="18"/>
                <w:color w:val="auto"/>
                <w:w w:val="86"/>
              </w:rPr>
              <w:t>Nevada</w:t>
            </w:r>
          </w:p>
        </w:tc>
        <w:tc>
          <w:tcPr>
            <w:tcW w:w="3380" w:type="dxa"/>
            <w:vAlign w:val="bottom"/>
            <w:gridSpan w:val="3"/>
          </w:tcPr>
          <w:p>
            <w:pPr>
              <w:jc w:val="right"/>
              <w:ind w:right="1360"/>
              <w:spacing w:after="0"/>
              <w:rPr>
                <w:sz w:val="20"/>
                <w:szCs w:val="20"/>
                <w:color w:val="auto"/>
              </w:rPr>
            </w:pPr>
            <w:r>
              <w:rPr>
                <w:rFonts w:ascii="Arial" w:cs="Arial" w:eastAsia="Arial" w:hAnsi="Arial"/>
                <w:sz w:val="18"/>
                <w:szCs w:val="18"/>
                <w:color w:val="auto"/>
              </w:rPr>
              <w:t>000-53605</w:t>
            </w:r>
          </w:p>
        </w:tc>
        <w:tc>
          <w:tcPr>
            <w:tcW w:w="336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780" w:type="dxa"/>
            <w:vAlign w:val="bottom"/>
            <w:gridSpan w:val="4"/>
          </w:tcPr>
          <w:p>
            <w:pPr>
              <w:jc w:val="center"/>
              <w:ind w:right="530"/>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(Commission File Number)</w:t>
            </w:r>
          </w:p>
        </w:tc>
        <w:tc>
          <w:tcPr>
            <w:tcW w:w="3360" w:type="dxa"/>
            <w:vAlign w:val="bottom"/>
            <w:gridSpan w:val="5"/>
          </w:tcPr>
          <w:p>
            <w:pPr>
              <w:jc w:val="center"/>
              <w:ind w:left="67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5"/>
          </w:tcPr>
          <w:p>
            <w:pPr>
              <w:jc w:val="center"/>
              <w:ind w:right="1960"/>
              <w:spacing w:after="0"/>
              <w:rPr>
                <w:sz w:val="20"/>
                <w:szCs w:val="20"/>
                <w:color w:val="auto"/>
              </w:rPr>
            </w:pPr>
            <w:r>
              <w:rPr>
                <w:rFonts w:ascii="Arial" w:cs="Arial" w:eastAsia="Arial" w:hAnsi="Arial"/>
                <w:sz w:val="18"/>
                <w:szCs w:val="18"/>
                <w:color w:val="auto"/>
                <w:w w:val="89"/>
              </w:rPr>
              <w:t>400 Water Street, Suite 200, Rochester, MI</w:t>
            </w:r>
          </w:p>
        </w:tc>
        <w:tc>
          <w:tcPr>
            <w:tcW w:w="2500" w:type="dxa"/>
            <w:vAlign w:val="bottom"/>
            <w:gridSpan w:val="4"/>
          </w:tcPr>
          <w:p>
            <w:pPr>
              <w:jc w:val="right"/>
              <w:ind w:right="22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Borders>
              <w:right w:val="single" w:sz="8" w:color="auto"/>
            </w:tcBorders>
            <w:gridSpan w:val="2"/>
            <w:shd w:val="clear" w:color="auto" w:fill="000000"/>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00" w:type="dxa"/>
            <w:vAlign w:val="bottom"/>
            <w:gridSpan w:val="2"/>
          </w:tcPr>
          <w:p>
            <w:pPr>
              <w:spacing w:after="0"/>
              <w:rPr>
                <w:sz w:val="20"/>
                <w:szCs w:val="20"/>
                <w:color w:val="auto"/>
              </w:rPr>
            </w:pPr>
          </w:p>
        </w:tc>
        <w:tc>
          <w:tcPr>
            <w:tcW w:w="162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3"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7 – Regulation FD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5, 2012, OptimizeRx Corporation made investor presentations that included the slides furnished as Exhibit 99.1 to this Current Report on Form 8-K.</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information in Item 7.01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99.1 </w:t>
      </w:r>
      <w:r>
        <w:rPr>
          <w:rFonts w:ascii="Arial" w:cs="Arial" w:eastAsia="Arial" w:hAnsi="Arial"/>
          <w:sz w:val="18"/>
          <w:szCs w:val="18"/>
          <w:u w:val="single" w:color="auto"/>
          <w:color w:val="0000EE"/>
        </w:rPr>
        <w:t>Investor Relations Presentation, dated December 5, 2012</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2012</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21" w:right="279" w:bottom="1440" w:gutter="0" w:footer="0" w:header="0"/>
        </w:sectPr>
      </w:pPr>
    </w:p>
    <w:bookmarkStart w:id="2" w:name="page3"/>
    <w:bookmarkEnd w:id="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52743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5274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-123190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-123190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-123190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-123190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-123190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-123190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-123190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-123190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-115570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-115570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-115570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-115570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-115570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-115570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-115570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-115570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-115570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2019-12-09T19:01:51Z</dcterms:created>
  <dcterms:modified xsi:type="dcterms:W3CDTF">2019-12-09T19:01:51Z</dcterms:modified>
</cp:coreProperties>
</file>