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29,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20" w:type="dxa"/>
            <w:vAlign w:val="bottom"/>
            <w:gridSpan w:val="3"/>
          </w:tcPr>
          <w:p>
            <w:pPr>
              <w:jc w:val="center"/>
              <w:ind w:right="880"/>
              <w:spacing w:after="0"/>
              <w:rPr>
                <w:sz w:val="20"/>
                <w:szCs w:val="20"/>
                <w:color w:val="auto"/>
              </w:rPr>
            </w:pPr>
            <w:r>
              <w:rPr>
                <w:rFonts w:ascii="Arial" w:cs="Arial" w:eastAsia="Arial" w:hAnsi="Arial"/>
                <w:sz w:val="18"/>
                <w:szCs w:val="18"/>
                <w:color w:val="auto"/>
                <w:w w:val="90"/>
              </w:rPr>
              <w:t>Nevada</w:t>
            </w:r>
          </w:p>
        </w:tc>
        <w:tc>
          <w:tcPr>
            <w:tcW w:w="1740" w:type="dxa"/>
            <w:vAlign w:val="bottom"/>
            <w:gridSpan w:val="4"/>
          </w:tcPr>
          <w:p>
            <w:pPr>
              <w:jc w:val="right"/>
              <w:ind w:right="160"/>
              <w:spacing w:after="0"/>
              <w:rPr>
                <w:sz w:val="20"/>
                <w:szCs w:val="20"/>
                <w:color w:val="auto"/>
              </w:rPr>
            </w:pPr>
            <w:r>
              <w:rPr>
                <w:rFonts w:ascii="Arial" w:cs="Arial" w:eastAsia="Arial" w:hAnsi="Arial"/>
                <w:sz w:val="18"/>
                <w:szCs w:val="18"/>
                <w:color w:val="auto"/>
              </w:rPr>
              <w:t>000-53605</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30"/>
        </w:trPr>
        <w:tc>
          <w:tcPr>
            <w:tcW w:w="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gridSpan w:val="5"/>
          </w:tcPr>
          <w:p>
            <w:pPr>
              <w:jc w:val="center"/>
              <w:ind w:right="640"/>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20" w:type="dxa"/>
            <w:vAlign w:val="bottom"/>
          </w:tcPr>
          <w:p>
            <w:pPr>
              <w:spacing w:after="0"/>
              <w:rPr>
                <w:sz w:val="24"/>
                <w:szCs w:val="24"/>
                <w:color w:val="auto"/>
              </w:rPr>
            </w:pPr>
          </w:p>
        </w:tc>
        <w:tc>
          <w:tcPr>
            <w:tcW w:w="452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0"/>
              </w:rPr>
              <w:t>400 Water Street, Suite 200, Rochester, MI</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20" w:type="dxa"/>
            <w:vAlign w:val="bottom"/>
          </w:tcPr>
          <w:p>
            <w:pPr>
              <w:spacing w:after="0"/>
              <w:rPr>
                <w:sz w:val="20"/>
                <w:szCs w:val="20"/>
                <w:color w:val="auto"/>
              </w:rPr>
            </w:pPr>
          </w:p>
        </w:tc>
        <w:tc>
          <w:tcPr>
            <w:tcW w:w="452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r>
        <w:trPr>
          <w:trHeight w:val="425"/>
        </w:trPr>
        <w:tc>
          <w:tcPr>
            <w:tcW w:w="454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26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color w:val="auto"/>
                <w:w w:val="92"/>
              </w:rPr>
              <w:t>248.651.6568</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274320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9"/>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70"/>
        </w:trPr>
        <w:tc>
          <w:tcPr>
            <w:tcW w:w="3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66"/>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August 29, 2019, we issued a press release announcing our invitation to participate in the Lake Street Capital Markets 3rd Annual Best Ideas Growth (BIG3) Conference being held on September 12, 2019 at the Parker New York.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441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165735</wp:posOffset>
            </wp:positionV>
            <wp:extent cx="349885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88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OptimizeRx to Participate at Lake Street Annual Best Ideas Growth Conference on September 12, 2019</w:t>
      </w:r>
    </w:p>
    <w:p>
      <w:pPr>
        <w:spacing w:after="0" w:line="13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ROCHESTER, Mich., (August 29, 2019) — </w:t>
      </w:r>
      <w:r>
        <w:rPr>
          <w:rFonts w:ascii="Arial" w:cs="Arial" w:eastAsia="Arial" w:hAnsi="Arial"/>
          <w:sz w:val="18"/>
          <w:szCs w:val="18"/>
          <w:color w:val="auto"/>
        </w:rPr>
        <w:t>OptimizeRx Corp. (NASDAQ: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been invited to participate in the Lake Street Capital Markets 3rd Annual Best Ideas Growth (BIG3) Conference being held on September 12, 2019 at the Parker New York.</w:t>
      </w:r>
    </w:p>
    <w:p>
      <w:pPr>
        <w:spacing w:after="0" w:line="1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OptimizeRx CEO William Febbo is scheduled to participate in one-on-one meetings. He will discuss a number of topics, including the company’s record Q2 results, its new business intelligence and communications services, and how the company is supporting better health outcomes through its digital health network that now reaches more than a million doctors and patients nationwide.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company’s digital health network is expanding into the acute care market after reaching more than half of the ambulatory patient market in the U.S.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BIG3 event brings together more than 60 dynamic small-cap publicly traded company management teams to interact with over 100 institutional accounts from across the country in a one-on-one meeting format.</w:t>
      </w:r>
    </w:p>
    <w:p>
      <w:pPr>
        <w:spacing w:after="0" w:line="17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event is for institutional clients of Lake Street and is by invitation only. To schedule a one-on-one meeting with OptimizeRx, please contact your Lake Street sales representative or conference@lakestreetcm.com. For any questions about OptimizeRx, contact Ron Both of CMA at (949) 432-7557 or submit your request 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162"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ind w:right="40"/>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4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6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2019-12-28T06:38:00Z</dcterms:created>
  <dcterms:modified xsi:type="dcterms:W3CDTF">2019-12-28T06:38:00Z</dcterms:modified>
</cp:coreProperties>
</file>