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ind w:left="4080" w:right="2400" w:hanging="1664"/>
        <w:spacing w:after="0" w:line="484" w:lineRule="auto"/>
        <w:tabs>
          <w:tab w:leader="none" w:pos="26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June 30, 2019</w:t>
      </w:r>
    </w:p>
    <w:p>
      <w:pPr>
        <w:spacing w:after="0" w:line="29" w:lineRule="exact"/>
        <w:rPr>
          <w:sz w:val="24"/>
          <w:szCs w:val="24"/>
          <w:color w:val="auto"/>
        </w:rPr>
      </w:pPr>
    </w:p>
    <w:p>
      <w:pPr>
        <w:ind w:left="3680" w:right="2680" w:hanging="993"/>
        <w:spacing w:after="0" w:line="498" w:lineRule="auto"/>
        <w:tabs>
          <w:tab w:leader="none" w:pos="2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13 or 15(d) of the Securities Exchange Act of 1934 For the transition period from ________ to __________</w:t>
      </w:r>
    </w:p>
    <w:p>
      <w:pPr>
        <w:spacing w:after="0" w:line="1"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001-38543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OptimizeRx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8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7340" w:type="dxa"/>
            <w:vAlign w:val="bottom"/>
            <w:gridSpan w:val="7"/>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4080" w:type="dxa"/>
            <w:vAlign w:val="bottom"/>
            <w:tcBorders>
              <w:top w:val="single" w:sz="8" w:color="auto"/>
            </w:tcBorders>
          </w:tcPr>
          <w:p>
            <w:pPr>
              <w:ind w:left="174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ind w:left="154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80" w:type="dxa"/>
            <w:vAlign w:val="bottom"/>
          </w:tcPr>
          <w:p>
            <w:pPr>
              <w:spacing w:after="0"/>
              <w:rPr>
                <w:sz w:val="24"/>
                <w:szCs w:val="24"/>
                <w:color w:val="auto"/>
              </w:rPr>
            </w:pPr>
          </w:p>
        </w:tc>
        <w:tc>
          <w:tcPr>
            <w:tcW w:w="7340" w:type="dxa"/>
            <w:vAlign w:val="bottom"/>
            <w:gridSpan w:val="7"/>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w w:val="99"/>
              </w:rPr>
              <w:t>400 Water Street, Suite 200</w:t>
            </w:r>
          </w:p>
        </w:tc>
      </w:tr>
      <w:tr>
        <w:trPr>
          <w:trHeight w:val="198"/>
        </w:trPr>
        <w:tc>
          <w:tcPr>
            <w:tcW w:w="4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520" w:type="dxa"/>
            <w:vAlign w:val="bottom"/>
            <w:gridSpan w:val="6"/>
          </w:tcPr>
          <w:p>
            <w:pPr>
              <w:jc w:val="center"/>
              <w:ind w:right="4810"/>
              <w:spacing w:after="0" w:line="198" w:lineRule="exact"/>
              <w:rPr>
                <w:sz w:val="20"/>
                <w:szCs w:val="20"/>
                <w:color w:val="auto"/>
              </w:rPr>
            </w:pPr>
            <w:r>
              <w:rPr>
                <w:rFonts w:ascii="Times New Roman" w:cs="Times New Roman" w:eastAsia="Times New Roman" w:hAnsi="Times New Roman"/>
                <w:sz w:val="18"/>
                <w:szCs w:val="18"/>
                <w:b w:val="1"/>
                <w:bCs w:val="1"/>
                <w:color w:val="auto"/>
                <w:w w:val="98"/>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70"/>
              <w:spacing w:after="0"/>
              <w:rPr>
                <w:sz w:val="20"/>
                <w:szCs w:val="20"/>
                <w:color w:val="auto"/>
              </w:rPr>
            </w:pPr>
            <w:r>
              <w:rPr>
                <w:rFonts w:ascii="Times New Roman" w:cs="Times New Roman" w:eastAsia="Times New Roman" w:hAnsi="Times New Roman"/>
                <w:sz w:val="18"/>
                <w:szCs w:val="18"/>
                <w:color w:val="auto"/>
                <w:w w:val="99"/>
              </w:rPr>
              <w:t>(Registrant’s telephone number)</w:t>
            </w: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5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 reporting company,” and “emerging growth company” in Rule 12b-2 of the Exchange Act.</w:t>
      </w:r>
    </w:p>
    <w:p>
      <w:pPr>
        <w:sectPr>
          <w:pgSz w:w="11900" w:h="16838" w:orient="portrait"/>
          <w:cols w:equalWidth="0" w:num="1">
            <w:col w:w="11420"/>
          </w:cols>
          <w:pgMar w:left="240" w:top="513" w:right="239" w:bottom="1440" w:gutter="0" w:footer="0" w:header="0"/>
        </w:sectPr>
      </w:pPr>
    </w:p>
    <w:p>
      <w:pPr>
        <w:spacing w:after="0" w:line="147"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Large accelerated filer</w:t>
      </w:r>
    </w:p>
    <w:p>
      <w:pPr>
        <w:spacing w:after="0" w:line="69"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p>
      <w:pPr>
        <w:spacing w:after="0" w:line="58"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w:t>
      </w:r>
    </w:p>
    <w:p>
      <w:pPr>
        <w:spacing w:after="0" w:line="2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w:t>
      </w:r>
    </w:p>
    <w:p>
      <w:pPr>
        <w:spacing w:after="0" w:line="200" w:lineRule="exact"/>
        <w:rPr>
          <w:sz w:val="24"/>
          <w:szCs w:val="24"/>
          <w:color w:val="auto"/>
        </w:rPr>
      </w:pPr>
    </w:p>
    <w:p>
      <w:pPr>
        <w:sectPr>
          <w:pgSz w:w="11900" w:h="16838" w:orient="portrait"/>
          <w:cols w:equalWidth="0" w:num="2">
            <w:col w:w="6360" w:space="720"/>
            <w:col w:w="4340"/>
          </w:cols>
          <w:pgMar w:left="240" w:top="513" w:right="239" w:bottom="1440" w:gutter="0" w:footer="0" w:header="0"/>
          <w:type w:val="continuous"/>
        </w:sectPr>
      </w:pPr>
    </w:p>
    <w:p>
      <w:pPr>
        <w:spacing w:after="0" w:line="17"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14,137,363 common shares as of August 3, 2019.</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462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920" w:type="dxa"/>
            <w:vAlign w:val="bottom"/>
            <w:tcBorders>
              <w:top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OPRX</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198"/>
        </w:trPr>
        <w:tc>
          <w:tcPr>
            <w:tcW w:w="20" w:type="dxa"/>
            <w:vAlign w:val="bottom"/>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r>
      <w:tr>
        <w:trPr>
          <w:trHeight w:val="28"/>
        </w:trPr>
        <w:tc>
          <w:tcPr>
            <w:tcW w:w="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682"/>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646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17"/>
                <w:szCs w:val="17"/>
                <w:color w:val="auto"/>
              </w:rPr>
            </w:pPr>
          </w:p>
        </w:tc>
      </w:tr>
      <w:tr>
        <w:trPr>
          <w:trHeight w:val="460"/>
        </w:trPr>
        <w:tc>
          <w:tcPr>
            <w:tcW w:w="9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Page</w:t>
            </w:r>
          </w:p>
        </w:tc>
      </w:tr>
      <w:tr>
        <w:trPr>
          <w:trHeight w:val="392"/>
        </w:trPr>
        <w:tc>
          <w:tcPr>
            <w:tcW w:w="9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7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432"/>
        </w:trPr>
        <w:tc>
          <w:tcPr>
            <w:tcW w:w="9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60" w:type="dxa"/>
            <w:vAlign w:val="bottom"/>
            <w:gridSpan w:val="4"/>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800" w:type="dxa"/>
            <w:vAlign w:val="bottom"/>
          </w:tcPr>
          <w:p>
            <w:pPr>
              <w:spacing w:after="0"/>
              <w:rPr>
                <w:sz w:val="24"/>
                <w:szCs w:val="24"/>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Legal Proceedings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Risk Factors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7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Mine Safety Disclosure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7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Other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7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Exhibits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 w:name="page3"/>
    <w:bookmarkEnd w:id="2"/>
    <w:p>
      <w:pPr>
        <w:ind w:left="41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financial statements included in this Form 10-Q are as follows:</w:t>
      </w:r>
    </w:p>
    <w:p>
      <w:pPr>
        <w:spacing w:after="0" w:line="225" w:lineRule="exact"/>
        <w:rPr>
          <w:sz w:val="20"/>
          <w:szCs w:val="20"/>
          <w:color w:val="auto"/>
        </w:rPr>
      </w:pPr>
    </w:p>
    <w:p>
      <w:pPr>
        <w:jc w:val="center"/>
        <w:ind w:right="9820"/>
        <w:spacing w:after="0"/>
        <w:rPr>
          <w:sz w:val="20"/>
          <w:szCs w:val="20"/>
          <w:color w:val="auto"/>
        </w:rPr>
      </w:pPr>
      <w:r>
        <w:rPr>
          <w:rFonts w:ascii="Times New Roman" w:cs="Times New Roman" w:eastAsia="Times New Roman" w:hAnsi="Times New Roman"/>
          <w:sz w:val="18"/>
          <w:szCs w:val="18"/>
          <w:color w:val="auto"/>
        </w:rPr>
        <w:t>Page</w:t>
      </w:r>
    </w:p>
    <w:p>
      <w:pPr>
        <w:spacing w:after="0" w:line="27" w:lineRule="exact"/>
        <w:rPr>
          <w:sz w:val="20"/>
          <w:szCs w:val="20"/>
          <w:color w:val="auto"/>
        </w:rPr>
      </w:pPr>
    </w:p>
    <w:p>
      <w:pPr>
        <w:jc w:val="center"/>
        <w:ind w:right="982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604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ind w:left="1160" w:hanging="677"/>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Balance Sheets as of June 30, 2019 (unaudited) and December 31, 2018;</w:t>
      </w:r>
    </w:p>
    <w:p>
      <w:pPr>
        <w:spacing w:after="0" w:line="27" w:lineRule="exact"/>
        <w:rPr>
          <w:sz w:val="20"/>
          <w:szCs w:val="20"/>
          <w:color w:val="auto"/>
        </w:rPr>
      </w:pPr>
    </w:p>
    <w:p>
      <w:pPr>
        <w:ind w:left="1160" w:hanging="677"/>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Operations for the three and six months ended June 30, 2019 and 2018 (unaudited);</w:t>
      </w:r>
    </w:p>
    <w:p>
      <w:pPr>
        <w:spacing w:after="0" w:line="9" w:lineRule="exact"/>
        <w:rPr>
          <w:sz w:val="20"/>
          <w:szCs w:val="20"/>
          <w:color w:val="auto"/>
        </w:rPr>
      </w:pPr>
    </w:p>
    <w:p>
      <w:pPr>
        <w:ind w:left="1160" w:hanging="677"/>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Statements of Changes in Stockholders’ Equity for the three and six months ended June 30, 2019 (unaudited)</w:t>
      </w:r>
    </w:p>
    <w:p>
      <w:pPr>
        <w:spacing w:after="0" w:line="20" w:lineRule="exact"/>
        <w:rPr>
          <w:rFonts w:ascii="Times New Roman" w:cs="Times New Roman" w:eastAsia="Times New Roman" w:hAnsi="Times New Roman"/>
          <w:sz w:val="17"/>
          <w:szCs w:val="17"/>
          <w:color w:val="auto"/>
        </w:rPr>
      </w:pPr>
    </w:p>
    <w:p>
      <w:pPr>
        <w:ind w:left="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Condensed Consolidated Statements of Changes in Stockholders’ Equity for the three and six months ended June 30, 2018 (unaudited)</w:t>
      </w:r>
    </w:p>
    <w:p>
      <w:pPr>
        <w:spacing w:after="0" w:line="9" w:lineRule="exact"/>
        <w:rPr>
          <w:rFonts w:ascii="Times New Roman" w:cs="Times New Roman" w:eastAsia="Times New Roman" w:hAnsi="Times New Roman"/>
          <w:sz w:val="17"/>
          <w:szCs w:val="17"/>
          <w:color w:val="auto"/>
        </w:rPr>
      </w:pPr>
    </w:p>
    <w:p>
      <w:pPr>
        <w:ind w:left="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Condensed Consolidated Statements of Cash Flows for the six months ended June 30, 2019 and 2018 (unaudited);</w:t>
      </w:r>
    </w:p>
    <w:p>
      <w:pPr>
        <w:spacing w:after="0" w:line="9" w:lineRule="exact"/>
        <w:rPr>
          <w:rFonts w:ascii="Times New Roman" w:cs="Times New Roman" w:eastAsia="Times New Roman" w:hAnsi="Times New Roman"/>
          <w:sz w:val="17"/>
          <w:szCs w:val="17"/>
          <w:color w:val="auto"/>
        </w:rPr>
      </w:pPr>
    </w:p>
    <w:p>
      <w:pPr>
        <w:ind w:left="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7"/>
          <w:szCs w:val="17"/>
          <w:color w:val="auto"/>
        </w:rPr>
        <w:t>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60"/>
          </w:cols>
          <w:pgMar w:left="240" w:top="900" w:right="79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9" w:lineRule="exact"/>
        <w:rPr>
          <w:sz w:val="20"/>
          <w:szCs w:val="20"/>
          <w:color w:val="auto"/>
        </w:rPr>
      </w:pPr>
    </w:p>
    <w:p>
      <w:pPr>
        <w:jc w:val="both"/>
        <w:ind w:right="100" w:firstLine="180"/>
        <w:spacing w:after="0" w:line="280" w:lineRule="auto"/>
        <w:rPr>
          <w:sz w:val="20"/>
          <w:szCs w:val="20"/>
          <w:color w:val="auto"/>
        </w:rPr>
      </w:pPr>
      <w:r>
        <w:rPr>
          <w:rFonts w:ascii="Times New Roman" w:cs="Times New Roman" w:eastAsia="Times New Roman" w:hAnsi="Times New Roman"/>
          <w:sz w:val="18"/>
          <w:szCs w:val="18"/>
          <w:color w:val="auto"/>
        </w:rPr>
        <w:t>Prepaid expenses Total Current Assets Property and equipment, net</w:t>
      </w: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27" w:lineRule="exact"/>
        <w:rPr>
          <w:sz w:val="20"/>
          <w:szCs w:val="20"/>
          <w:color w:val="auto"/>
        </w:rPr>
      </w:pPr>
    </w:p>
    <w:p>
      <w:pPr>
        <w:ind w:left="180" w:right="740"/>
        <w:spacing w:after="0" w:line="250" w:lineRule="auto"/>
        <w:rPr>
          <w:sz w:val="20"/>
          <w:szCs w:val="20"/>
          <w:color w:val="auto"/>
        </w:rPr>
      </w:pPr>
      <w:r>
        <w:rPr>
          <w:rFonts w:ascii="Times New Roman" w:cs="Times New Roman" w:eastAsia="Times New Roman" w:hAnsi="Times New Roman"/>
          <w:sz w:val="18"/>
          <w:szCs w:val="18"/>
          <w:color w:val="auto"/>
        </w:rPr>
        <w:t>Goodwill Patent rights, net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Right of use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 and deposits</w:t>
      </w:r>
    </w:p>
    <w:p>
      <w:pPr>
        <w:spacing w:after="0" w:line="18" w:lineRule="exact"/>
        <w:rPr>
          <w:sz w:val="20"/>
          <w:szCs w:val="20"/>
          <w:color w:val="auto"/>
        </w:rPr>
      </w:pPr>
    </w:p>
    <w:p>
      <w:pPr>
        <w:ind w:right="800"/>
        <w:spacing w:after="0" w:line="346" w:lineRule="auto"/>
        <w:rPr>
          <w:sz w:val="20"/>
          <w:szCs w:val="20"/>
          <w:color w:val="auto"/>
        </w:rPr>
      </w:pPr>
      <w:r>
        <w:rPr>
          <w:rFonts w:ascii="Times New Roman" w:cs="Times New Roman" w:eastAsia="Times New Roman" w:hAnsi="Times New Roman"/>
          <w:sz w:val="17"/>
          <w:szCs w:val="17"/>
          <w:color w:val="auto"/>
        </w:rPr>
        <w:t>Total Other Assets TOTAL ASSETS</w:t>
      </w:r>
    </w:p>
    <w:p>
      <w:pPr>
        <w:spacing w:after="0" w:line="20" w:lineRule="exact"/>
        <w:rPr>
          <w:sz w:val="20"/>
          <w:szCs w:val="20"/>
          <w:color w:val="auto"/>
        </w:rPr>
      </w:pPr>
      <w:r>
        <w:rPr>
          <w:sz w:val="20"/>
          <w:szCs w:val="20"/>
          <w:color w:val="auto"/>
        </w:rPr>
        <w:br w:type="column"/>
      </w: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June 30,</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4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34"/>
        </w:trPr>
        <w:tc>
          <w:tcPr>
            <w:tcW w:w="4900" w:type="dxa"/>
            <w:vAlign w:val="bottom"/>
            <w:gridSpan w:val="2"/>
            <w:vMerge w:val="restart"/>
          </w:tcPr>
          <w:p>
            <w:pPr>
              <w:jc w:val="right"/>
              <w:ind w:right="4240"/>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4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30,536,420</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8,914,034</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7,424,499</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6,457,841</w:t>
            </w:r>
          </w:p>
        </w:tc>
        <w:tc>
          <w:tcPr>
            <w:tcW w:w="0" w:type="dxa"/>
            <w:vAlign w:val="bottom"/>
          </w:tcPr>
          <w:p>
            <w:pPr>
              <w:spacing w:after="0"/>
              <w:rPr>
                <w:sz w:val="1"/>
                <w:szCs w:val="1"/>
                <w:color w:val="auto"/>
              </w:rPr>
            </w:pPr>
          </w:p>
        </w:tc>
      </w:tr>
      <w:tr>
        <w:trPr>
          <w:trHeight w:val="241"/>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627,573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360,146</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38,588,492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15,732,021</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162,298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149,330</w:t>
            </w:r>
          </w:p>
        </w:tc>
        <w:tc>
          <w:tcPr>
            <w:tcW w:w="0" w:type="dxa"/>
            <w:vAlign w:val="bottom"/>
          </w:tcPr>
          <w:p>
            <w:pPr>
              <w:spacing w:after="0"/>
              <w:rPr>
                <w:sz w:val="1"/>
                <w:szCs w:val="1"/>
                <w:color w:val="auto"/>
              </w:rPr>
            </w:pPr>
          </w:p>
        </w:tc>
      </w:tr>
      <w:tr>
        <w:trPr>
          <w:trHeight w:val="414"/>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3,678,513</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3,678,513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2,658,765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2,766,944</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3,761,792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2,492,123</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616,988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170,256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235,647</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10,886,314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9,173,227</w:t>
            </w:r>
          </w:p>
        </w:tc>
        <w:tc>
          <w:tcPr>
            <w:tcW w:w="0" w:type="dxa"/>
            <w:vAlign w:val="bottom"/>
          </w:tcPr>
          <w:p>
            <w:pPr>
              <w:spacing w:after="0"/>
              <w:rPr>
                <w:sz w:val="1"/>
                <w:szCs w:val="1"/>
                <w:color w:val="auto"/>
              </w:rPr>
            </w:pPr>
          </w:p>
        </w:tc>
      </w:tr>
      <w:tr>
        <w:trPr>
          <w:trHeight w:val="250"/>
        </w:trPr>
        <w:tc>
          <w:tcPr>
            <w:tcW w:w="4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49,637,104</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25,054,578</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2" w:lineRule="exact"/>
        <w:rPr>
          <w:sz w:val="20"/>
          <w:szCs w:val="20"/>
          <w:color w:val="auto"/>
        </w:rPr>
      </w:pPr>
    </w:p>
    <w:p>
      <w:pPr>
        <w:sectPr>
          <w:pgSz w:w="11900" w:h="16838" w:orient="portrait"/>
          <w:cols w:equalWidth="0" w:num="2">
            <w:col w:w="2140" w:space="260"/>
            <w:col w:w="8980"/>
          </w:cols>
          <w:pgMar w:left="240" w:top="900" w:right="279" w:bottom="1440" w:gutter="0" w:footer="0" w:header="0"/>
        </w:sectPr>
      </w:pPr>
    </w:p>
    <w:tbl>
      <w:tblPr>
        <w:tblLayout w:type="fixed"/>
        <w:tblInd w:w="0" w:type="dxa"/>
        <w:tblCellMar>
          <w:top w:w="0" w:type="dxa"/>
          <w:left w:w="0" w:type="dxa"/>
          <w:bottom w:w="0" w:type="dxa"/>
          <w:right w:w="0" w:type="dxa"/>
        </w:tblCellMar>
      </w:tblPr>
      <w:tr>
        <w:trPr>
          <w:trHeight w:val="207"/>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911,795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411,010</w:t>
            </w:r>
          </w:p>
        </w:tc>
        <w:tc>
          <w:tcPr>
            <w:tcW w:w="60" w:type="dxa"/>
            <w:vAlign w:val="bottom"/>
          </w:tcPr>
          <w:p>
            <w:pPr>
              <w:spacing w:after="0"/>
              <w:rPr>
                <w:sz w:val="18"/>
                <w:szCs w:val="18"/>
                <w:color w:val="auto"/>
              </w:rPr>
            </w:pPr>
          </w:p>
        </w:tc>
      </w:tr>
      <w:tr>
        <w:trPr>
          <w:trHeight w:val="216"/>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840,843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1,300,882</w:t>
            </w:r>
          </w:p>
        </w:tc>
        <w:tc>
          <w:tcPr>
            <w:tcW w:w="60" w:type="dxa"/>
            <w:vAlign w:val="bottom"/>
          </w:tcPr>
          <w:p>
            <w:pPr>
              <w:spacing w:after="0"/>
              <w:rPr>
                <w:sz w:val="18"/>
                <w:szCs w:val="18"/>
                <w:color w:val="auto"/>
              </w:rPr>
            </w:pPr>
          </w:p>
        </w:tc>
      </w:tr>
      <w:tr>
        <w:trPr>
          <w:trHeight w:val="216"/>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1,964,440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1,908,616</w:t>
            </w:r>
          </w:p>
        </w:tc>
        <w:tc>
          <w:tcPr>
            <w:tcW w:w="60" w:type="dxa"/>
            <w:vAlign w:val="bottom"/>
          </w:tcPr>
          <w:p>
            <w:pPr>
              <w:spacing w:after="0"/>
              <w:rPr>
                <w:sz w:val="18"/>
                <w:szCs w:val="18"/>
                <w:color w:val="auto"/>
              </w:rPr>
            </w:pPr>
          </w:p>
        </w:tc>
      </w:tr>
      <w:tr>
        <w:trPr>
          <w:trHeight w:val="216"/>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111,968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contingent purchase price payable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1,074,000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5"/>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769,391</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610,625</w:t>
            </w:r>
          </w:p>
        </w:tc>
        <w:tc>
          <w:tcPr>
            <w:tcW w:w="60" w:type="dxa"/>
            <w:vAlign w:val="bottom"/>
          </w:tcPr>
          <w:p>
            <w:pPr>
              <w:spacing w:after="0"/>
              <w:rPr>
                <w:sz w:val="22"/>
                <w:szCs w:val="22"/>
                <w:color w:val="auto"/>
              </w:rPr>
            </w:pPr>
          </w:p>
        </w:tc>
      </w:tr>
      <w:tr>
        <w:trPr>
          <w:trHeight w:val="223"/>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5,672,437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4,231,133</w:t>
            </w:r>
          </w:p>
        </w:tc>
        <w:tc>
          <w:tcPr>
            <w:tcW w:w="60" w:type="dxa"/>
            <w:vAlign w:val="bottom"/>
          </w:tcPr>
          <w:p>
            <w:pPr>
              <w:spacing w:after="0"/>
              <w:rPr>
                <w:sz w:val="19"/>
                <w:szCs w:val="19"/>
                <w:color w:val="auto"/>
              </w:rPr>
            </w:pPr>
          </w:p>
        </w:tc>
      </w:tr>
      <w:tr>
        <w:trPr>
          <w:trHeight w:val="198"/>
        </w:trPr>
        <w:tc>
          <w:tcPr>
            <w:tcW w:w="8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obligations, net of current portion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508,904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5"/>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purchase price payable, net of current portion</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1,546,000</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2,365,000</w:t>
            </w:r>
          </w:p>
        </w:tc>
        <w:tc>
          <w:tcPr>
            <w:tcW w:w="60" w:type="dxa"/>
            <w:vAlign w:val="bottom"/>
          </w:tcPr>
          <w:p>
            <w:pPr>
              <w:spacing w:after="0"/>
              <w:rPr>
                <w:sz w:val="22"/>
                <w:szCs w:val="22"/>
                <w:color w:val="auto"/>
              </w:rPr>
            </w:pPr>
          </w:p>
        </w:tc>
      </w:tr>
      <w:tr>
        <w:trPr>
          <w:trHeight w:val="223"/>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2,054,904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2,365,000</w:t>
            </w:r>
          </w:p>
        </w:tc>
        <w:tc>
          <w:tcPr>
            <w:tcW w:w="60" w:type="dxa"/>
            <w:vAlign w:val="bottom"/>
          </w:tcPr>
          <w:p>
            <w:pPr>
              <w:spacing w:after="0"/>
              <w:rPr>
                <w:sz w:val="19"/>
                <w:szCs w:val="19"/>
                <w:color w:val="auto"/>
              </w:rPr>
            </w:pPr>
          </w:p>
        </w:tc>
      </w:tr>
      <w:tr>
        <w:trPr>
          <w:trHeight w:val="198"/>
        </w:trPr>
        <w:tc>
          <w:tcPr>
            <w:tcW w:w="8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7,727,341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6,596,133</w:t>
            </w:r>
          </w:p>
        </w:tc>
        <w:tc>
          <w:tcPr>
            <w:tcW w:w="60" w:type="dxa"/>
            <w:vAlign w:val="bottom"/>
          </w:tcPr>
          <w:p>
            <w:pPr>
              <w:spacing w:after="0"/>
              <w:rPr>
                <w:sz w:val="17"/>
                <w:szCs w:val="17"/>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issued and outstanding at June 30, 2019 or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14,116,739 and 12,038,618 shares issued and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June 30, 2019 and December 31, 2018, respectively</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14,117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w:t>
            </w:r>
          </w:p>
        </w:tc>
        <w:tc>
          <w:tcPr>
            <w:tcW w:w="60" w:type="dxa"/>
            <w:vAlign w:val="bottom"/>
          </w:tcPr>
          <w:p>
            <w:pPr>
              <w:spacing w:after="0"/>
              <w:rPr>
                <w:sz w:val="18"/>
                <w:szCs w:val="18"/>
                <w:color w:val="auto"/>
              </w:rPr>
            </w:pPr>
          </w:p>
        </w:tc>
      </w:tr>
      <w:tr>
        <w:trPr>
          <w:trHeight w:val="216"/>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71,764,534</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48,725,211</w:t>
            </w:r>
          </w:p>
        </w:tc>
      </w:tr>
      <w:tr>
        <w:trPr>
          <w:trHeight w:val="255"/>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(29,868,888)</w:t>
            </w:r>
          </w:p>
        </w:tc>
        <w:tc>
          <w:tcPr>
            <w:tcW w:w="1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(30,278,805)</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41,909,763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18,458,445</w:t>
            </w:r>
          </w:p>
        </w:tc>
        <w:tc>
          <w:tcPr>
            <w:tcW w:w="60" w:type="dxa"/>
            <w:vAlign w:val="bottom"/>
          </w:tcPr>
          <w:p>
            <w:pPr>
              <w:spacing w:after="0"/>
              <w:rPr>
                <w:sz w:val="19"/>
                <w:szCs w:val="19"/>
                <w:color w:val="auto"/>
              </w:rPr>
            </w:pPr>
          </w:p>
        </w:tc>
      </w:tr>
      <w:tr>
        <w:trPr>
          <w:trHeight w:val="25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49,637,104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25,054,578</w:t>
            </w:r>
          </w:p>
        </w:tc>
        <w:tc>
          <w:tcPr>
            <w:tcW w:w="60" w:type="dxa"/>
            <w:vAlign w:val="bottom"/>
          </w:tcPr>
          <w:p>
            <w:pPr>
              <w:spacing w:after="0"/>
              <w:rPr>
                <w:sz w:val="21"/>
                <w:szCs w:val="21"/>
                <w:color w:val="auto"/>
              </w:rPr>
            </w:pPr>
          </w:p>
        </w:tc>
      </w:tr>
      <w:tr>
        <w:trPr>
          <w:trHeight w:val="21"/>
        </w:trPr>
        <w:tc>
          <w:tcPr>
            <w:tcW w:w="8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type w:val="continuous"/>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00" w:type="dxa"/>
            <w:vAlign w:val="bottom"/>
          </w:tcPr>
          <w:p>
            <w:pPr>
              <w:spacing w:after="0"/>
              <w:rPr>
                <w:sz w:val="19"/>
                <w:szCs w:val="19"/>
                <w:color w:val="auto"/>
              </w:rPr>
            </w:pPr>
          </w:p>
        </w:tc>
        <w:tc>
          <w:tcPr>
            <w:tcW w:w="23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For the Six Months Ended</w:t>
            </w:r>
          </w:p>
        </w:tc>
        <w:tc>
          <w:tcPr>
            <w:tcW w:w="0" w:type="dxa"/>
            <w:vAlign w:val="bottom"/>
          </w:tcPr>
          <w:p>
            <w:pPr>
              <w:spacing w:after="0"/>
              <w:rPr>
                <w:sz w:val="1"/>
                <w:szCs w:val="1"/>
                <w:color w:val="auto"/>
              </w:rPr>
            </w:pPr>
          </w:p>
        </w:tc>
      </w:tr>
      <w:tr>
        <w:trPr>
          <w:trHeight w:val="241"/>
        </w:trPr>
        <w:tc>
          <w:tcPr>
            <w:tcW w:w="5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7,006,291</w:t>
            </w: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5,099,474</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12,215,725</w:t>
            </w:r>
          </w:p>
        </w:tc>
        <w:tc>
          <w:tcPr>
            <w:tcW w:w="220" w:type="dxa"/>
            <w:vAlign w:val="bottom"/>
          </w:tcPr>
          <w:p>
            <w:pPr>
              <w:spacing w:after="0"/>
              <w:rPr>
                <w:sz w:val="24"/>
                <w:szCs w:val="24"/>
                <w:color w:val="auto"/>
              </w:rPr>
            </w:pP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9,211,710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2,687,143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2,236,751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4,270,623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4,244,842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4,319,148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2,862,723</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7,945,102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4,966,868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3,839,105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2,589,126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7,332,894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4,884,467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9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273,597</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82,401</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6,912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(255,000)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51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2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(199,062</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514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jc w:val="right"/>
              <w:spacing w:after="0" w:line="68" w:lineRule="exact"/>
              <w:rPr>
                <w:sz w:val="20"/>
                <w:szCs w:val="20"/>
                <w:color w:val="auto"/>
              </w:rPr>
            </w:pPr>
            <w:r>
              <w:rPr>
                <w:rFonts w:ascii="Times New Roman" w:cs="Times New Roman" w:eastAsia="Times New Roman" w:hAnsi="Times New Roman"/>
                <w:sz w:val="7"/>
                <w:szCs w:val="7"/>
                <w:color w:val="auto"/>
              </w:rPr>
              <w:t>(73,426</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2"/>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406,617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280,509</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413,146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406,617</w:t>
            </w: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280,509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413,146</w:t>
            </w:r>
          </w:p>
        </w:tc>
        <w:tc>
          <w:tcPr>
            <w:tcW w:w="220" w:type="dxa"/>
            <w:vAlign w:val="bottom"/>
          </w:tcPr>
          <w:p>
            <w:pPr>
              <w:spacing w:after="0"/>
              <w:rPr>
                <w:sz w:val="21"/>
                <w:szCs w:val="21"/>
                <w:color w:val="auto"/>
              </w:rPr>
            </w:pP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AVERGE SHARES OUTSTANDING</w:t>
            </w: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1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12,743,379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10,979,086</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12,412,442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10,373,326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13,806,761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11,949,593</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13,467,562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11,517,604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1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22"/>
                <w:szCs w:val="22"/>
                <w:color w:val="auto"/>
              </w:rPr>
            </w:pP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tcBorders>
            <w:gridSpan w:val="2"/>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0" w:right="3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5"/>
        </w:trPr>
        <w:tc>
          <w:tcPr>
            <w:tcW w:w="4700" w:type="dxa"/>
            <w:vAlign w:val="bottom"/>
          </w:tcPr>
          <w:p>
            <w:pPr>
              <w:spacing w:after="0"/>
              <w:rPr>
                <w:sz w:val="22"/>
                <w:szCs w:val="22"/>
                <w:color w:val="auto"/>
              </w:rPr>
            </w:pPr>
          </w:p>
        </w:tc>
        <w:tc>
          <w:tcPr>
            <w:tcW w:w="26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Paid in</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7"/>
        </w:trPr>
        <w:tc>
          <w:tcPr>
            <w:tcW w:w="4700" w:type="dxa"/>
            <w:vAlign w:val="bottom"/>
          </w:tcPr>
          <w:p>
            <w:pPr>
              <w:spacing w:after="0"/>
              <w:rPr>
                <w:sz w:val="20"/>
                <w:szCs w:val="20"/>
                <w:color w:val="auto"/>
              </w:rPr>
            </w:pPr>
          </w:p>
        </w:tc>
        <w:tc>
          <w:tcPr>
            <w:tcW w:w="11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Capital</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0"/>
                <w:szCs w:val="20"/>
                <w:color w:val="auto"/>
              </w:rPr>
            </w:pPr>
          </w:p>
        </w:tc>
      </w:tr>
      <w:tr>
        <w:trPr>
          <w:trHeight w:val="41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12,038,618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48,725,211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(30,278,805)</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18,458,445</w:t>
            </w:r>
          </w:p>
        </w:tc>
        <w:tc>
          <w:tcPr>
            <w:tcW w:w="60" w:type="dxa"/>
            <w:vAlign w:val="bottom"/>
          </w:tcPr>
          <w:p>
            <w:pPr>
              <w:spacing w:after="0"/>
              <w:rPr>
                <w:sz w:val="24"/>
                <w:szCs w:val="24"/>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change in accounting principle related to</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accounting</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(3,229)</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(3,229)</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restricted stock awards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stock options exercised</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101,878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343,683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343,785</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as compensation</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106,026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106,034</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530,312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530,312</w:t>
            </w:r>
          </w:p>
        </w:tc>
        <w:tc>
          <w:tcPr>
            <w:tcW w:w="60" w:type="dxa"/>
            <w:vAlign w:val="bottom"/>
          </w:tcPr>
          <w:p>
            <w:pPr>
              <w:spacing w:after="0"/>
              <w:rPr>
                <w:sz w:val="18"/>
                <w:szCs w:val="18"/>
                <w:color w:val="auto"/>
              </w:rPr>
            </w:pPr>
          </w:p>
        </w:tc>
      </w:tr>
      <w:tr>
        <w:trPr>
          <w:trHeight w:val="24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6,529</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12,278,833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49,705,102</w:t>
            </w:r>
          </w:p>
        </w:tc>
        <w:tc>
          <w:tcPr>
            <w:tcW w:w="18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(30,275,505)</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19,441,876</w:t>
            </w:r>
          </w:p>
        </w:tc>
        <w:tc>
          <w:tcPr>
            <w:tcW w:w="60" w:type="dxa"/>
            <w:vAlign w:val="bottom"/>
          </w:tcPr>
          <w:p>
            <w:pPr>
              <w:spacing w:after="0"/>
              <w:rPr>
                <w:sz w:val="24"/>
                <w:szCs w:val="24"/>
                <w:color w:val="auto"/>
              </w:rPr>
            </w:pPr>
          </w:p>
        </w:tc>
      </w:tr>
      <w:tr>
        <w:trPr>
          <w:trHeight w:val="41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of common shares for cash, net of offering</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1,769,275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21,302,057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21,303,826</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stock options exercised</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214,253</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214,314</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as compensation</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135,035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135,043</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408,087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408,087</w:t>
            </w:r>
          </w:p>
        </w:tc>
        <w:tc>
          <w:tcPr>
            <w:tcW w:w="60" w:type="dxa"/>
            <w:vAlign w:val="bottom"/>
          </w:tcPr>
          <w:p>
            <w:pPr>
              <w:spacing w:after="0"/>
              <w:rPr>
                <w:sz w:val="18"/>
                <w:szCs w:val="18"/>
                <w:color w:val="auto"/>
              </w:rPr>
            </w:pPr>
          </w:p>
        </w:tc>
      </w:tr>
      <w:tr>
        <w:trPr>
          <w:trHeight w:val="24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406,617</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406,617</w:t>
            </w:r>
          </w:p>
        </w:tc>
        <w:tc>
          <w:tcPr>
            <w:tcW w:w="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2019</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14,116,739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71,764,534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(29,868,888</w:t>
            </w:r>
            <w:r>
              <w:rPr>
                <w:rFonts w:ascii="Times New Roman" w:cs="Times New Roman" w:eastAsia="Times New Roman" w:hAnsi="Times New Roman"/>
                <w:sz w:val="36"/>
                <w:szCs w:val="36"/>
                <w:color w:val="auto"/>
                <w:vertAlign w:val="superscript"/>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41,909,763</w:t>
            </w:r>
          </w:p>
        </w:tc>
        <w:tc>
          <w:tcPr>
            <w:tcW w:w="60" w:type="dxa"/>
            <w:vAlign w:val="bottom"/>
          </w:tcPr>
          <w:p>
            <w:pPr>
              <w:spacing w:after="0"/>
              <w:rPr>
                <w:sz w:val="24"/>
                <w:szCs w:val="24"/>
                <w:color w:val="auto"/>
              </w:rPr>
            </w:pPr>
          </w:p>
        </w:tc>
      </w:tr>
      <w:tr>
        <w:trPr>
          <w:trHeight w:val="21"/>
        </w:trPr>
        <w:tc>
          <w:tcPr>
            <w:tcW w:w="4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5"/>
        </w:trPr>
        <w:tc>
          <w:tcPr>
            <w:tcW w:w="4700" w:type="dxa"/>
            <w:vAlign w:val="bottom"/>
          </w:tcPr>
          <w:p>
            <w:pPr>
              <w:spacing w:after="0"/>
              <w:rPr>
                <w:sz w:val="22"/>
                <w:szCs w:val="22"/>
                <w:color w:val="auto"/>
              </w:rPr>
            </w:pPr>
          </w:p>
        </w:tc>
        <w:tc>
          <w:tcPr>
            <w:tcW w:w="26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Paid in</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7"/>
        </w:trPr>
        <w:tc>
          <w:tcPr>
            <w:tcW w:w="4700" w:type="dxa"/>
            <w:vAlign w:val="bottom"/>
          </w:tcPr>
          <w:p>
            <w:pPr>
              <w:spacing w:after="0"/>
              <w:rPr>
                <w:sz w:val="20"/>
                <w:szCs w:val="20"/>
                <w:color w:val="auto"/>
              </w:rPr>
            </w:pPr>
          </w:p>
        </w:tc>
        <w:tc>
          <w:tcPr>
            <w:tcW w:w="11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Capital</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0"/>
                <w:szCs w:val="20"/>
                <w:color w:val="auto"/>
              </w:rPr>
            </w:pPr>
          </w:p>
        </w:tc>
      </w:tr>
      <w:tr>
        <w:trPr>
          <w:trHeight w:val="41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9,772,694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36,573,888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(30,363,122)</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6,220,539</w:t>
            </w:r>
          </w:p>
        </w:tc>
        <w:tc>
          <w:tcPr>
            <w:tcW w:w="60" w:type="dxa"/>
            <w:vAlign w:val="bottom"/>
          </w:tcPr>
          <w:p>
            <w:pPr>
              <w:spacing w:after="0"/>
              <w:rPr>
                <w:sz w:val="24"/>
                <w:szCs w:val="24"/>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change in accounting principle related to</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recognition</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(142,027)</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(142,027)</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revenue share</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446,900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447,000</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as compensation</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28,869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468,247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468,247</w:t>
            </w:r>
          </w:p>
        </w:tc>
        <w:tc>
          <w:tcPr>
            <w:tcW w:w="60" w:type="dxa"/>
            <w:vAlign w:val="bottom"/>
          </w:tcPr>
          <w:p>
            <w:pPr>
              <w:spacing w:after="0"/>
              <w:rPr>
                <w:sz w:val="18"/>
                <w:szCs w:val="18"/>
                <w:color w:val="auto"/>
              </w:rPr>
            </w:pPr>
          </w:p>
        </w:tc>
      </w:tr>
      <w:tr>
        <w:trPr>
          <w:trHeight w:val="24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(189,179)</w:t>
            </w:r>
          </w:p>
        </w:tc>
        <w:tc>
          <w:tcPr>
            <w:tcW w:w="2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(189,179)</w:t>
            </w:r>
          </w:p>
        </w:tc>
      </w:tr>
      <w:tr>
        <w:trPr>
          <w:trHeight w:val="27"/>
        </w:trPr>
        <w:tc>
          <w:tcPr>
            <w:tcW w:w="4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9,878,943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37,517,904</w:t>
            </w:r>
          </w:p>
        </w:tc>
        <w:tc>
          <w:tcPr>
            <w:tcW w:w="18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(30,694,328)</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6,833,455</w:t>
            </w:r>
          </w:p>
        </w:tc>
        <w:tc>
          <w:tcPr>
            <w:tcW w:w="60" w:type="dxa"/>
            <w:vAlign w:val="bottom"/>
          </w:tcPr>
          <w:p>
            <w:pPr>
              <w:spacing w:after="0"/>
              <w:rPr>
                <w:sz w:val="24"/>
                <w:szCs w:val="24"/>
                <w:color w:val="auto"/>
              </w:rPr>
            </w:pPr>
          </w:p>
        </w:tc>
      </w:tr>
      <w:tr>
        <w:trPr>
          <w:trHeight w:val="41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of common shares for cash, net of offering</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1,666,669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8,162,807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8,164,474</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in connection with reverse split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stock options exercised</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as compensation</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89,937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89,945</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426,755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426,755</w:t>
            </w:r>
          </w:p>
        </w:tc>
        <w:tc>
          <w:tcPr>
            <w:tcW w:w="60" w:type="dxa"/>
            <w:vAlign w:val="bottom"/>
          </w:tcPr>
          <w:p>
            <w:pPr>
              <w:spacing w:after="0"/>
              <w:rPr>
                <w:sz w:val="18"/>
                <w:szCs w:val="18"/>
                <w:color w:val="auto"/>
              </w:rPr>
            </w:pPr>
          </w:p>
        </w:tc>
      </w:tr>
      <w:tr>
        <w:trPr>
          <w:trHeight w:val="24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280,509</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280,509</w:t>
            </w:r>
          </w:p>
        </w:tc>
        <w:tc>
          <w:tcPr>
            <w:tcW w:w="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2018</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11,556,858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46,202,320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(30,413,819</w:t>
            </w:r>
            <w:r>
              <w:rPr>
                <w:rFonts w:ascii="Times New Roman" w:cs="Times New Roman" w:eastAsia="Times New Roman" w:hAnsi="Times New Roman"/>
                <w:sz w:val="36"/>
                <w:szCs w:val="36"/>
                <w:color w:val="auto"/>
                <w:vertAlign w:val="superscript"/>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15,800,058</w:t>
            </w:r>
          </w:p>
        </w:tc>
        <w:tc>
          <w:tcPr>
            <w:tcW w:w="60" w:type="dxa"/>
            <w:vAlign w:val="bottom"/>
          </w:tcPr>
          <w:p>
            <w:pPr>
              <w:spacing w:after="0"/>
              <w:rPr>
                <w:sz w:val="24"/>
                <w:szCs w:val="24"/>
                <w:color w:val="auto"/>
              </w:rPr>
            </w:pPr>
          </w:p>
        </w:tc>
      </w:tr>
      <w:tr>
        <w:trPr>
          <w:trHeight w:val="21"/>
        </w:trPr>
        <w:tc>
          <w:tcPr>
            <w:tcW w:w="4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rPr>
              <w:t>For the</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rPr>
              <w:t>Six Months</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9"/>
              </w:rPr>
              <w:t>Ended</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7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tcPr>
          <w:p>
            <w:pPr>
              <w:spacing w:after="0"/>
              <w:rPr>
                <w:sz w:val="20"/>
                <w:szCs w:val="20"/>
                <w:color w:val="auto"/>
              </w:rPr>
            </w:pPr>
          </w:p>
        </w:tc>
      </w:tr>
      <w:tr>
        <w:trPr>
          <w:trHeight w:val="198"/>
        </w:trPr>
        <w:tc>
          <w:tcPr>
            <w:tcW w:w="77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413,146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91,330</w:t>
            </w:r>
          </w:p>
        </w:tc>
        <w:tc>
          <w:tcPr>
            <w:tcW w:w="60" w:type="dxa"/>
            <w:vAlign w:val="bottom"/>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425,873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108,946</w:t>
            </w:r>
          </w:p>
        </w:tc>
        <w:tc>
          <w:tcPr>
            <w:tcW w:w="60" w:type="dxa"/>
            <w:vAlign w:val="bottom"/>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938,399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895,002</w:t>
            </w:r>
          </w:p>
        </w:tc>
        <w:tc>
          <w:tcPr>
            <w:tcW w:w="60" w:type="dxa"/>
            <w:vAlign w:val="bottom"/>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issued for services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241,077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118,820</w:t>
            </w:r>
          </w:p>
        </w:tc>
        <w:tc>
          <w:tcPr>
            <w:tcW w:w="60" w:type="dxa"/>
            <w:vAlign w:val="bottom"/>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Changes in:</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(966,658)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(2,079,823)</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(202,036)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40,320</w:t>
            </w:r>
          </w:p>
        </w:tc>
        <w:tc>
          <w:tcPr>
            <w:tcW w:w="60" w:type="dxa"/>
            <w:vAlign w:val="bottom"/>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(280,349)</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55,824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(183,664)</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(511,976)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(125,407)</w:t>
            </w:r>
          </w:p>
        </w:tc>
      </w:tr>
      <w:tr>
        <w:trPr>
          <w:trHeight w:val="255"/>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158,766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195,966</w:t>
            </w:r>
          </w:p>
        </w:tc>
        <w:tc>
          <w:tcPr>
            <w:tcW w:w="60" w:type="dxa"/>
            <w:vAlign w:val="bottom"/>
          </w:tcPr>
          <w:p>
            <w:pPr>
              <w:spacing w:after="0"/>
              <w:rPr>
                <w:sz w:val="22"/>
                <w:szCs w:val="22"/>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(1,218,859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4" w:lineRule="exact"/>
        <w:rPr>
          <w:sz w:val="20"/>
          <w:szCs w:val="20"/>
          <w:color w:val="auto"/>
        </w:rPr>
      </w:pPr>
    </w:p>
    <w:p>
      <w:pPr>
        <w:sectPr>
          <w:pgSz w:w="11900" w:h="16838" w:orient="portrait"/>
          <w:cols w:equalWidth="0" w:num="1">
            <w:col w:w="11380"/>
          </w:cols>
          <w:pgMar w:left="240" w:top="900" w:right="27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31" w:lineRule="exact"/>
        <w:rPr>
          <w:sz w:val="20"/>
          <w:szCs w:val="20"/>
          <w:color w:val="auto"/>
        </w:rPr>
      </w:pPr>
    </w:p>
    <w:p>
      <w:pPr>
        <w:ind w:left="180" w:right="3100"/>
        <w:spacing w:after="0" w:line="255" w:lineRule="auto"/>
        <w:rPr>
          <w:sz w:val="20"/>
          <w:szCs w:val="20"/>
          <w:color w:val="auto"/>
        </w:rPr>
      </w:pPr>
      <w:r>
        <w:rPr>
          <w:rFonts w:ascii="Times New Roman" w:cs="Times New Roman" w:eastAsia="Times New Roman" w:hAnsi="Times New Roman"/>
          <w:sz w:val="18"/>
          <w:szCs w:val="18"/>
          <w:color w:val="auto"/>
        </w:rPr>
        <w:t>Proceeds from issuance of common stock, net of commission costs Expenses related to issuance cost of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50" w:lineRule="exact"/>
        <w:rPr>
          <w:sz w:val="20"/>
          <w:szCs w:val="20"/>
          <w:color w:val="auto"/>
        </w:rPr>
      </w:pPr>
    </w:p>
    <w:p>
      <w:pPr>
        <w:ind w:right="3260"/>
        <w:spacing w:after="0" w:line="282" w:lineRule="auto"/>
        <w:rPr>
          <w:sz w:val="20"/>
          <w:szCs w:val="20"/>
          <w:color w:val="auto"/>
        </w:rPr>
      </w:pPr>
      <w:r>
        <w:rPr>
          <w:rFonts w:ascii="Times New Roman" w:cs="Times New Roman" w:eastAsia="Times New Roman" w:hAnsi="Times New Roman"/>
          <w:sz w:val="18"/>
          <w:szCs w:val="18"/>
          <w:color w:val="auto"/>
        </w:rPr>
        <w:t>NET INCREASE IN CASH AND CASH EQUIVALENTS CASH AND CASH EQUIVALENTS - BEGINNING OF PERIOD CASH AND CASH EQUIVALENTS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left="580"/>
        <w:spacing w:after="0"/>
        <w:tabs>
          <w:tab w:leader="none" w:pos="1920" w:val="left"/>
        </w:tabs>
        <w:rPr>
          <w:sz w:val="20"/>
          <w:szCs w:val="20"/>
          <w:color w:val="auto"/>
        </w:rPr>
      </w:pPr>
      <w:r>
        <w:rPr>
          <w:rFonts w:ascii="Times New Roman" w:cs="Times New Roman" w:eastAsia="Times New Roman" w:hAnsi="Times New Roman"/>
          <w:sz w:val="18"/>
          <w:szCs w:val="18"/>
          <w:color w:val="auto"/>
        </w:rPr>
        <w:t>(47,739)</w:t>
      </w:r>
      <w:r>
        <w:rPr>
          <w:sz w:val="20"/>
          <w:szCs w:val="20"/>
          <w:color w:val="auto"/>
        </w:rPr>
        <w:tab/>
      </w:r>
      <w:r>
        <w:rPr>
          <w:rFonts w:ascii="Times New Roman" w:cs="Times New Roman" w:eastAsia="Times New Roman" w:hAnsi="Times New Roman"/>
          <w:sz w:val="18"/>
          <w:szCs w:val="18"/>
          <w:color w:val="auto"/>
        </w:rPr>
        <w:t>(12,593)</w:t>
      </w:r>
    </w:p>
    <w:p>
      <w:pPr>
        <w:spacing w:after="0" w:line="27" w:lineRule="exact"/>
        <w:rPr>
          <w:sz w:val="20"/>
          <w:szCs w:val="20"/>
          <w:color w:val="auto"/>
        </w:rPr>
      </w:pPr>
    </w:p>
    <w:p>
      <w:pPr>
        <w:jc w:val="right"/>
        <w:spacing w:after="0"/>
        <w:tabs>
          <w:tab w:leader="none" w:pos="600" w:val="left"/>
        </w:tabs>
        <w:rPr>
          <w:sz w:val="20"/>
          <w:szCs w:val="20"/>
          <w:color w:val="auto"/>
        </w:rPr>
      </w:pPr>
      <w:r>
        <w:rPr>
          <w:rFonts w:ascii="Times New Roman" w:cs="Times New Roman" w:eastAsia="Times New Roman" w:hAnsi="Times New Roman"/>
          <w:sz w:val="18"/>
          <w:szCs w:val="18"/>
          <w:color w:val="auto"/>
        </w:rPr>
        <w:t>(1,000,000)</w:t>
      </w:r>
      <w:r>
        <w:rPr>
          <w:sz w:val="20"/>
          <w:szCs w:val="20"/>
          <w:color w:val="auto"/>
        </w:rPr>
        <w:tab/>
      </w:r>
      <w:r>
        <w:rPr>
          <w:rFonts w:ascii="Times New Roman" w:cs="Times New Roman" w:eastAsia="Times New Roman" w:hAnsi="Times New Roman"/>
          <w:sz w:val="18"/>
          <w:szCs w:val="18"/>
          <w:color w:val="auto"/>
        </w:rPr>
        <w:t>(56,651)</w:t>
      </w:r>
    </w:p>
    <w:p>
      <w:pPr>
        <w:spacing w:after="0" w:line="23" w:lineRule="exact"/>
        <w:rPr>
          <w:sz w:val="20"/>
          <w:szCs w:val="20"/>
          <w:color w:val="auto"/>
        </w:rPr>
      </w:pPr>
    </w:p>
    <w:p>
      <w:pPr>
        <w:jc w:val="right"/>
        <w:spacing w:after="0"/>
        <w:tabs>
          <w:tab w:leader="none" w:pos="600" w:val="left"/>
        </w:tabs>
        <w:rPr>
          <w:sz w:val="20"/>
          <w:szCs w:val="20"/>
          <w:color w:val="auto"/>
        </w:rPr>
      </w:pPr>
      <w:r>
        <w:rPr>
          <w:rFonts w:ascii="Times New Roman" w:cs="Times New Roman" w:eastAsia="Times New Roman" w:hAnsi="Times New Roman"/>
          <w:sz w:val="18"/>
          <w:szCs w:val="18"/>
          <w:color w:val="auto"/>
        </w:rPr>
        <w:t>(1,047,739)</w:t>
      </w:r>
      <w:r>
        <w:rPr>
          <w:sz w:val="20"/>
          <w:szCs w:val="20"/>
          <w:color w:val="auto"/>
        </w:rPr>
        <w:tab/>
      </w:r>
      <w:r>
        <w:rPr>
          <w:rFonts w:ascii="Times New Roman" w:cs="Times New Roman" w:eastAsia="Times New Roman" w:hAnsi="Times New Roman"/>
          <w:sz w:val="18"/>
          <w:szCs w:val="18"/>
          <w:color w:val="auto"/>
        </w:rPr>
        <w:t>(69,244)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15862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15862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40"/>
        <w:spacing w:after="0"/>
        <w:tabs>
          <w:tab w:leader="none" w:pos="1760" w:val="left"/>
        </w:tabs>
        <w:rPr>
          <w:sz w:val="20"/>
          <w:szCs w:val="20"/>
          <w:color w:val="auto"/>
        </w:rPr>
      </w:pPr>
      <w:r>
        <w:rPr>
          <w:rFonts w:ascii="Times New Roman" w:cs="Times New Roman" w:eastAsia="Times New Roman" w:hAnsi="Times New Roman"/>
          <w:sz w:val="18"/>
          <w:szCs w:val="18"/>
          <w:color w:val="auto"/>
        </w:rPr>
        <w:t>22,163,636</w:t>
      </w:r>
      <w:r>
        <w:rPr>
          <w:sz w:val="20"/>
          <w:szCs w:val="20"/>
          <w:color w:val="auto"/>
        </w:rPr>
        <w:tab/>
      </w:r>
      <w:r>
        <w:rPr>
          <w:rFonts w:ascii="Times New Roman" w:cs="Times New Roman" w:eastAsia="Times New Roman" w:hAnsi="Times New Roman"/>
          <w:sz w:val="18"/>
          <w:szCs w:val="18"/>
          <w:color w:val="auto"/>
        </w:rPr>
        <w:t>9,004,920</w:t>
      </w:r>
    </w:p>
    <w:p>
      <w:pPr>
        <w:spacing w:after="0" w:line="27"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(301,711)</w:t>
      </w:r>
      <w:r>
        <w:rPr>
          <w:sz w:val="20"/>
          <w:szCs w:val="20"/>
          <w:color w:val="auto"/>
        </w:rPr>
        <w:tab/>
      </w:r>
      <w:r>
        <w:rPr>
          <w:rFonts w:ascii="Times New Roman" w:cs="Times New Roman" w:eastAsia="Times New Roman" w:hAnsi="Times New Roman"/>
          <w:sz w:val="18"/>
          <w:szCs w:val="18"/>
          <w:color w:val="auto"/>
        </w:rPr>
        <w:t>(835,526)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1760" w:val="left"/>
        </w:tabs>
        <w:rPr>
          <w:sz w:val="20"/>
          <w:szCs w:val="20"/>
          <w:color w:val="auto"/>
        </w:rPr>
      </w:pPr>
      <w:r>
        <w:rPr>
          <w:rFonts w:ascii="Times New Roman" w:cs="Times New Roman" w:eastAsia="Times New Roman" w:hAnsi="Times New Roman"/>
          <w:sz w:val="18"/>
          <w:szCs w:val="18"/>
          <w:color w:val="auto"/>
        </w:rPr>
        <w:t>21,861,925</w:t>
      </w:r>
      <w:r>
        <w:rPr>
          <w:sz w:val="20"/>
          <w:szCs w:val="20"/>
          <w:color w:val="auto"/>
        </w:rPr>
        <w:tab/>
      </w:r>
      <w:r>
        <w:rPr>
          <w:rFonts w:ascii="Times New Roman" w:cs="Times New Roman" w:eastAsia="Times New Roman" w:hAnsi="Times New Roman"/>
          <w:sz w:val="18"/>
          <w:szCs w:val="18"/>
          <w:color w:val="auto"/>
        </w:rPr>
        <w:t>8,169,394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586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760" w:val="left"/>
        </w:tabs>
        <w:rPr>
          <w:sz w:val="20"/>
          <w:szCs w:val="20"/>
          <w:color w:val="auto"/>
        </w:rPr>
      </w:pPr>
      <w:r>
        <w:rPr>
          <w:rFonts w:ascii="Times New Roman" w:cs="Times New Roman" w:eastAsia="Times New Roman" w:hAnsi="Times New Roman"/>
          <w:sz w:val="18"/>
          <w:szCs w:val="18"/>
          <w:color w:val="auto"/>
        </w:rPr>
        <w:t>21,622,386</w:t>
      </w:r>
      <w:r>
        <w:rPr>
          <w:sz w:val="20"/>
          <w:szCs w:val="20"/>
          <w:color w:val="auto"/>
        </w:rPr>
        <w:tab/>
      </w:r>
      <w:r>
        <w:rPr>
          <w:rFonts w:ascii="Times New Roman" w:cs="Times New Roman" w:eastAsia="Times New Roman" w:hAnsi="Times New Roman"/>
          <w:sz w:val="18"/>
          <w:szCs w:val="18"/>
          <w:color w:val="auto"/>
        </w:rPr>
        <w:t>6,881,291</w:t>
      </w:r>
    </w:p>
    <w:p>
      <w:pPr>
        <w:spacing w:after="0" w:line="27" w:lineRule="exact"/>
        <w:rPr>
          <w:sz w:val="20"/>
          <w:szCs w:val="20"/>
          <w:color w:val="auto"/>
        </w:rPr>
      </w:pPr>
    </w:p>
    <w:p>
      <w:pPr>
        <w:ind w:left="420"/>
        <w:spacing w:after="0"/>
        <w:tabs>
          <w:tab w:leader="none" w:pos="1760" w:val="left"/>
        </w:tabs>
        <w:rPr>
          <w:sz w:val="20"/>
          <w:szCs w:val="20"/>
          <w:color w:val="auto"/>
        </w:rPr>
      </w:pPr>
      <w:r>
        <w:rPr>
          <w:rFonts w:ascii="Times New Roman" w:cs="Times New Roman" w:eastAsia="Times New Roman" w:hAnsi="Times New Roman"/>
          <w:sz w:val="18"/>
          <w:szCs w:val="18"/>
          <w:color w:val="auto"/>
        </w:rPr>
        <w:t>8,914,034</w:t>
      </w:r>
      <w:r>
        <w:rPr>
          <w:sz w:val="20"/>
          <w:szCs w:val="20"/>
          <w:color w:val="auto"/>
        </w:rPr>
        <w:tab/>
      </w:r>
      <w:r>
        <w:rPr>
          <w:rFonts w:ascii="Times New Roman" w:cs="Times New Roman" w:eastAsia="Times New Roman" w:hAnsi="Times New Roman"/>
          <w:sz w:val="18"/>
          <w:szCs w:val="18"/>
          <w:color w:val="auto"/>
        </w:rPr>
        <w:t>5,122,573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8" w:lineRule="exact"/>
        <w:rPr>
          <w:sz w:val="20"/>
          <w:szCs w:val="20"/>
          <w:color w:val="auto"/>
        </w:rPr>
      </w:pPr>
    </w:p>
    <w:p>
      <w:pPr>
        <w:spacing w:after="0"/>
        <w:tabs>
          <w:tab w:leader="none" w:pos="320" w:val="left"/>
          <w:tab w:leader="none" w:pos="1340" w:val="left"/>
          <w:tab w:leader="none" w:pos="1660" w:val="left"/>
        </w:tabs>
        <w:rPr>
          <w:sz w:val="20"/>
          <w:szCs w:val="20"/>
          <w:color w:val="auto"/>
        </w:rPr>
      </w:pPr>
      <w:r>
        <w:rPr>
          <w:rFonts w:ascii="Times New Roman" w:cs="Times New Roman" w:eastAsia="Times New Roman" w:hAnsi="Times New Roman"/>
          <w:sz w:val="18"/>
          <w:szCs w:val="18"/>
          <w:u w:val="single" w:color="auto"/>
          <w:color w:val="auto"/>
        </w:rPr>
        <w:t>$</w:t>
        <w:tab/>
        <w:t>30,536,420</w:t>
        <w:tab/>
        <w:t>$</w:t>
        <w:tab/>
        <w:t>12,003,864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15862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100" w:space="720"/>
            <w:col w:w="2560"/>
          </w:cols>
          <w:pgMar w:left="240" w:top="900" w:right="27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28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9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tcBorders>
            <w:gridSpan w:val="2"/>
          </w:tcPr>
          <w:p>
            <w:pPr>
              <w:spacing w:after="0" w:line="20" w:lineRule="exact"/>
              <w:rPr>
                <w:sz w:val="1"/>
                <w:szCs w:val="1"/>
                <w:color w:val="auto"/>
              </w:rPr>
            </w:pPr>
          </w:p>
        </w:tc>
        <w:tc>
          <w:tcPr>
            <w:tcW w:w="840" w:type="dxa"/>
            <w:vAlign w:val="bottom"/>
            <w:tcBorders>
              <w:top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Intangible asset additions included in accounts payable</w:t>
            </w:r>
          </w:p>
        </w:tc>
        <w:tc>
          <w:tcPr>
            <w:tcW w:w="2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Non-cash effect of cumulative adjustments to accumulated deficit</w:t>
            </w:r>
          </w:p>
        </w:tc>
        <w:tc>
          <w:tcPr>
            <w:tcW w:w="2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Lease liabilities arising from right of use assets</w:t>
            </w:r>
          </w:p>
        </w:tc>
        <w:tc>
          <w:tcPr>
            <w:tcW w:w="2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Non-cash issuance of shares to WPP, plc</w:t>
            </w:r>
          </w:p>
        </w:tc>
        <w:tc>
          <w:tcPr>
            <w:tcW w:w="2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NATURE OF BUSINESS AND BASIS OF PRESENTATION</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OptimizeRx Corporation and its wholly owned subsidiaries (collectively, the “Company”, “we”, “our”, or “us”).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services within their workflow at the point of care.</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for the three and six months ended June 30, 2019 and 2018 are unaudited and have been prepared pursuant to the rules and regulations of the U.S. Securities and Exchange Commission (“SEC”). In the opinion of management, all adjustments necessary to present fairly our consolidated financial position as of June 30, 2019, and our results of operations and changes in stockholders’ equity for the three and six months ended June 30, 2019 and 2018 and the statements of cash flows for the six months ended June 30, 2019 and 2018 have been made. Those adjustments consist of normal and recurring adjustments. The condensed consolidated balance sheet as of December 31, 2018 has been derived from the audited consolidated balance sheet as of that date.</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information and note disclosures, including a detailed discussion about the Company’s significant accounting policies, normally included in our annual financial statements prepared in accordance with generally accepted accounting principles (“GAAP”) have been condensed or omitted. These consolidated condensed financial statements should be read in conjunction with a reading of the financial statements and notes thereto included in our Annual Report on Form 10-K for the fiscal year ended December 31, 2018, as filed with the U.S. Securities and Exchange Commission on March 12, 2019.</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2019 are not necessarily indicative of the results to be expected for the full year. Certain reclassifications have been made in the prior period’s condensed consolidated financial statements to conform to the current period’s presentation.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NEW ACCOUNTING STANDARDS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new accounting guidance on leases. The accounting standard, effective January 1, 2019, requires virtually all leases to be recognized on the balance sheet. Effective January 1, 2019, we adopted the standard using the modified retrospective method, under which we elected the package of practical expedients and transition provisions allowing us to bring our existing operating leases onto the consolidated balance sheet without adjusting comparative periods, but recognizing a cumulative-effect adjustment to the opening balance of accumulated deficit on January 1, 2019. Under the guidance, we have also elected not to separate lease and non-lease components in recognition of the lease-related assets and liabilities, as well as the related lease expense.</w:t>
      </w:r>
    </w:p>
    <w:p>
      <w:pPr>
        <w:spacing w:after="0" w:line="18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operating leases with terms greater than 12 months for office space in three multitenant facilities, which are recorded as assets and liabilities. The lease on our headquarters space in Rochester, Michigan expires November 30, 2022, with a three-year renewal option through 2025, with monthly rent payable at rates ranging from $6,384 to $6,688. We have assumed renewal of the lease. We also have a lease on office space in Cranberry, New Jersey, expiring in 2022 with monthly payments ranging from $2,707 to $2,808, as well as a small lease in Zagreb, Croatia expiring in 2022.</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NEW ACCOUNTING STANDARDS (continued)</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Upon adoption of the standard on January 1, 2019, we recorded approximately $462,000 of right of use assets and $465,000 of lease-related liabilities, with the difference recorded in accumulated deficit as the cumulative effect of change in accounting principle at that date.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2019, the Company’s lease cost consisted of the following components, each of which is included in operating expenses within the Company’s consolidated statements of operations:</w:t>
      </w:r>
    </w:p>
    <w:p>
      <w:pPr>
        <w:sectPr>
          <w:pgSz w:w="11900" w:h="16838" w:orient="portrait"/>
          <w:cols w:equalWidth="0" w:num="1">
            <w:col w:w="11320"/>
          </w:cols>
          <w:pgMar w:left="24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cost (1)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Short-term lease cost includes any lease with a term of less than 12 months.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39" w:lineRule="exact"/>
        <w:rPr>
          <w:sz w:val="20"/>
          <w:szCs w:val="20"/>
          <w:color w:val="auto"/>
        </w:rPr>
      </w:pPr>
    </w:p>
    <w:p>
      <w:pPr>
        <w:ind w:left="427"/>
        <w:spacing w:after="0"/>
        <w:rPr>
          <w:sz w:val="20"/>
          <w:szCs w:val="20"/>
          <w:color w:val="auto"/>
        </w:rPr>
      </w:pPr>
      <w:r>
        <w:rPr>
          <w:rFonts w:ascii="Times New Roman" w:cs="Times New Roman" w:eastAsia="Times New Roman" w:hAnsi="Times New Roman"/>
          <w:sz w:val="18"/>
          <w:szCs w:val="18"/>
          <w:color w:val="auto"/>
        </w:rPr>
        <w:t>June 30,</w:t>
      </w:r>
    </w:p>
    <w:p>
      <w:pPr>
        <w:spacing w:after="0" w:line="9"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07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14" w:lineRule="exact"/>
        <w:rPr>
          <w:sz w:val="20"/>
          <w:szCs w:val="20"/>
          <w:color w:val="auto"/>
        </w:rPr>
      </w:pPr>
    </w:p>
    <w:p>
      <w:pPr>
        <w:ind w:left="1027" w:hanging="1027"/>
        <w:spacing w:after="0"/>
        <w:tabs>
          <w:tab w:leader="none" w:pos="10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32,591</w:t>
      </w:r>
    </w:p>
    <w:p>
      <w:pPr>
        <w:spacing w:after="0" w:line="27" w:lineRule="exact"/>
        <w:rPr>
          <w:rFonts w:ascii="Times New Roman" w:cs="Times New Roman" w:eastAsia="Times New Roman" w:hAnsi="Times New Roman"/>
          <w:sz w:val="18"/>
          <w:szCs w:val="18"/>
          <w:color w:val="auto"/>
        </w:rPr>
      </w:pPr>
    </w:p>
    <w:p>
      <w:pPr>
        <w:ind w:left="11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07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8" w:lineRule="exact"/>
        <w:rPr>
          <w:sz w:val="20"/>
          <w:szCs w:val="20"/>
          <w:color w:val="auto"/>
        </w:rPr>
      </w:pPr>
    </w:p>
    <w:p>
      <w:pPr>
        <w:ind w:left="1027" w:hanging="1027"/>
        <w:spacing w:after="0"/>
        <w:tabs>
          <w:tab w:leader="none" w:pos="10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607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075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9607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85788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885" cy="17145"/>
                    </a:xfrm>
                    <a:prstGeom prst="rect">
                      <a:avLst/>
                    </a:prstGeom>
                    <a:noFill/>
                  </pic:spPr>
                </pic:pic>
              </a:graphicData>
            </a:graphic>
          </wp:anchor>
        </w:drawing>
      </w:r>
    </w:p>
    <w:p>
      <w:pPr>
        <w:spacing w:after="0" w:line="214" w:lineRule="exact"/>
        <w:rPr>
          <w:sz w:val="20"/>
          <w:szCs w:val="20"/>
          <w:color w:val="auto"/>
        </w:rPr>
      </w:pPr>
    </w:p>
    <w:p>
      <w:pPr>
        <w:ind w:left="860" w:hanging="859"/>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64,175</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85788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885" cy="17145"/>
                    </a:xfrm>
                    <a:prstGeom prst="rect">
                      <a:avLst/>
                    </a:prstGeom>
                    <a:noFill/>
                  </pic:spPr>
                </pic:pic>
              </a:graphicData>
            </a:graphic>
          </wp:anchor>
        </w:drawing>
      </w:r>
    </w:p>
    <w:p>
      <w:pPr>
        <w:spacing w:after="0" w:line="38" w:lineRule="exact"/>
        <w:rPr>
          <w:sz w:val="20"/>
          <w:szCs w:val="20"/>
          <w:color w:val="auto"/>
        </w:rPr>
      </w:pPr>
    </w:p>
    <w:p>
      <w:pPr>
        <w:ind w:left="860" w:hanging="859"/>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85788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885" cy="171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43180</wp:posOffset>
            </wp:positionV>
            <wp:extent cx="85788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885" cy="1714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3">
            <w:col w:w="7513" w:space="720"/>
            <w:col w:w="1527" w:space="200"/>
            <w:col w:w="1360"/>
          </w:cols>
          <w:pgMar w:left="240" w:top="900"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the future minimum lease payments to be made under operating leases as of June 30, 2019: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4"/>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2019(a)</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66,672</w:t>
            </w:r>
          </w:p>
        </w:tc>
      </w:tr>
      <w:tr>
        <w:trPr>
          <w:trHeight w:val="216"/>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135,759</w:t>
            </w:r>
          </w:p>
        </w:tc>
      </w:tr>
      <w:tr>
        <w:trPr>
          <w:trHeight w:val="216"/>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138,107</w:t>
            </w:r>
          </w:p>
        </w:tc>
      </w:tr>
      <w:tr>
        <w:trPr>
          <w:trHeight w:val="216"/>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100,107</w:t>
            </w:r>
          </w:p>
        </w:tc>
      </w:tr>
      <w:tr>
        <w:trPr>
          <w:trHeight w:val="216"/>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96,949</w:t>
            </w:r>
          </w:p>
        </w:tc>
      </w:tr>
      <w:tr>
        <w:trPr>
          <w:trHeight w:val="241"/>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150,222</w:t>
            </w:r>
          </w:p>
        </w:tc>
      </w:tr>
      <w:tr>
        <w:trPr>
          <w:trHeight w:val="198"/>
        </w:trPr>
        <w:tc>
          <w:tcPr>
            <w:tcW w:w="10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687,816</w:t>
            </w:r>
          </w:p>
        </w:tc>
      </w:tr>
      <w:tr>
        <w:trPr>
          <w:trHeight w:val="241"/>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66,944</w:t>
            </w:r>
          </w:p>
        </w:tc>
      </w:tr>
      <w:tr>
        <w:trPr>
          <w:trHeight w:val="223"/>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620,872</w:t>
            </w:r>
          </w:p>
        </w:tc>
      </w:tr>
      <w:tr>
        <w:trPr>
          <w:trHeight w:val="34"/>
        </w:trPr>
        <w:tc>
          <w:tcPr>
            <w:tcW w:w="10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For the remaining six-month period beginning July 1, 2019.</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5.5 years and the weighted average discount rate used in calculating the operating lease asset and liability is 4.5%. Cash paid for amounts included in the measurement of lease liabilities is $64,175. For the six months ended June 30, 2019, payments on lease obligations were $51,937 and amortization on the right of use assets was $52,592.</w:t>
      </w:r>
    </w:p>
    <w:p>
      <w:pPr>
        <w:spacing w:after="0" w:line="3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0" w:right="339" w:bottom="1440" w:gutter="0" w:footer="0" w:header="0"/>
          <w:type w:val="continuous"/>
        </w:sectPr>
      </w:pPr>
    </w:p>
    <w:bookmarkStart w:id="10" w:name="page11"/>
    <w:bookmarkEnd w:id="1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NEW ACCOUNTING STANDARDS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June 2016, the FASB issued Accounting Standards Update (“ASU”) 2016-13, Financial Instruments-Credit Losses (Topic 326): Measurement of Credit Losses on Financial Instruments. ASU 2016-13 provides for a new impairment model, which requires measurement and recognition of expected credit losses for most financial assets and certain other instruments, including but not limited to accounts receivable and available for sale debt securities. ASU 2016-13 will become effective for the Company on January 1, 2020 and early adoption is permitted. The Company is currently evaluating the impact of this guidance on its consolidated financial statements.</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Company is currently evaluating the impact of this guidance on its consolidated financial statements.</w:t>
      </w:r>
    </w:p>
    <w:p>
      <w:pPr>
        <w:spacing w:after="0" w:line="189"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In August 2018, the FASB issued ASU 2018-13, Fair Value Measurement (Topic 820): Disclosure Framework-Changes to the Disclosure Requirements for Fair Value Measurement. ASU 2018-13 modifies the disclosure requirements on fair value measurements and will become effective for the Company on January 1, 2020 and early adoption is permitted. The Company is currently evaluating the impact of this guidance on its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June 30, 2019, in an underwritten primary offering, we issued 1,769,275 shares of our common stock for gross proceeds of</w:t>
      </w:r>
    </w:p>
    <w:p>
      <w:pPr>
        <w:spacing w:after="0" w:line="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$23,000,575. In connection with this transaction, we incurred equity issuance costs of $1,696,749 related to payments to the underwriter, advisors and legal fees associated with the transaction, resulting in net proceeds to the Company of $21,303,826.</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2018, in a private transaction, we issued 1,666,669 shares of our common stock for gross proceeds of $9,000,000. In connection with this transaction, we incurred equity issuance costs of $835,526 related to payments to advisors and legal fees associated with the transaction, resulting in net proceeds to the Company of $8,164,474.</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quarters ended June 30, 2019, and March 31, 2019, respectively, we issued 60,295 shares and 89,826 shares of our common stock and received proceeds of $214,314 and $343,785 in connection with the exercise of stock options under our 2013 equity compensation plan. We issued an additional 12,052 shares of our common stock in the quarter ended March 31, 2019 in connection with the exercise of options using the net-settled method, whereby no cash was received, but rather the exercise price was paid by the surrender of shares underlying the options. We also issued 130,001 shares of our common stock in the quarter ended March 31, 2019 in connection with restricted stock awards awarded in 2018. We issued 2,002 shares of our common stock and received proceeds of $4,920 in connection with the exercise of options in the quarter ended June 30, 2018.</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0" w:right="31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STOCKHOLDERS’ EQUITY (continued)</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Director Compensation Plan calls for issuance of 2,084 shares per quarter to each independent director. In 2019, we issued 8,336 shares each quarter, valued at $106,834 and $135,043 for the quarters ended March 31, and June 30, respectively. In 2018, we issued 6,249 shares valued at $28,875 and 8,336 shares valued at $89,945 or the quarters ended March 31, and June 30, respectively.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Effective May 14, 2018, in connection with our listing on the Nasdaq Capital Market, we implemented a reverse split of our common stock by exchanging each three shares of our common stock for one share. The effect of this reverse split is presented in the accompanying condensed consolidated financial statements as if it had been effective as of the beginning of the earliest period presented. We elected to round fractional shares up to the nearest whole number rather than redeem them for cash, and as a result we issued 908 additional shares.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March 2018, we issued 100,000 shares of common stock to a subsidiary of WPP, plc, a shareholder at the time, in full payment of all amounts due under a co-marketing agreement that covered certain WPP, plc agencies, whereby we shared a portion of our revenue with those agencies related to programs awarded to us by those agencies. The shares were valued at $447,000, the market value of the stock on the date of issuance. The amount due was recorded as a liability in revenue share payable at December 31,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STOCK BASED COMPENSATION</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use the fair value method to account for stock-based compensation. We recorded $907,109 and $712,998 in compensation expense in the six months ended June 30, 2019 and 2018, respectively, related to options issued under our stock-based incentive compensation plan. This includes expense related to options issued in prior years for which the requisite service period for those options includes the current period as well as options issued in the current period. The fair value of these instruments was calculated using the Black-Scholes option pricing model. There is $1,598,019 of remaining expense related to unvested options to be recognized in the future over a weighted average remaining period of less than one year.. The total intrinsic value of outstanding options at June 30, 2019 is $16,328,517.</w:t>
      </w:r>
    </w:p>
    <w:p>
      <w:pPr>
        <w:spacing w:after="0" w:line="18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also recorded expense related to restricted stock awards of $31,290 and $182,004 for the six months ended June 30, 2019 and 2018, respectively. As of June 30, 2019, there is $1,513,475 of remaining expense related to unvested restricted stock awards to be recognized in the future related to 140,000 shares of restricted stock awards that are unvested at June 30,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currently involved in any legal proceedings.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 w:name="page13"/>
    <w:bookmarkEnd w:id="1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EARNINGS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8"/>
                <w:szCs w:val="18"/>
                <w:color w:val="auto"/>
              </w:rPr>
            </w:pPr>
          </w:p>
        </w:tc>
        <w:tc>
          <w:tcPr>
            <w:tcW w:w="228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406,617</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280,509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413,146</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91,330</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used in computing earnings per share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12,743,379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10,979,086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12,412,442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10,373,326</w:t>
            </w:r>
          </w:p>
        </w:tc>
        <w:tc>
          <w:tcPr>
            <w:tcW w:w="0" w:type="dxa"/>
            <w:vAlign w:val="bottom"/>
          </w:tcPr>
          <w:p>
            <w:pPr>
              <w:spacing w:after="0"/>
              <w:rPr>
                <w:sz w:val="1"/>
                <w:szCs w:val="1"/>
                <w:color w:val="auto"/>
              </w:rPr>
            </w:pPr>
          </w:p>
        </w:tc>
      </w:tr>
      <w:tr>
        <w:trPr>
          <w:trHeight w:val="21"/>
        </w:trPr>
        <w:tc>
          <w:tcPr>
            <w:tcW w:w="59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Effect of dilutive stock options, warrants, and unvested restricted stock awards</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1,063,382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970,507</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1,055,120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1,144,278</w:t>
            </w:r>
          </w:p>
        </w:tc>
        <w:tc>
          <w:tcPr>
            <w:tcW w:w="0" w:type="dxa"/>
            <w:vAlign w:val="bottom"/>
          </w:tcPr>
          <w:p>
            <w:pPr>
              <w:spacing w:after="0"/>
              <w:rPr>
                <w:sz w:val="1"/>
                <w:szCs w:val="1"/>
                <w:color w:val="auto"/>
              </w:rPr>
            </w:pPr>
          </w:p>
        </w:tc>
      </w:tr>
      <w:tr>
        <w:trPr>
          <w:trHeight w:val="25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13,806,761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11,949,593</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13,467,562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11,517,604</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
        </w:trPr>
        <w:tc>
          <w:tcPr>
            <w:tcW w:w="5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tcBorders>
            <w:gridSpan w:val="2"/>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SUBSEQUENT EVENTS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July, 2019, we received proceeds of $86,621 and issued 20,164 shares of common stock in conjunction with the exercise of stock options. In accordance with ASC 855-10, we have analyzed events and transactions that occurred subsequent to June 30, 2019 through the date these financial statements were issued and have determined that we do not have any material subsequent events to disclose or recognize in these financial statements.</w:t>
      </w:r>
    </w:p>
    <w:p>
      <w:pPr>
        <w:spacing w:after="0" w:line="3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Highlights through August 2019</w:t>
      </w:r>
    </w:p>
    <w:p>
      <w:pPr>
        <w:spacing w:after="0" w:line="229" w:lineRule="exact"/>
        <w:rPr>
          <w:sz w:val="20"/>
          <w:szCs w:val="20"/>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for the three months ended June 30, 2019 were $7.0 million, a 37% increase over the same period in 2018.</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for the six months ended June 30, 2019 were $12.2 million, a 33% increase over the same period in 2018.</w:t>
      </w:r>
    </w:p>
    <w:p>
      <w:pPr>
        <w:spacing w:after="0" w:line="9" w:lineRule="exact"/>
        <w:rPr>
          <w:rFonts w:ascii="Times New Roman" w:cs="Times New Roman" w:eastAsia="Times New Roman" w:hAnsi="Times New Roman"/>
          <w:sz w:val="18"/>
          <w:szCs w:val="18"/>
          <w:color w:val="auto"/>
        </w:rPr>
      </w:pPr>
    </w:p>
    <w:p>
      <w:pPr>
        <w:ind w:left="580" w:right="300" w:hanging="572"/>
        <w:spacing w:after="0" w:line="250"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raised additional net equity of $21.3 million in an underwritten primary offering to solidify our balance sheet and to provide growth capital for potential acquisitions.</w:t>
      </w:r>
    </w:p>
    <w:p>
      <w:pPr>
        <w:ind w:left="580" w:hanging="572"/>
        <w:spacing w:after="0" w:line="250"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further integrating our solutions to address specific needs along the patients journey, and are focused on delivering enterprise-level solutions to our clients to improve outcomes and reduce the cost burden affecting so many Americans.</w:t>
      </w:r>
    </w:p>
    <w:p>
      <w:pPr>
        <w:ind w:left="580" w:right="680" w:hanging="572"/>
        <w:spacing w:after="0" w:line="261"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additional hires to support growth, including a Chief Commercial Officer, a VP of Sales to focus on the hospital market, three additional VPs of sales to call on pharma, and a VP of product strategy to focus on product expansion across our customer base.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success in acquiring, integrating and expanding into new EHR/eRx platforms continues to grow as well. For the remainder of 2019, we expect to expand our reach to physicians, pharmacies and patients, and also increase the utilization of our existing partners as they improve their work flow and reach. With the growth of both our pharmaceutical products and our distribution network, we expect that our financial, brand, and clinical messaging, as well as our patient engagement activities, will continue to increase and show strong growth throughout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2019 and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total revenue reported for the three months ended June 30, 2019 was approximately $7.0 million, an increase of 37% over the approximately $5.1 million from the same period in 2018. Our total revenue for the six months ended June 30, 2019 was approximately $12.2 million, an increase of 33% over the approximately $9.2 million from the same period in 2018. The increased revenue in both periods resulted primarily from increases in sales in our messaging products. We do not breakout revenue by service at this stage, but as we achieve greater scale we plan to determine the best way to present the growth by service.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cost of revenue percentage, comprised primarily of revenue share expense, declined as a percentage of revenues in both the three and six-month periods ended June 30, 2019, as compared to the same periods in 2018, as set forth in the table below. This decrease was a result of product mix and our focus on reducing our cost of revenues through improved revenue share contracts and the focus on products with higher margins.</w:t>
      </w:r>
    </w:p>
    <w:p>
      <w:pPr>
        <w:spacing w:after="0" w:line="17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0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41"/>
        </w:trPr>
        <w:tc>
          <w:tcPr>
            <w:tcW w:w="58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390"/>
              <w:spacing w:after="0"/>
              <w:rPr>
                <w:sz w:val="20"/>
                <w:szCs w:val="20"/>
                <w:color w:val="auto"/>
              </w:rPr>
            </w:pPr>
            <w:r>
              <w:rPr>
                <w:rFonts w:ascii="Times New Roman" w:cs="Times New Roman" w:eastAsia="Times New Roman" w:hAnsi="Times New Roman"/>
                <w:sz w:val="18"/>
                <w:szCs w:val="18"/>
                <w:color w:val="auto"/>
              </w:rPr>
              <w:t>June 30</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7"/>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58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r>
      <w:tr>
        <w:trPr>
          <w:trHeight w:val="41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 %</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38.4%</w:t>
            </w:r>
          </w:p>
        </w:tc>
        <w:tc>
          <w:tcPr>
            <w:tcW w:w="80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43.9%</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61.6%</w:t>
            </w:r>
          </w:p>
        </w:tc>
        <w:tc>
          <w:tcPr>
            <w:tcW w:w="80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56.1%</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w:t>
            </w:r>
          </w:p>
        </w:tc>
        <w:tc>
          <w:tcPr>
            <w:tcW w:w="3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gross margins improved from 2018 to 2019 in both the three and six month periods ended June 30, as reflected in the table above and for the reasons reflected in the discussion of cost of revenues. We have been focused on improving our margins. We expect to maintain gross margins of at least 60% on a quarterly basis for the balance of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expenses increased from approximately $2.6 million for the three months ended June 30, 2018 to approximately $3.8 million for the same period in 2019. Operating expenses increased from approximately $4.9 million for the six months ended June 30, 2018 to approximately $7.3 million for the same period in 2019. The detail by major category is reflected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2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4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r>
      <w:tr>
        <w:trPr>
          <w:trHeight w:val="223"/>
        </w:trPr>
        <w:tc>
          <w:tcPr>
            <w:tcW w:w="4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r>
      <w:tr>
        <w:trPr>
          <w:trHeight w:val="41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Salaries, Wages, &amp; Benefits</w:t>
            </w: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2,101,309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1,306,689</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3,790,343</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2,516,986</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543,130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516,700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1,179,476</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1,013,822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131,690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116,373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359,088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179,399</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Board Fees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33,375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68,500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58,625</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26,628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43,817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52,865</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Consultants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51,640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29,809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95,500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39,809</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163,903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97,977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354,713</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118,728</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235,571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54,473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425,872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108,945</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Maintenance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221,891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119,372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398,109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325,312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Integration Incentives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40,626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89,792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Office, Facility, and other</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127,459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154,165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246,511</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226,972</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Travel and Entertainment</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281,173</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161,752</w:t>
            </w:r>
          </w:p>
        </w:tc>
      </w:tr>
      <w:tr>
        <w:trPr>
          <w:trHeight w:val="27"/>
        </w:trPr>
        <w:tc>
          <w:tcPr>
            <w:tcW w:w="4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r>
        <w:trPr>
          <w:trHeight w:val="4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3,839,105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2,589,126</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7,332,894</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4,884,467</w:t>
            </w:r>
          </w:p>
        </w:tc>
      </w:tr>
      <w:tr>
        <w:trPr>
          <w:trHeight w:val="21"/>
        </w:trPr>
        <w:tc>
          <w:tcPr>
            <w:tcW w:w="4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5" w:name="page16"/>
    <w:bookmarkEnd w:id="15"/>
    <w:p>
      <w:pPr>
        <w:ind w:right="120"/>
        <w:spacing w:after="0" w:line="256" w:lineRule="auto"/>
        <w:rPr>
          <w:sz w:val="20"/>
          <w:szCs w:val="20"/>
          <w:color w:val="auto"/>
        </w:rPr>
      </w:pPr>
      <w:r>
        <w:rPr>
          <w:rFonts w:ascii="Times New Roman" w:cs="Times New Roman" w:eastAsia="Times New Roman" w:hAnsi="Times New Roman"/>
          <w:sz w:val="18"/>
          <w:szCs w:val="18"/>
          <w:color w:val="auto"/>
        </w:rPr>
        <w:t>The largest increases in operating expenses related to salaries, wages, and benefits and other human resource related costs. Since the beginning of the first quarter of 2018, we have hired a Chief Commercial Officer, four additional Vice Presidents of sales, a vice president of marketing and communications, a controller, a financial analyst, and 10 employees associated with our CareSpeak acquisition. These new hires also resulted in increases in benefits, payroll taxes, and related travel. The stock-based compensation is impacted by both the number of options granted and the price of the stock at the time of grant. We expect stock-based compensation to decrease slightly on a quarterly basis for the balance of the year as previously awarded grants become fully vested. The increased number of employees also resulted in increased travel.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development, maintenance, and integration costs reflects an increased level of activity to support our overall growth.</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Advertising and promotion increased substantially in 2019 because of our increased focus on marketing activities. This increase includes costs associated with our physician survey on drug price transparency and patient cost challenges, our sponsorship of a healthcare panel on digital pharma marketing, and attendance at several industry conferences. We also hired a public relations firm in late 2018 that is included in 2019 costs, but was not there in 2018.</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Professional fees increased in 2019 as a result of our move to the Nasdaq Capital Market in June 2018, our subsequent increase in market capitalization, and our acquisition of CareSpeak Communications in late 2018. This increased the complexity of our year-end audit, and we were required to obtain an audit opinion on our internal controls under Sarbanes Oxley as of December 31, 2018 for the first time. We also were required to obtain third party valuations of the allocation of our purchase price of CareSpeak and the fair value of those assets and liabilities as of December 31, 2018, and on a quarterly basis moving forward.</w:t>
      </w:r>
    </w:p>
    <w:p>
      <w:pPr>
        <w:spacing w:after="0" w:line="184"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primarily because of the amortizable assets acquired in connection with our acquisition of CareSpeak Communications. Office, facility, and other expenses also increased as a result of our acquisition of CareSpeak, which resulted in two additional office locations for us, as well as the normal increased costs associated with increased business activity.</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increase in the fair value of contingent consideration relates to our acquisition of CareSpeak Communications. The purchase price included potential additional consideration to be paid if certain revenue levels are achieved in 2019 and 2020. That liability is required to be adjusted to fair value each quarter and this represents the increase in the fair value of the liability during the three and six months ended June 30,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variances in the table above are the result of normal fluctuations in activity.</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expect our overall operating expenses to continue at the 2019 level, or slightly above as we further implement our business plan and expand our operations to grow the business in a very dynamic and active marketplace. However, we have established a strong team as a base to support growth and do not expect human resource costs to increase as quickly as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had net income of $407,000 for the three months ended June 30, 2019, as compared to $281,000 during the same period in 2018. Our net income for the six months ended June 30, 2019 was $413,000, as compared to $91,000 during the same period in 2018. The reasons for specific components are discussed above, however our increased revenues have resulted in us achieving consistent profitability. We expect to continue to be profitable on a quarterly basis, although in any particular quarter, one-time expenses related to growth initiatives could result in a loss for a particular quarter.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June 30, 2019, we had total current assets of $38.6 million, compared with current liabilities of $5.7 million, resulting in working capital of approximately $32.9 million and a current ratio of 6.8 to 1. This represents an improvement from working capital of approximately $11.5 million and current ratio of 3.7 to 1 at December 31, 2018.</w:t>
      </w:r>
    </w:p>
    <w:p>
      <w:pPr>
        <w:spacing w:after="0" w:line="176" w:lineRule="exact"/>
        <w:rPr>
          <w:sz w:val="20"/>
          <w:szCs w:val="20"/>
          <w:color w:val="auto"/>
        </w:rPr>
      </w:pPr>
    </w:p>
    <w:p>
      <w:pPr>
        <w:ind w:right="120" w:firstLine="45"/>
        <w:spacing w:after="0" w:line="258" w:lineRule="auto"/>
        <w:rPr>
          <w:sz w:val="20"/>
          <w:szCs w:val="20"/>
          <w:color w:val="auto"/>
        </w:rPr>
      </w:pPr>
      <w:r>
        <w:rPr>
          <w:rFonts w:ascii="Times New Roman" w:cs="Times New Roman" w:eastAsia="Times New Roman" w:hAnsi="Times New Roman"/>
          <w:sz w:val="18"/>
          <w:szCs w:val="18"/>
          <w:color w:val="auto"/>
        </w:rPr>
        <w:t>Our operating activities provided approximately $808,000 in cash flow during the six months ended June 30, 2019, compared with cash used of 1.2 million in the same period in 2018. The cash provided in the 2019 period was the result of our net income, as well as working capital management. The cash used in the 2018 period was the result of cash used for working capital. The main use of cash in 2018 resulted from a change in payment terms for one of our key partners, as well as payment of certain year end liabilities. We expect to continue to have positive cash flow from operations on a quarterly basis for the balance of the year.</w:t>
      </w:r>
    </w:p>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used approximately $1.05 million in investing activities in the six months ended June 30, 2019, $1.0 million of which was related to the acquisition of a perpetual software license. The total cost of the license is $1.5 million. The remaining $500,000 is in accounts payable and is due in September 2019. We used insignificant amounts in investing activities in the six months ended June 30, 2018 related to purchases of equipment.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had proceeds from financing activities of approximately $21.9 million and $8.2 million during the six months ended June 30, 2019 and 2018, respectively. These resulted from offerings our common stock, as well as the exercise of stock options. We did, as discussed in Note 3 to the accompanying condensed consolidated financial statements, issue 300,000 shares valued at $447,000 in 2018 in a non-cash transaction in payment of revenue share due under a co-marketing agreement and the accompanying termination of the agreement.</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do not anticipate the need to raise additional capital in 12 months from the issuance of this 10-Q document. We are focused on growing our revenue, channel and partner network. However, as a company in a market that is active with merger and acquisition activity, we may have opportunities, such as for acquisitions or strategic partner relationships, which may require additional capital. We will assess these opportunities as they arise with the view of maximizing shareholder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2018; however, we consider our critical accounting policies to be those related to determining the timing and amount of revenue recognition, calculation of revenue share expense, stock-based compensation, capitalization and related amortization of intangible assets, impairment of assets, and the fair value of contingent purchase price payable.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2016, the Financial Accounting Standards Board (the “FASB”) issued ASU 2016-13, Financial Instruments-Credit Losses (Topic 326): Measurement of Credit Losses on Financial Instruments. ASU 2016-13 provides for a new impairment model which requires measurement and recognition of expected credit losses for most financial assets and certain other instruments, including but not limited to accounts receivable and available for sale debt securities. ASU 2016-13 will become effective for the Company on January 1, 2020 and early adoption is permitted. The Company is currently evaluating the impact of this guidance on its consolidated financial statements.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7" w:name="page18"/>
    <w:bookmarkEnd w:id="17"/>
    <w:p>
      <w:pPr>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Company is currently evaluating the impact of this guidance on its consolidated financial statements.</w:t>
      </w:r>
    </w:p>
    <w:p>
      <w:pPr>
        <w:spacing w:after="0" w:line="18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In August 2018, the FASB issued ASU 2018-13, Fair Value Measurement (Topic 820): Disclosure Framework-Changes to the Disclosure Requirements for Fair Value Measurement. ASU 2018-13 modifies the disclosure requirements on fair value measurements and will become effective for the Company on January 1, 2020 and early adoption is permitted. The Company is currently evaluating the impact of this guidance on its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there were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required to provide the information required by this Item.</w:t>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of the end of the period covered by this report (the “Evaluation Date”). Based upon that evaluation, our Chief Executive Officer and Chief Financial Officer concluded that, as of June 30, 2019, our disclosure controls and procedures were not effective due to the presence of material weaknesses in internal control over financial reporting.</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described in more detail in our annual report on Form 10-K for the year ended December 31, 2018, management identified the following material weaknesses which have caused management to conclude that our disclosure controls and procedures were not effective: (i) inadequate segregation of duties; and (ii) inadequate information technology reporting systems to insure that accurate financial information is provided for accounting and financial reporting with respect to the requirements and application of both US GAAP and SEC guidelines. Those weaknesses have not been completely remediated as of June 30,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quarter ended March 31, 2019, we hired an additional person in our accounting department to address the segregation of duties issue and improve our internal control over financial reporting. We also evaluated and selected new accounting software to address the information technology issues. We also improved the documentation of the review of data entered into our system. No significant changes were made in the quarter ended June 30, 2019 but we are currently in the process of implementing the new software and expect to have it fully implemented during the third quarter of 2019. We expect implementation of this new system, along with associated controls, to remediate our material weakness in internal control, however a complete assessment will be made upon completion.</w:t>
      </w:r>
    </w:p>
    <w:p>
      <w:pPr>
        <w:spacing w:after="0" w:line="18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conjunction with the adoption of the new lease accounting standard, we implemented new lease administration software and updated our business processes and internal controls in support of the new guidance.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we made other routine ongoing improvements in our internal control and processes, no other material changes were made during the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included in our Annual Report on Form 10-K for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2018, in a private transaction, we issued 1,666,669 shares of our common stock for gross proceeds of $9,000,000. In connection with this transaction, we incurred equity issuance costs of $835,526 related to payments to advisors and legal fees associated with the transaction, resulting in net proceeds to the Company of $8,164,474.</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June 2019, we issued 8,336 shares of common stock to our independent directors in connection with our Director Compensation Plan. We also issued a total 60,295 shares of stock during the three months ended June 30, 2019, in connection with the exercise of options under our 2013 equity compensation plan.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76"/>
        </w:trPr>
        <w:tc>
          <w:tcPr>
            <w:tcW w:w="20" w:type="dxa"/>
            <w:vAlign w:val="bottom"/>
          </w:tcPr>
          <w:p>
            <w:pPr>
              <w:spacing w:after="0"/>
              <w:rPr>
                <w:sz w:val="15"/>
                <w:szCs w:val="15"/>
                <w:color w:val="auto"/>
              </w:rPr>
            </w:pPr>
          </w:p>
        </w:tc>
        <w:tc>
          <w:tcPr>
            <w:tcW w:w="10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10260" w:type="dxa"/>
            <w:vAlign w:val="bottom"/>
            <w:tcBorders>
              <w:top w:val="single" w:sz="8" w:color="auto"/>
            </w:tcBorders>
            <w:gridSpan w:val="6"/>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Certification of Chief Executive Officer pursuant to 18 U.S.C. Section 1350, as adopted pursuant to Section 302 of the Sarbanes-Oxley Act of</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22">
              <w:r>
                <w:rPr>
                  <w:rFonts w:ascii="Times New Roman" w:cs="Times New Roman" w:eastAsia="Times New Roman" w:hAnsi="Times New Roman"/>
                  <w:sz w:val="18"/>
                  <w:szCs w:val="18"/>
                  <w:color w:val="0000EE"/>
                  <w:w w:val="94"/>
                </w:rPr>
                <w:t>2002</w:t>
              </w:r>
            </w:hyperlink>
          </w:p>
        </w:tc>
        <w:tc>
          <w:tcPr>
            <w:tcW w:w="216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60" w:type="dxa"/>
            <w:vAlign w:val="bottom"/>
            <w:gridSpan w:val="6"/>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Certification of Chief Financial Officer pursuant to 18 U.S.C. Section 1350, as adopted pursuant to Section 302 of the Sarbanes-Oxley Act of</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23">
              <w:r>
                <w:rPr>
                  <w:rFonts w:ascii="Times New Roman" w:cs="Times New Roman" w:eastAsia="Times New Roman" w:hAnsi="Times New Roman"/>
                  <w:sz w:val="18"/>
                  <w:szCs w:val="18"/>
                  <w:color w:val="0000EE"/>
                  <w:w w:val="94"/>
                </w:rPr>
                <w:t>2002</w:t>
              </w:r>
            </w:hyperlink>
          </w:p>
        </w:tc>
        <w:tc>
          <w:tcPr>
            <w:tcW w:w="216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Certification of Chief Executive Officer and Chief Financial Officer pursuant to 18 U.S.C. Section 1350, as adopted pursuant to Section 906</w:t>
              </w:r>
            </w:hyperlink>
          </w:p>
        </w:tc>
        <w:tc>
          <w:tcPr>
            <w:tcW w:w="1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of the Sarbanes-Oxley Act of 2002</w:t>
              </w:r>
            </w:hyperlink>
          </w:p>
        </w:tc>
        <w:tc>
          <w:tcPr>
            <w:tcW w:w="7740" w:type="dxa"/>
            <w:vAlign w:val="bottom"/>
            <w:gridSpan w:val="4"/>
          </w:tcPr>
          <w:p>
            <w:pPr>
              <w:spacing w:after="0"/>
              <w:rPr>
                <w:sz w:val="17"/>
                <w:szCs w:val="17"/>
                <w:color w:val="auto"/>
              </w:rPr>
            </w:pPr>
          </w:p>
        </w:tc>
      </w:tr>
      <w:tr>
        <w:trPr>
          <w:trHeight w:val="2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Form 10-Q for the quarter ended March 31, 2019 formatted in Extensible</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Business Reporting Language (XBRL).</w:t>
            </w:r>
          </w:p>
        </w:tc>
      </w:tr>
    </w:tbl>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Provided herewith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20" w:type="dxa"/>
            <w:vAlign w:val="bottom"/>
            <w:gridSpan w:val="2"/>
          </w:tcPr>
          <w:p>
            <w:pPr>
              <w:ind w:left="68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2019</w:t>
            </w:r>
          </w:p>
        </w:tc>
        <w:tc>
          <w:tcPr>
            <w:tcW w:w="3980" w:type="dxa"/>
            <w:vAlign w:val="bottom"/>
          </w:tcPr>
          <w:p>
            <w:pPr>
              <w:spacing w:after="0"/>
              <w:rPr>
                <w:sz w:val="18"/>
                <w:szCs w:val="18"/>
                <w:color w:val="auto"/>
              </w:rPr>
            </w:pPr>
          </w:p>
        </w:tc>
      </w:tr>
      <w:tr>
        <w:trPr>
          <w:trHeight w:val="241"/>
        </w:trPr>
        <w:tc>
          <w:tcPr>
            <w:tcW w:w="7440" w:type="dxa"/>
            <w:vAlign w:val="bottom"/>
          </w:tcPr>
          <w:p>
            <w:pPr>
              <w:ind w:left="686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r>
      <w:tr>
        <w:trPr>
          <w:trHeight w:val="194"/>
        </w:trPr>
        <w:tc>
          <w:tcPr>
            <w:tcW w:w="7440" w:type="dxa"/>
            <w:vAlign w:val="bottom"/>
          </w:tcPr>
          <w:p>
            <w:pPr>
              <w:spacing w:after="0"/>
              <w:rPr>
                <w:sz w:val="16"/>
                <w:szCs w:val="16"/>
                <w:color w:val="auto"/>
              </w:rPr>
            </w:pPr>
          </w:p>
        </w:tc>
        <w:tc>
          <w:tcPr>
            <w:tcW w:w="3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William J. Febbo</w:t>
            </w:r>
          </w:p>
        </w:tc>
      </w:tr>
      <w:tr>
        <w:trPr>
          <w:trHeight w:val="216"/>
        </w:trPr>
        <w:tc>
          <w:tcPr>
            <w:tcW w:w="7440" w:type="dxa"/>
            <w:vAlign w:val="bottom"/>
          </w:tcPr>
          <w:p>
            <w:pPr>
              <w:ind w:left="686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Executive Officer, and Director</w:t>
            </w:r>
          </w:p>
        </w:tc>
      </w:tr>
      <w:tr>
        <w:trPr>
          <w:trHeight w:val="414"/>
        </w:trPr>
        <w:tc>
          <w:tcPr>
            <w:tcW w:w="11420" w:type="dxa"/>
            <w:vAlign w:val="bottom"/>
            <w:gridSpan w:val="2"/>
          </w:tcPr>
          <w:p>
            <w:pPr>
              <w:ind w:left="68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2019</w:t>
            </w:r>
          </w:p>
        </w:tc>
        <w:tc>
          <w:tcPr>
            <w:tcW w:w="3980" w:type="dxa"/>
            <w:vAlign w:val="bottom"/>
          </w:tcPr>
          <w:p>
            <w:pPr>
              <w:spacing w:after="0"/>
              <w:rPr>
                <w:sz w:val="18"/>
                <w:szCs w:val="18"/>
                <w:color w:val="auto"/>
              </w:rPr>
            </w:pPr>
          </w:p>
        </w:tc>
      </w:tr>
      <w:tr>
        <w:trPr>
          <w:trHeight w:val="241"/>
        </w:trPr>
        <w:tc>
          <w:tcPr>
            <w:tcW w:w="7440" w:type="dxa"/>
            <w:vAlign w:val="bottom"/>
          </w:tcPr>
          <w:p>
            <w:pPr>
              <w:ind w:left="686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P. Baker</w:t>
            </w:r>
          </w:p>
        </w:tc>
      </w:tr>
      <w:tr>
        <w:trPr>
          <w:trHeight w:val="194"/>
        </w:trPr>
        <w:tc>
          <w:tcPr>
            <w:tcW w:w="7440" w:type="dxa"/>
            <w:vAlign w:val="bottom"/>
          </w:tcPr>
          <w:p>
            <w:pPr>
              <w:spacing w:after="0"/>
              <w:rPr>
                <w:sz w:val="16"/>
                <w:szCs w:val="16"/>
                <w:color w:val="auto"/>
              </w:rPr>
            </w:pPr>
          </w:p>
        </w:tc>
        <w:tc>
          <w:tcPr>
            <w:tcW w:w="3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Douglas P. Baker</w:t>
            </w:r>
          </w:p>
        </w:tc>
      </w:tr>
      <w:tr>
        <w:trPr>
          <w:trHeight w:val="216"/>
        </w:trPr>
        <w:tc>
          <w:tcPr>
            <w:tcW w:w="7440" w:type="dxa"/>
            <w:vAlign w:val="bottom"/>
          </w:tcPr>
          <w:p>
            <w:pPr>
              <w:ind w:left="686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16"/>
        </w:trPr>
        <w:tc>
          <w:tcPr>
            <w:tcW w:w="7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tc>
      </w:tr>
      <w:tr>
        <w:trPr>
          <w:trHeight w:val="238"/>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tc>
      </w:tr>
      <w:tr>
        <w:trPr>
          <w:trHeight w:val="655"/>
        </w:trPr>
        <w:tc>
          <w:tcPr>
            <w:tcW w:w="7440" w:type="dxa"/>
            <w:vAlign w:val="bottom"/>
            <w:tcBorders>
              <w:bottom w:val="single" w:sz="8" w:color="auto"/>
            </w:tcBorders>
          </w:tcPr>
          <w:p>
            <w:pPr>
              <w:ind w:left="5620"/>
              <w:spacing w:after="0"/>
              <w:rPr>
                <w:sz w:val="20"/>
                <w:szCs w:val="20"/>
                <w:color w:val="auto"/>
              </w:rPr>
            </w:pPr>
            <w:r>
              <w:rPr>
                <w:rFonts w:ascii="Times New Roman" w:cs="Times New Roman" w:eastAsia="Times New Roman" w:hAnsi="Times New Roman"/>
                <w:sz w:val="18"/>
                <w:szCs w:val="18"/>
                <w:color w:val="auto"/>
              </w:rPr>
              <w:t>19</w:t>
            </w: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Febbo, certify that;</w:t>
      </w:r>
    </w:p>
    <w:p>
      <w:pPr>
        <w:spacing w:after="0" w:line="225"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2018 of OptimizeRx Corp (the “registrant”);</w:t>
      </w:r>
    </w:p>
    <w:p>
      <w:pPr>
        <w:spacing w:after="0" w:line="225" w:lineRule="exact"/>
        <w:rPr>
          <w:rFonts w:ascii="Times New Roman" w:cs="Times New Roman" w:eastAsia="Times New Roman" w:hAnsi="Times New Roman"/>
          <w:sz w:val="18"/>
          <w:szCs w:val="18"/>
          <w:color w:val="auto"/>
        </w:rPr>
      </w:pPr>
    </w:p>
    <w:p>
      <w:pPr>
        <w:ind w:left="380" w:right="80" w:hanging="372"/>
        <w:spacing w:after="0" w:line="313" w:lineRule="auto"/>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80" w:right="54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00" w:right="200" w:hanging="482"/>
        <w:spacing w:after="0" w:line="266"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00" w:right="520" w:hanging="492"/>
        <w:spacing w:after="0" w:line="266"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00" w:right="680" w:hanging="482"/>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200" w:hanging="492"/>
        <w:spacing w:after="0" w:line="266"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80" w:right="46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100" w:hanging="482"/>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60" w:hanging="492"/>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Febbo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420"/>
          </w:cols>
          <w:pgMar w:left="240" w:top="108"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P. Baker, certify that;</w:t>
      </w:r>
    </w:p>
    <w:p>
      <w:pPr>
        <w:spacing w:after="0" w:line="225"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2019 of OptimizeRx Corp (the “registrant”);</w:t>
      </w:r>
    </w:p>
    <w:p>
      <w:pPr>
        <w:spacing w:after="0" w:line="225" w:lineRule="exact"/>
        <w:rPr>
          <w:rFonts w:ascii="Times New Roman" w:cs="Times New Roman" w:eastAsia="Times New Roman" w:hAnsi="Times New Roman"/>
          <w:sz w:val="18"/>
          <w:szCs w:val="18"/>
          <w:color w:val="auto"/>
        </w:rPr>
      </w:pPr>
    </w:p>
    <w:p>
      <w:pPr>
        <w:ind w:left="380" w:right="80" w:hanging="372"/>
        <w:spacing w:after="0" w:line="313" w:lineRule="auto"/>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80" w:right="54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00" w:right="200" w:hanging="482"/>
        <w:spacing w:after="0" w:line="266" w:lineRule="auto"/>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00" w:right="520" w:hanging="492"/>
        <w:spacing w:after="0" w:line="266" w:lineRule="auto"/>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00" w:right="680" w:hanging="482"/>
        <w:spacing w:after="0" w:line="282" w:lineRule="auto"/>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200" w:hanging="492"/>
        <w:spacing w:after="0" w:line="266" w:lineRule="auto"/>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80" w:right="46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100" w:hanging="482"/>
        <w:spacing w:after="0" w:line="282" w:lineRule="auto"/>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60" w:hanging="492"/>
        <w:spacing w:after="0" w:line="282" w:lineRule="auto"/>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P.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420"/>
          </w:cols>
          <w:pgMar w:left="240" w:top="108" w:right="239" w:bottom="1440" w:gutter="0" w:footer="0" w:header="0"/>
        </w:sectPr>
      </w:pPr>
    </w:p>
    <w:bookmarkStart w:id="23" w:name="page24"/>
    <w:bookmarkEnd w:id="23"/>
    <w:p>
      <w:pPr>
        <w:ind w:left="104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OptimizeRx Corp (the “Company”) on Form 10-Q for the quarter ended June 30, 2019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6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William J Febbo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Name:Willian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9380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Principal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2019</w:t>
      </w:r>
    </w:p>
    <w:p>
      <w:pPr>
        <w:spacing w:after="0" w:line="20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Douglas P.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9380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been furnished solely pursuant to Section 906 of the Sarbanes-Oxley Act of 2002.</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2019-12-28T07:57:05Z</dcterms:created>
  <dcterms:modified xsi:type="dcterms:W3CDTF">2019-12-28T07:57:05Z</dcterms:modified>
</cp:coreProperties>
</file>