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16, 2011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2500" w:type="dxa"/>
            <w:vAlign w:val="bottom"/>
            <w:gridSpan w:val="3"/>
          </w:tcPr>
          <w:p>
            <w:pPr>
              <w:jc w:val="center"/>
              <w:ind w:right="1830"/>
              <w:spacing w:after="0"/>
              <w:rPr>
                <w:sz w:val="20"/>
                <w:szCs w:val="20"/>
                <w:color w:val="auto"/>
              </w:rPr>
            </w:pPr>
            <w:r>
              <w:rPr>
                <w:rFonts w:ascii="Arial" w:cs="Arial" w:eastAsia="Arial" w:hAnsi="Arial"/>
                <w:sz w:val="18"/>
                <w:szCs w:val="18"/>
                <w:b w:val="1"/>
                <w:bCs w:val="1"/>
                <w:color w:val="auto"/>
                <w:w w:val="90"/>
              </w:rPr>
              <w:t>Nevada</w:t>
            </w:r>
          </w:p>
        </w:tc>
        <w:tc>
          <w:tcPr>
            <w:tcW w:w="3380" w:type="dxa"/>
            <w:vAlign w:val="bottom"/>
            <w:gridSpan w:val="4"/>
          </w:tcPr>
          <w:p>
            <w:pPr>
              <w:jc w:val="right"/>
              <w:ind w:right="1360"/>
              <w:spacing w:after="0"/>
              <w:rPr>
                <w:sz w:val="20"/>
                <w:szCs w:val="20"/>
                <w:color w:val="auto"/>
              </w:rPr>
            </w:pPr>
            <w:r>
              <w:rPr>
                <w:rFonts w:ascii="Arial" w:cs="Arial" w:eastAsia="Arial" w:hAnsi="Arial"/>
                <w:sz w:val="18"/>
                <w:szCs w:val="18"/>
                <w:b w:val="1"/>
                <w:bCs w:val="1"/>
                <w:color w:val="auto"/>
              </w:rPr>
              <w:t>000-53605</w:t>
            </w:r>
          </w:p>
        </w:tc>
        <w:tc>
          <w:tcPr>
            <w:tcW w:w="33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26-1265381</w:t>
            </w: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4"/>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80" w:type="dxa"/>
            <w:vAlign w:val="bottom"/>
            <w:gridSpan w:val="5"/>
          </w:tcPr>
          <w:p>
            <w:pPr>
              <w:jc w:val="center"/>
              <w:ind w:left="67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407 Sixth Street, Rochester, MI</w:t>
            </w:r>
          </w:p>
        </w:tc>
        <w:tc>
          <w:tcPr>
            <w:tcW w:w="2440" w:type="dxa"/>
            <w:vAlign w:val="bottom"/>
            <w:gridSpan w:val="3"/>
          </w:tcPr>
          <w:p>
            <w:pPr>
              <w:spacing w:after="0"/>
              <w:rPr>
                <w:sz w:val="24"/>
                <w:szCs w:val="24"/>
                <w:color w:val="auto"/>
              </w:rPr>
            </w:pPr>
          </w:p>
        </w:tc>
        <w:tc>
          <w:tcPr>
            <w:tcW w:w="25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48307</w:t>
            </w:r>
          </w:p>
        </w:tc>
        <w:tc>
          <w:tcPr>
            <w:tcW w:w="88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300" w:type="dxa"/>
            <w:vAlign w:val="bottom"/>
            <w:gridSpan w:val="6"/>
          </w:tcPr>
          <w:p>
            <w:pPr>
              <w:jc w:val="center"/>
              <w:ind w:right="200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spacing w:after="0"/>
              <w:rPr>
                <w:sz w:val="20"/>
                <w:szCs w:val="20"/>
                <w:color w:val="auto"/>
              </w:rPr>
            </w:pPr>
          </w:p>
        </w:tc>
        <w:tc>
          <w:tcPr>
            <w:tcW w:w="1760" w:type="dxa"/>
            <w:vAlign w:val="bottom"/>
            <w:gridSpan w:val="4"/>
          </w:tcPr>
          <w:p>
            <w:pPr>
              <w:jc w:val="center"/>
              <w:ind w:right="88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2" w:lineRule="exact"/>
        <w:rPr>
          <w:sz w:val="24"/>
          <w:szCs w:val="24"/>
          <w:color w:val="auto"/>
        </w:rPr>
      </w:pPr>
    </w:p>
    <w:p>
      <w:pPr>
        <w:ind w:left="3420"/>
        <w:spacing w:after="0"/>
        <w:rPr>
          <w:sz w:val="20"/>
          <w:szCs w:val="20"/>
          <w:color w:val="auto"/>
        </w:rPr>
      </w:pPr>
      <w:r>
        <w:rPr>
          <w:rFonts w:ascii="Arial" w:cs="Arial" w:eastAsia="Arial" w:hAnsi="Arial"/>
          <w:sz w:val="22"/>
          <w:szCs w:val="22"/>
          <w:color w:val="auto"/>
        </w:rPr>
        <w:t>___________________________________________</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52"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previously disclosed by OptimizeRx Corporation (the “Company”), on February 10, 2011, the Company filed a demand for arbitration (the “Demand”) with the American Arbitration Association (“AAA”) in Oakland County, Michigan based on a dispute between the Company and Beringea surrounding a capital raising agreement that was entered into on October 15, 2009. We have alleged that Beringea has failed to perform under the agreement, misinformed us about “tail” liability, and has wrongfully withheld funds due to us. We have sought $400,000 in damages.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September 30, 2011 a final arbitration award (the “Award”) was issued by a AAA arbitrator. According to the Award, we are entitled to recover $202,500 from Beringea on the claim of gross negligence, and $88,000 for the costs of enforcing the agreement, including attorneys’ fees and expenses. All other claims sought in the Demand were denied.</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 2011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61" w:right="33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2019-12-11T06:54:51Z</dcterms:created>
  <dcterms:modified xsi:type="dcterms:W3CDTF">2019-12-11T06:54:51Z</dcterms:modified>
</cp:coreProperties>
</file>