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WASSON GREGORY D</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60" w:type="dxa"/>
            <w:vAlign w:val="bottom"/>
            <w:tcBorders>
              <w:bottom w:val="single" w:sz="8" w:color="0000EE"/>
            </w:tcBorders>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06/11/2025</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9,868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57,183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0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 ling this Statement is, for the purposes of Section 16 of the Securities Exchange Act of 1934, as amended, the benefi cialowner of any equity securities covered by this Statement, or (b) that this Statement is legally required to be fi 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882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2025-06-12T15:35:49Z</dcterms:created>
  <dcterms:modified xsi:type="dcterms:W3CDTF">2025-06-12T15:35:49Z</dcterms:modified>
</cp:coreProperties>
</file>