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SECURITIES AND EXCHANGE COMMISSION</w:t>
      </w:r>
    </w:p>
    <w:p>
      <w:pPr>
        <w:ind w:left="46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SCHEDULE 13G/A</w:t>
      </w:r>
    </w:p>
    <w:p>
      <w:pPr>
        <w:spacing w:after="0" w:line="34" w:lineRule="exact"/>
        <w:rPr>
          <w:sz w:val="24"/>
          <w:szCs w:val="24"/>
          <w:color w:val="auto"/>
        </w:rPr>
      </w:pPr>
    </w:p>
    <w:p>
      <w:pPr>
        <w:ind w:left="4800"/>
        <w:spacing w:after="0"/>
        <w:rPr>
          <w:sz w:val="20"/>
          <w:szCs w:val="20"/>
          <w:color w:val="auto"/>
        </w:rPr>
      </w:pPr>
      <w:r>
        <w:rPr>
          <w:rFonts w:ascii="Arial" w:cs="Arial" w:eastAsia="Arial" w:hAnsi="Arial"/>
          <w:sz w:val="22"/>
          <w:szCs w:val="22"/>
          <w:b w:val="1"/>
          <w:bCs w:val="1"/>
          <w:color w:val="auto"/>
        </w:rPr>
        <w:t>(Amendment No. 1)</w:t>
      </w:r>
    </w:p>
    <w:p>
      <w:pPr>
        <w:spacing w:after="0" w:line="182"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13d-102)</w:t>
      </w:r>
    </w:p>
    <w:p>
      <w:pPr>
        <w:spacing w:after="0" w:line="206" w:lineRule="exact"/>
        <w:rPr>
          <w:sz w:val="24"/>
          <w:szCs w:val="24"/>
          <w:color w:val="auto"/>
        </w:rPr>
      </w:pPr>
    </w:p>
    <w:p>
      <w:pPr>
        <w:jc w:val="right"/>
        <w:ind w:right="699"/>
        <w:spacing w:after="0"/>
        <w:rPr>
          <w:sz w:val="20"/>
          <w:szCs w:val="20"/>
          <w:color w:val="auto"/>
        </w:rPr>
      </w:pPr>
      <w:r>
        <w:rPr>
          <w:rFonts w:ascii="Arial" w:cs="Arial" w:eastAsia="Arial" w:hAnsi="Arial"/>
          <w:sz w:val="22"/>
          <w:szCs w:val="22"/>
          <w:b w:val="1"/>
          <w:bCs w:val="1"/>
          <w:color w:val="auto"/>
        </w:rPr>
        <w:t>INFORMATION TO BE INCLUDED IN STATEMENTS FILED PURSUANT TO</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RULES 13d-1(b), (c) AND (d) AND AMENDMENTS THERETO FILED</w:t>
      </w:r>
    </w:p>
    <w:p>
      <w:pPr>
        <w:jc w:val="center"/>
        <w:ind w:right="-1220"/>
        <w:spacing w:after="0"/>
        <w:rPr>
          <w:sz w:val="20"/>
          <w:szCs w:val="20"/>
          <w:color w:val="auto"/>
        </w:rPr>
      </w:pPr>
      <w:r>
        <w:rPr>
          <w:rFonts w:ascii="Arial" w:cs="Arial" w:eastAsia="Arial" w:hAnsi="Arial"/>
          <w:sz w:val="22"/>
          <w:szCs w:val="22"/>
          <w:b w:val="1"/>
          <w:bCs w:val="1"/>
          <w:color w:val="auto"/>
        </w:rPr>
        <w:t>PURSUANT TO RULE 13d-2(b)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220"/>
        <w:spacing w:after="0"/>
        <w:rPr>
          <w:sz w:val="20"/>
          <w:szCs w:val="20"/>
          <w:color w:val="auto"/>
        </w:rPr>
      </w:pPr>
      <w:r>
        <w:rPr>
          <w:rFonts w:ascii="Arial" w:cs="Arial" w:eastAsia="Arial" w:hAnsi="Arial"/>
          <w:sz w:val="40"/>
          <w:szCs w:val="40"/>
          <w:b w:val="1"/>
          <w:bCs w:val="1"/>
          <w:color w:val="auto"/>
        </w:rPr>
        <w:t>OptimizeRx Corporation</w:t>
      </w:r>
    </w:p>
    <w:p>
      <w:pPr>
        <w:spacing w:after="0" w:line="35"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Common Stock, $0.001 par value</w:t>
      </w:r>
    </w:p>
    <w:p>
      <w:pPr>
        <w:spacing w:after="0" w:line="21" w:lineRule="exact"/>
        <w:rPr>
          <w:sz w:val="24"/>
          <w:szCs w:val="24"/>
          <w:color w:val="auto"/>
        </w:rPr>
      </w:pPr>
    </w:p>
    <w:p>
      <w:pPr>
        <w:ind w:left="4860"/>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68401U105</w:t>
      </w:r>
    </w:p>
    <w:p>
      <w:pPr>
        <w:spacing w:after="0" w:line="21" w:lineRule="exact"/>
        <w:rPr>
          <w:sz w:val="24"/>
          <w:szCs w:val="24"/>
          <w:color w:val="auto"/>
        </w:rPr>
      </w:pPr>
    </w:p>
    <w:p>
      <w:pPr>
        <w:ind w:left="5180"/>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December 31, 2014</w:t>
      </w:r>
    </w:p>
    <w:p>
      <w:pPr>
        <w:spacing w:after="0" w:line="21"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900" w:hanging="446"/>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760" w:type="dxa"/>
            <w:vAlign w:val="bottom"/>
            <w:gridSpan w:val="6"/>
          </w:tcPr>
          <w:p>
            <w:pPr>
              <w:spacing w:after="0"/>
              <w:rPr>
                <w:sz w:val="20"/>
                <w:szCs w:val="20"/>
                <w:color w:val="auto"/>
              </w:rPr>
            </w:pPr>
            <w:r>
              <w:rPr>
                <w:rFonts w:ascii="Arial" w:cs="Arial" w:eastAsia="Arial" w:hAnsi="Arial"/>
                <w:sz w:val="18"/>
                <w:szCs w:val="18"/>
                <w:color w:val="auto"/>
                <w:w w:val="93"/>
              </w:rPr>
              <w:t>CUSIP No. 68401U105</w:t>
            </w:r>
          </w:p>
        </w:tc>
        <w:tc>
          <w:tcPr>
            <w:tcW w:w="9680" w:type="dxa"/>
            <w:vAlign w:val="bottom"/>
          </w:tcPr>
          <w:p>
            <w:pPr>
              <w:ind w:left="3780"/>
              <w:spacing w:after="0"/>
              <w:rPr>
                <w:sz w:val="20"/>
                <w:szCs w:val="20"/>
                <w:color w:val="auto"/>
              </w:rPr>
            </w:pPr>
            <w:r>
              <w:rPr>
                <w:rFonts w:ascii="Arial" w:cs="Arial" w:eastAsia="Arial" w:hAnsi="Arial"/>
                <w:sz w:val="18"/>
                <w:szCs w:val="18"/>
                <w:color w:val="auto"/>
              </w:rPr>
              <w:t>13G/A</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76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4"/>
          </w:tcPr>
          <w:p>
            <w:pPr>
              <w:ind w:left="12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20"/>
              <w:spacing w:after="0"/>
              <w:rPr>
                <w:sz w:val="20"/>
                <w:szCs w:val="20"/>
                <w:color w:val="auto"/>
              </w:rPr>
            </w:pPr>
            <w:r>
              <w:rPr>
                <w:rFonts w:ascii="Arial" w:cs="Arial" w:eastAsia="Arial" w:hAnsi="Arial"/>
                <w:sz w:val="18"/>
                <w:szCs w:val="18"/>
                <w:color w:val="auto"/>
              </w:rPr>
              <w:t>Bradley Louis Radoff</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60" w:type="dxa"/>
            <w:vAlign w:val="bottom"/>
            <w:tcBorders>
              <w:bottom w:val="single" w:sz="8" w:color="auto"/>
              <w:right w:val="single" w:sz="8" w:color="auto"/>
            </w:tcBorders>
            <w:gridSpan w:val="3"/>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4"/>
          </w:tcPr>
          <w:p>
            <w:pPr>
              <w:ind w:left="1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0"/>
                <w:szCs w:val="20"/>
                <w:color w:val="auto"/>
              </w:rPr>
            </w:pPr>
          </w:p>
        </w:tc>
        <w:tc>
          <w:tcPr>
            <w:tcW w:w="9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8"/>
              </w:rPr>
              <w:t>NUMBER OF</w:t>
            </w:r>
          </w:p>
        </w:tc>
        <w:tc>
          <w:tcPr>
            <w:tcW w:w="2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950,000</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4"/>
              </w:rPr>
              <w:t>SHARES</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0"/>
                <w:szCs w:val="20"/>
                <w:color w:val="auto"/>
              </w:rPr>
            </w:pPr>
          </w:p>
        </w:tc>
        <w:tc>
          <w:tcPr>
            <w:tcW w:w="9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6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99"/>
              </w:rPr>
              <w:t>EACH</w:t>
            </w:r>
          </w:p>
        </w:tc>
        <w:tc>
          <w:tcPr>
            <w:tcW w:w="2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96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2"/>
              </w:rPr>
              <w:t>PERSON</w:t>
            </w: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950,000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9"/>
              </w:rPr>
              <w:t>WITH</w:t>
            </w:r>
          </w:p>
        </w:tc>
        <w:tc>
          <w:tcPr>
            <w:tcW w:w="2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Borders>
              <w:right w:val="single" w:sz="8" w:color="auto"/>
            </w:tcBorders>
            <w:gridSpan w:val="2"/>
            <w:vMerge w:val="continue"/>
          </w:tcPr>
          <w:p>
            <w:pPr>
              <w:spacing w:after="0"/>
              <w:rPr>
                <w:sz w:val="12"/>
                <w:szCs w:val="12"/>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2"/>
                <w:szCs w:val="12"/>
                <w:color w:val="auto"/>
              </w:rPr>
            </w:pPr>
          </w:p>
        </w:tc>
        <w:tc>
          <w:tcPr>
            <w:tcW w:w="96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22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9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w w:val="75"/>
              </w:rPr>
              <w:t>AGGREGATE</w:t>
            </w:r>
          </w:p>
        </w:tc>
        <w:tc>
          <w:tcPr>
            <w:tcW w:w="974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8"/>
              </w:rPr>
              <w:t>950,000</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440" w:type="dxa"/>
            <w:vAlign w:val="bottom"/>
            <w:gridSpan w:val="7"/>
          </w:tcPr>
          <w:p>
            <w:pPr>
              <w:spacing w:after="0"/>
              <w:rPr>
                <w:sz w:val="20"/>
                <w:szCs w:val="20"/>
                <w:color w:val="auto"/>
              </w:rPr>
            </w:pPr>
            <w:r>
              <w:rPr>
                <w:rFonts w:ascii="Arial" w:cs="Arial" w:eastAsia="Arial" w:hAnsi="Arial"/>
                <w:sz w:val="18"/>
                <w:szCs w:val="18"/>
                <w:color w:val="auto"/>
              </w:rPr>
              <w:t>*  SEE INSTRUCTIONS BEFORE FILLING OUT</w:t>
            </w: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80" w:type="dxa"/>
            <w:vAlign w:val="bottom"/>
          </w:tcPr>
          <w:p>
            <w:pPr>
              <w:ind w:left="39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jc w:val="center"/>
        <w:ind w:right="-5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13G/A</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Amendment No. 1 (this “Amendment”) to Schedule 13G (the “Schedule 13G”) is being filed on behalf of Bradley Louis Radoff relating to common stock, par value $0.001 per share (the “Common Stock”), of OptimizeRx Corporation, a Nevada corporation (the “Issuer”), purchased by Mr. Radoff.</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OptimizeRx Corpopration</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400 Water Street, Ste. 200</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Rochester, Michigan 48307</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Mr. Bradley Louis Radoff</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1177 West Loop South</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Suite 1625</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Houston, Texas 77027</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Place of Organization.</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Mr. Radoff is a U.S. citizen.</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Common stock, par value $0.001 per share (the “Common Stock”)</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68401U105</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Reporting Person.</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person filing is not listed in Items 3(a) through 3(j).</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5660" w:right="3800" w:hanging="4518"/>
        <w:spacing w:after="0" w:line="449" w:lineRule="auto"/>
        <w:tabs>
          <w:tab w:leader="none" w:pos="1809"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Radoff is the beneficial owner of 950,000 shares of Common Stock. 3</w:t>
      </w:r>
    </w:p>
    <w:p>
      <w:pPr>
        <w:sectPr>
          <w:pgSz w:w="11900" w:h="16838" w:orient="portrait"/>
          <w:cols w:equalWidth="0" w:num="1">
            <w:col w:w="10820"/>
          </w:cols>
          <w:pgMar w:left="240" w:top="270" w:right="8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(b)</w:t>
            </w:r>
          </w:p>
        </w:tc>
        <w:tc>
          <w:tcPr>
            <w:tcW w:w="9760" w:type="dxa"/>
            <w:vAlign w:val="bottom"/>
          </w:tcPr>
          <w:p>
            <w:pPr>
              <w:ind w:left="240"/>
              <w:spacing w:after="0"/>
              <w:rPr>
                <w:sz w:val="20"/>
                <w:szCs w:val="20"/>
                <w:color w:val="auto"/>
              </w:rPr>
            </w:pPr>
            <w:r>
              <w:rPr>
                <w:rFonts w:ascii="Arial" w:cs="Arial" w:eastAsia="Arial" w:hAnsi="Arial"/>
                <w:sz w:val="18"/>
                <w:szCs w:val="18"/>
                <w:color w:val="auto"/>
                <w:w w:val="93"/>
              </w:rPr>
              <w:t>Mr. Radoff beneficially owns 950,000 shares of Common Stock, which represents approximately 4.1% of the shares of Common</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760" w:type="dxa"/>
            <w:vAlign w:val="bottom"/>
          </w:tcPr>
          <w:p>
            <w:pPr>
              <w:ind w:left="240"/>
              <w:spacing w:after="0"/>
              <w:rPr>
                <w:sz w:val="20"/>
                <w:szCs w:val="20"/>
                <w:color w:val="auto"/>
              </w:rPr>
            </w:pPr>
            <w:r>
              <w:rPr>
                <w:rFonts w:ascii="Arial" w:cs="Arial" w:eastAsia="Arial" w:hAnsi="Arial"/>
                <w:sz w:val="18"/>
                <w:szCs w:val="18"/>
                <w:color w:val="auto"/>
                <w:w w:val="92"/>
              </w:rPr>
              <w:t>Stock issued and outstanding. This percentage is determined by dividing the number of shares beneficially held by Mr. Radoff by</w:t>
            </w:r>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760" w:type="dxa"/>
            <w:vAlign w:val="bottom"/>
          </w:tcPr>
          <w:p>
            <w:pPr>
              <w:ind w:left="240"/>
              <w:spacing w:after="0"/>
              <w:rPr>
                <w:sz w:val="20"/>
                <w:szCs w:val="20"/>
                <w:color w:val="auto"/>
              </w:rPr>
            </w:pPr>
            <w:r>
              <w:rPr>
                <w:rFonts w:ascii="Arial" w:cs="Arial" w:eastAsia="Arial" w:hAnsi="Arial"/>
                <w:sz w:val="18"/>
                <w:szCs w:val="18"/>
                <w:color w:val="auto"/>
                <w:w w:val="92"/>
              </w:rPr>
              <w:t>23,404,819, the number of shares of Common Stock issued and outstanding as of November 12, 2014, as reported in the Issuer’s</w:t>
            </w:r>
          </w:p>
        </w:tc>
      </w:tr>
      <w:tr>
        <w:trPr>
          <w:trHeight w:val="230"/>
        </w:trPr>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760" w:type="dxa"/>
            <w:vAlign w:val="bottom"/>
          </w:tcPr>
          <w:p>
            <w:pPr>
              <w:ind w:left="240"/>
              <w:spacing w:after="0"/>
              <w:rPr>
                <w:sz w:val="20"/>
                <w:szCs w:val="20"/>
                <w:color w:val="auto"/>
              </w:rPr>
            </w:pPr>
            <w:r>
              <w:rPr>
                <w:rFonts w:ascii="Arial" w:cs="Arial" w:eastAsia="Arial" w:hAnsi="Arial"/>
                <w:sz w:val="18"/>
                <w:szCs w:val="18"/>
                <w:color w:val="auto"/>
              </w:rPr>
              <w:t>Form 10-Q filed with the Securities and Exchange Commission on November 13, 2014.</w:t>
            </w:r>
          </w:p>
        </w:tc>
      </w:tr>
      <w:tr>
        <w:trPr>
          <w:trHeight w:val="338"/>
        </w:trPr>
        <w:tc>
          <w:tcPr>
            <w:tcW w:w="86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(c)</w:t>
            </w:r>
          </w:p>
        </w:tc>
        <w:tc>
          <w:tcPr>
            <w:tcW w:w="9760" w:type="dxa"/>
            <w:vAlign w:val="bottom"/>
          </w:tcPr>
          <w:p>
            <w:pPr>
              <w:ind w:left="240"/>
              <w:spacing w:after="0"/>
              <w:rPr>
                <w:sz w:val="20"/>
                <w:szCs w:val="20"/>
                <w:color w:val="auto"/>
              </w:rPr>
            </w:pPr>
            <w:r>
              <w:rPr>
                <w:rFonts w:ascii="Arial" w:cs="Arial" w:eastAsia="Arial" w:hAnsi="Arial"/>
                <w:sz w:val="18"/>
                <w:szCs w:val="18"/>
                <w:color w:val="auto"/>
              </w:rPr>
              <w:t>Mr. Radoff may direct the vote and disposition of 950,000 shares of Common Stock.</w:t>
            </w:r>
          </w:p>
        </w:tc>
      </w:tr>
      <w:tr>
        <w:trPr>
          <w:trHeight w:val="581"/>
        </w:trPr>
        <w:tc>
          <w:tcPr>
            <w:tcW w:w="8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480" w:type="dxa"/>
            <w:vAlign w:val="bottom"/>
            <w:gridSpan w:val="2"/>
          </w:tcPr>
          <w:p>
            <w:pPr>
              <w:ind w:left="28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310"/>
        </w:trPr>
        <w:tc>
          <w:tcPr>
            <w:tcW w:w="860" w:type="dxa"/>
            <w:vAlign w:val="bottom"/>
          </w:tcPr>
          <w:p>
            <w:pPr>
              <w:spacing w:after="0"/>
              <w:rPr>
                <w:sz w:val="24"/>
                <w:szCs w:val="24"/>
                <w:color w:val="auto"/>
              </w:rPr>
            </w:pPr>
          </w:p>
        </w:tc>
        <w:tc>
          <w:tcPr>
            <w:tcW w:w="10480" w:type="dxa"/>
            <w:vAlign w:val="bottom"/>
            <w:gridSpan w:val="2"/>
          </w:tcPr>
          <w:p>
            <w:pPr>
              <w:ind w:left="280"/>
              <w:spacing w:after="0"/>
              <w:rPr>
                <w:sz w:val="20"/>
                <w:szCs w:val="20"/>
                <w:color w:val="auto"/>
              </w:rPr>
            </w:pPr>
            <w:r>
              <w:rPr>
                <w:rFonts w:ascii="Arial" w:cs="Arial" w:eastAsia="Arial" w:hAnsi="Arial"/>
                <w:sz w:val="18"/>
                <w:szCs w:val="18"/>
                <w:color w:val="auto"/>
                <w:w w:val="92"/>
              </w:rPr>
              <w:t>If this statement is being filed to report the fact that as of the date hereof the Reporting Persons have ceased to be the beneficial owners of</w:t>
            </w:r>
          </w:p>
        </w:tc>
      </w:tr>
      <w:tr>
        <w:trPr>
          <w:trHeight w:val="230"/>
        </w:trPr>
        <w:tc>
          <w:tcPr>
            <w:tcW w:w="860" w:type="dxa"/>
            <w:vAlign w:val="bottom"/>
          </w:tcPr>
          <w:p>
            <w:pPr>
              <w:spacing w:after="0"/>
              <w:rPr>
                <w:sz w:val="20"/>
                <w:szCs w:val="20"/>
                <w:color w:val="auto"/>
              </w:rPr>
            </w:pPr>
          </w:p>
        </w:tc>
        <w:tc>
          <w:tcPr>
            <w:tcW w:w="10480" w:type="dxa"/>
            <w:vAlign w:val="bottom"/>
            <w:gridSpan w:val="2"/>
          </w:tcPr>
          <w:p>
            <w:pPr>
              <w:ind w:left="280"/>
              <w:spacing w:after="0"/>
              <w:rPr>
                <w:sz w:val="20"/>
                <w:szCs w:val="20"/>
                <w:color w:val="auto"/>
              </w:rPr>
            </w:pPr>
            <w:r>
              <w:rPr>
                <w:rFonts w:ascii="Arial" w:cs="Arial" w:eastAsia="Arial" w:hAnsi="Arial"/>
                <w:sz w:val="18"/>
                <w:szCs w:val="18"/>
                <w:color w:val="auto"/>
              </w:rPr>
              <w:t>more than five percent of the class of securities, check the following [X].</w:t>
            </w:r>
          </w:p>
        </w:tc>
      </w:tr>
      <w:tr>
        <w:trPr>
          <w:trHeight w:val="581"/>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80" w:type="dxa"/>
            <w:vAlign w:val="bottom"/>
            <w:gridSpan w:val="2"/>
          </w:tcPr>
          <w:p>
            <w:pPr>
              <w:ind w:left="28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324"/>
        </w:trPr>
        <w:tc>
          <w:tcPr>
            <w:tcW w:w="860" w:type="dxa"/>
            <w:vAlign w:val="bottom"/>
          </w:tcPr>
          <w:p>
            <w:pPr>
              <w:spacing w:after="0"/>
              <w:rPr>
                <w:sz w:val="24"/>
                <w:szCs w:val="24"/>
                <w:color w:val="auto"/>
              </w:rPr>
            </w:pPr>
          </w:p>
        </w:tc>
        <w:tc>
          <w:tcPr>
            <w:tcW w:w="10480" w:type="dxa"/>
            <w:vAlign w:val="bottom"/>
            <w:gridSpan w:val="2"/>
          </w:tcPr>
          <w:p>
            <w:pPr>
              <w:ind w:left="280"/>
              <w:spacing w:after="0"/>
              <w:rPr>
                <w:sz w:val="20"/>
                <w:szCs w:val="20"/>
                <w:color w:val="auto"/>
              </w:rPr>
            </w:pPr>
            <w:r>
              <w:rPr>
                <w:rFonts w:ascii="Arial" w:cs="Arial" w:eastAsia="Arial" w:hAnsi="Arial"/>
                <w:sz w:val="18"/>
                <w:szCs w:val="18"/>
                <w:color w:val="auto"/>
              </w:rPr>
              <w:t>Inapplicable.</w:t>
            </w:r>
          </w:p>
        </w:tc>
      </w:tr>
      <w:tr>
        <w:trPr>
          <w:trHeight w:val="459"/>
        </w:trPr>
        <w:tc>
          <w:tcPr>
            <w:tcW w:w="86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480" w:type="dxa"/>
            <w:vAlign w:val="bottom"/>
            <w:gridSpan w:val="2"/>
          </w:tcPr>
          <w:p>
            <w:pPr>
              <w:ind w:left="280"/>
              <w:spacing w:after="0"/>
              <w:rPr>
                <w:sz w:val="20"/>
                <w:szCs w:val="20"/>
                <w:color w:val="auto"/>
              </w:rPr>
            </w:pPr>
            <w:r>
              <w:rPr>
                <w:rFonts w:ascii="Arial" w:cs="Arial" w:eastAsia="Arial" w:hAnsi="Arial"/>
                <w:sz w:val="18"/>
                <w:szCs w:val="18"/>
                <w:b w:val="1"/>
                <w:bCs w:val="1"/>
                <w:color w:val="auto"/>
                <w:w w:val="90"/>
              </w:rPr>
              <w:t>Identification and Classification of the Subsidiary which Acquired the Security Being Reported On by the Parent Holding Company.</w:t>
            </w:r>
          </w:p>
        </w:tc>
      </w:tr>
      <w:tr>
        <w:trPr>
          <w:trHeight w:val="324"/>
        </w:trPr>
        <w:tc>
          <w:tcPr>
            <w:tcW w:w="860" w:type="dxa"/>
            <w:vAlign w:val="bottom"/>
          </w:tcPr>
          <w:p>
            <w:pPr>
              <w:spacing w:after="0"/>
              <w:rPr>
                <w:sz w:val="24"/>
                <w:szCs w:val="24"/>
                <w:color w:val="auto"/>
              </w:rPr>
            </w:pPr>
          </w:p>
        </w:tc>
        <w:tc>
          <w:tcPr>
            <w:tcW w:w="10480" w:type="dxa"/>
            <w:vAlign w:val="bottom"/>
            <w:gridSpan w:val="2"/>
          </w:tcPr>
          <w:p>
            <w:pPr>
              <w:ind w:left="280"/>
              <w:spacing w:after="0"/>
              <w:rPr>
                <w:sz w:val="20"/>
                <w:szCs w:val="20"/>
                <w:color w:val="auto"/>
              </w:rPr>
            </w:pPr>
            <w:r>
              <w:rPr>
                <w:rFonts w:ascii="Arial" w:cs="Arial" w:eastAsia="Arial" w:hAnsi="Arial"/>
                <w:sz w:val="18"/>
                <w:szCs w:val="18"/>
                <w:color w:val="auto"/>
              </w:rPr>
              <w:t>Inapplicable.</w:t>
            </w:r>
          </w:p>
        </w:tc>
      </w:tr>
      <w:tr>
        <w:trPr>
          <w:trHeight w:val="581"/>
        </w:trPr>
        <w:tc>
          <w:tcPr>
            <w:tcW w:w="8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480" w:type="dxa"/>
            <w:vAlign w:val="bottom"/>
            <w:gridSpan w:val="2"/>
          </w:tcPr>
          <w:p>
            <w:pPr>
              <w:ind w:left="28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324"/>
        </w:trPr>
        <w:tc>
          <w:tcPr>
            <w:tcW w:w="860" w:type="dxa"/>
            <w:vAlign w:val="bottom"/>
          </w:tcPr>
          <w:p>
            <w:pPr>
              <w:spacing w:after="0"/>
              <w:rPr>
                <w:sz w:val="24"/>
                <w:szCs w:val="24"/>
                <w:color w:val="auto"/>
              </w:rPr>
            </w:pPr>
          </w:p>
        </w:tc>
        <w:tc>
          <w:tcPr>
            <w:tcW w:w="10480" w:type="dxa"/>
            <w:vAlign w:val="bottom"/>
            <w:gridSpan w:val="2"/>
          </w:tcPr>
          <w:p>
            <w:pPr>
              <w:ind w:left="280"/>
              <w:spacing w:after="0"/>
              <w:rPr>
                <w:sz w:val="20"/>
                <w:szCs w:val="20"/>
                <w:color w:val="auto"/>
              </w:rPr>
            </w:pPr>
            <w:r>
              <w:rPr>
                <w:rFonts w:ascii="Arial" w:cs="Arial" w:eastAsia="Arial" w:hAnsi="Arial"/>
                <w:sz w:val="18"/>
                <w:szCs w:val="18"/>
                <w:color w:val="auto"/>
              </w:rPr>
              <w:t>Inapplicable.</w:t>
            </w:r>
          </w:p>
        </w:tc>
      </w:tr>
      <w:tr>
        <w:trPr>
          <w:trHeight w:val="581"/>
        </w:trPr>
        <w:tc>
          <w:tcPr>
            <w:tcW w:w="8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480" w:type="dxa"/>
            <w:vAlign w:val="bottom"/>
            <w:gridSpan w:val="2"/>
          </w:tcPr>
          <w:p>
            <w:pPr>
              <w:ind w:left="280"/>
              <w:spacing w:after="0"/>
              <w:rPr>
                <w:sz w:val="20"/>
                <w:szCs w:val="20"/>
                <w:color w:val="auto"/>
              </w:rPr>
            </w:pPr>
            <w:r>
              <w:rPr>
                <w:rFonts w:ascii="Arial" w:cs="Arial" w:eastAsia="Arial" w:hAnsi="Arial"/>
                <w:sz w:val="18"/>
                <w:szCs w:val="18"/>
                <w:b w:val="1"/>
                <w:bCs w:val="1"/>
                <w:color w:val="auto"/>
              </w:rPr>
              <w:t>Notice of Dissolution of Group.</w:t>
            </w:r>
          </w:p>
        </w:tc>
      </w:tr>
      <w:tr>
        <w:trPr>
          <w:trHeight w:val="324"/>
        </w:trPr>
        <w:tc>
          <w:tcPr>
            <w:tcW w:w="860" w:type="dxa"/>
            <w:vAlign w:val="bottom"/>
          </w:tcPr>
          <w:p>
            <w:pPr>
              <w:spacing w:after="0"/>
              <w:rPr>
                <w:sz w:val="24"/>
                <w:szCs w:val="24"/>
                <w:color w:val="auto"/>
              </w:rPr>
            </w:pPr>
          </w:p>
        </w:tc>
        <w:tc>
          <w:tcPr>
            <w:tcW w:w="10480" w:type="dxa"/>
            <w:vAlign w:val="bottom"/>
            <w:gridSpan w:val="2"/>
          </w:tcPr>
          <w:p>
            <w:pPr>
              <w:ind w:left="280"/>
              <w:spacing w:after="0"/>
              <w:rPr>
                <w:sz w:val="20"/>
                <w:szCs w:val="20"/>
                <w:color w:val="auto"/>
              </w:rPr>
            </w:pPr>
            <w:r>
              <w:rPr>
                <w:rFonts w:ascii="Arial" w:cs="Arial" w:eastAsia="Arial" w:hAnsi="Arial"/>
                <w:sz w:val="18"/>
                <w:szCs w:val="18"/>
                <w:color w:val="auto"/>
              </w:rPr>
              <w:t>Inapplicable.</w:t>
            </w:r>
          </w:p>
        </w:tc>
      </w:tr>
      <w:tr>
        <w:trPr>
          <w:trHeight w:val="581"/>
        </w:trPr>
        <w:tc>
          <w:tcPr>
            <w:tcW w:w="86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480" w:type="dxa"/>
            <w:vAlign w:val="bottom"/>
            <w:gridSpan w:val="2"/>
          </w:tcPr>
          <w:p>
            <w:pPr>
              <w:ind w:left="280"/>
              <w:spacing w:after="0"/>
              <w:rPr>
                <w:sz w:val="20"/>
                <w:szCs w:val="20"/>
                <w:color w:val="auto"/>
              </w:rPr>
            </w:pPr>
            <w:r>
              <w:rPr>
                <w:rFonts w:ascii="Arial" w:cs="Arial" w:eastAsia="Arial" w:hAnsi="Arial"/>
                <w:sz w:val="18"/>
                <w:szCs w:val="18"/>
                <w:b w:val="1"/>
                <w:bCs w:val="1"/>
                <w:color w:val="auto"/>
              </w:rPr>
              <w:t>Certification.</w:t>
            </w:r>
          </w:p>
        </w:tc>
      </w:tr>
      <w:tr>
        <w:trPr>
          <w:trHeight w:val="324"/>
        </w:trPr>
        <w:tc>
          <w:tcPr>
            <w:tcW w:w="860" w:type="dxa"/>
            <w:vAlign w:val="bottom"/>
          </w:tcPr>
          <w:p>
            <w:pPr>
              <w:spacing w:after="0"/>
              <w:rPr>
                <w:sz w:val="24"/>
                <w:szCs w:val="24"/>
                <w:color w:val="auto"/>
              </w:rPr>
            </w:pPr>
          </w:p>
        </w:tc>
        <w:tc>
          <w:tcPr>
            <w:tcW w:w="10480" w:type="dxa"/>
            <w:vAlign w:val="bottom"/>
            <w:gridSpan w:val="2"/>
          </w:tcPr>
          <w:p>
            <w:pPr>
              <w:ind w:left="280"/>
              <w:spacing w:after="0"/>
              <w:rPr>
                <w:sz w:val="20"/>
                <w:szCs w:val="20"/>
                <w:color w:val="auto"/>
              </w:rPr>
            </w:pPr>
            <w:r>
              <w:rPr>
                <w:rFonts w:ascii="Arial" w:cs="Arial" w:eastAsia="Arial" w:hAnsi="Arial"/>
                <w:sz w:val="18"/>
                <w:szCs w:val="18"/>
                <w:color w:val="auto"/>
                <w:w w:val="91"/>
              </w:rPr>
              <w:t>By signing below I certify that, to the best of my knowledge and belief, the securities referred to above were not acquired and are not held for</w:t>
            </w:r>
          </w:p>
        </w:tc>
      </w:tr>
    </w:tbl>
    <w:p>
      <w:pPr>
        <w:ind w:left="11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purpose of or with the effect of changing or influencing the control of the issuer of the securities and were not acquired and are not held in connection with or as a participant in any transaction having that purpose or effect.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4" w:name="page5"/>
    <w:bookmarkEnd w:id="4"/>
    <w:p>
      <w:pPr>
        <w:jc w:val="center"/>
        <w:ind w:right="-4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February 10,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Bradley Louis Radoff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Bradley Louis Radoff</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w:t>
      </w:r>
    </w:p>
    <w:sectPr>
      <w:pgSz w:w="11900" w:h="16838" w:orient="portrait"/>
      <w:cols w:equalWidth="0" w:num="1">
        <w:col w:w="10920"/>
      </w:cols>
      <w:pgMar w:left="2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2019-12-20T22:07:33Z</dcterms:created>
  <dcterms:modified xsi:type="dcterms:W3CDTF">2019-12-20T22:07:33Z</dcterms:modified>
</cp:coreProperties>
</file>