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6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rPr>
              <w:t>FORM 8-K</w:t>
            </w:r>
          </w:p>
        </w:tc>
        <w:tc>
          <w:tcPr>
            <w:tcW w:w="324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6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w w:val="99"/>
              </w:rPr>
              <w:t>CURRENT REPORT</w:t>
            </w:r>
          </w:p>
        </w:tc>
        <w:tc>
          <w:tcPr>
            <w:tcW w:w="324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97"/>
              </w:rPr>
              <w:t>PURSUANT TO SECTION 13 OR 15(d) OF</w:t>
            </w:r>
          </w:p>
        </w:tc>
        <w:tc>
          <w:tcPr>
            <w:tcW w:w="324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4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5140" w:type="dxa"/>
            <w:vAlign w:val="bottom"/>
            <w:gridSpan w:val="9"/>
          </w:tcPr>
          <w:p>
            <w:pPr>
              <w:jc w:val="center"/>
              <w:ind w:left="110"/>
              <w:spacing w:after="0"/>
              <w:rPr>
                <w:sz w:val="20"/>
                <w:szCs w:val="20"/>
                <w:color w:val="auto"/>
              </w:rPr>
            </w:pPr>
            <w:r>
              <w:rPr>
                <w:rFonts w:ascii="Arial" w:cs="Arial" w:eastAsia="Arial" w:hAnsi="Arial"/>
                <w:sz w:val="18"/>
                <w:szCs w:val="18"/>
                <w:color w:val="auto"/>
                <w:w w:val="90"/>
              </w:rPr>
              <w:t>Date of Report (Date of earliest event reported): November 7, 2018</w:t>
            </w:r>
          </w:p>
        </w:tc>
        <w:tc>
          <w:tcPr>
            <w:tcW w:w="3240" w:type="dxa"/>
            <w:vAlign w:val="bottom"/>
          </w:tcPr>
          <w:p>
            <w:pPr>
              <w:spacing w:after="0"/>
              <w:rPr>
                <w:sz w:val="24"/>
                <w:szCs w:val="24"/>
                <w:color w:val="auto"/>
              </w:rPr>
            </w:pPr>
          </w:p>
        </w:tc>
      </w:tr>
      <w:tr>
        <w:trPr>
          <w:trHeight w:val="392"/>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60" w:type="dxa"/>
            <w:vAlign w:val="bottom"/>
            <w:gridSpan w:val="3"/>
          </w:tcPr>
          <w:p>
            <w:pPr>
              <w:spacing w:after="0"/>
              <w:rPr>
                <w:sz w:val="24"/>
                <w:szCs w:val="24"/>
                <w:color w:val="auto"/>
              </w:rPr>
            </w:pPr>
          </w:p>
        </w:tc>
        <w:tc>
          <w:tcPr>
            <w:tcW w:w="3240" w:type="dxa"/>
            <w:vAlign w:val="bottom"/>
          </w:tcPr>
          <w:p>
            <w:pPr>
              <w:spacing w:after="0"/>
              <w:rPr>
                <w:sz w:val="24"/>
                <w:szCs w:val="24"/>
                <w:color w:val="auto"/>
              </w:rPr>
            </w:pPr>
          </w:p>
        </w:tc>
      </w:tr>
      <w:tr>
        <w:trPr>
          <w:trHeight w:val="237"/>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20" w:type="dxa"/>
            <w:vAlign w:val="bottom"/>
            <w:gridSpan w:val="8"/>
          </w:tcPr>
          <w:p>
            <w:pPr>
              <w:jc w:val="center"/>
              <w:ind w:righ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3240" w:type="dxa"/>
            <w:vAlign w:val="bottom"/>
          </w:tcPr>
          <w:p>
            <w:pPr>
              <w:spacing w:after="0"/>
              <w:rPr>
                <w:sz w:val="20"/>
                <w:szCs w:val="20"/>
                <w:color w:val="auto"/>
              </w:rPr>
            </w:pPr>
          </w:p>
        </w:tc>
      </w:tr>
      <w:tr>
        <w:trPr>
          <w:trHeight w:val="453"/>
        </w:trPr>
        <w:tc>
          <w:tcPr>
            <w:tcW w:w="3040" w:type="dxa"/>
            <w:vAlign w:val="bottom"/>
          </w:tcPr>
          <w:p>
            <w:pPr>
              <w:jc w:val="center"/>
              <w:ind w:left="550"/>
              <w:spacing w:after="0"/>
              <w:rPr>
                <w:sz w:val="20"/>
                <w:szCs w:val="20"/>
                <w:color w:val="auto"/>
              </w:rPr>
            </w:pPr>
            <w:r>
              <w:rPr>
                <w:rFonts w:ascii="Arial" w:cs="Arial" w:eastAsia="Arial" w:hAnsi="Arial"/>
                <w:sz w:val="18"/>
                <w:szCs w:val="18"/>
                <w:color w:val="auto"/>
                <w:w w:val="90"/>
              </w:rPr>
              <w:t>Nevada</w:t>
            </w:r>
          </w:p>
        </w:tc>
        <w:tc>
          <w:tcPr>
            <w:tcW w:w="3580" w:type="dxa"/>
            <w:vAlign w:val="bottom"/>
            <w:gridSpan w:val="6"/>
          </w:tcPr>
          <w:p>
            <w:pPr>
              <w:jc w:val="center"/>
              <w:ind w:left="171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Pr>
          <w:p>
            <w:pPr>
              <w:jc w:val="center"/>
              <w:ind w:right="310"/>
              <w:spacing w:after="0"/>
              <w:rPr>
                <w:sz w:val="20"/>
                <w:szCs w:val="20"/>
                <w:color w:val="auto"/>
              </w:rPr>
            </w:pPr>
            <w:r>
              <w:rPr>
                <w:rFonts w:ascii="Arial" w:cs="Arial" w:eastAsia="Arial" w:hAnsi="Arial"/>
                <w:sz w:val="18"/>
                <w:szCs w:val="18"/>
                <w:color w:val="auto"/>
                <w:w w:val="91"/>
              </w:rPr>
              <w:t>26-1265381</w:t>
            </w:r>
          </w:p>
        </w:tc>
      </w:tr>
      <w:tr>
        <w:trPr>
          <w:trHeight w:val="202"/>
        </w:trPr>
        <w:tc>
          <w:tcPr>
            <w:tcW w:w="3040" w:type="dxa"/>
            <w:vAlign w:val="bottom"/>
            <w:tcBorders>
              <w:top w:val="single" w:sz="8" w:color="auto"/>
            </w:tcBorders>
          </w:tcPr>
          <w:p>
            <w:pPr>
              <w:jc w:val="center"/>
              <w:ind w:left="550"/>
              <w:spacing w:after="0" w:line="201" w:lineRule="exact"/>
              <w:rPr>
                <w:sz w:val="20"/>
                <w:szCs w:val="20"/>
                <w:color w:val="auto"/>
              </w:rPr>
            </w:pPr>
            <w:r>
              <w:rPr>
                <w:rFonts w:ascii="Arial" w:cs="Arial" w:eastAsia="Arial" w:hAnsi="Arial"/>
                <w:sz w:val="18"/>
                <w:szCs w:val="18"/>
                <w:color w:val="auto"/>
                <w:w w:val="91"/>
              </w:rPr>
              <w:t>(State or other jurisdiction</w:t>
            </w: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jc w:val="center"/>
              <w:ind w:right="31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left="550"/>
              <w:spacing w:after="0"/>
              <w:rPr>
                <w:sz w:val="20"/>
                <w:szCs w:val="20"/>
                <w:color w:val="auto"/>
              </w:rPr>
            </w:pPr>
            <w:r>
              <w:rPr>
                <w:rFonts w:ascii="Arial" w:cs="Arial" w:eastAsia="Arial" w:hAnsi="Arial"/>
                <w:sz w:val="18"/>
                <w:szCs w:val="18"/>
                <w:color w:val="auto"/>
                <w:w w:val="95"/>
              </w:rPr>
              <w:t>of incorporation)</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tcPr>
          <w:p>
            <w:pPr>
              <w:jc w:val="center"/>
              <w:ind w:right="33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80" w:type="dxa"/>
            <w:vAlign w:val="bottom"/>
            <w:gridSpan w:val="10"/>
          </w:tcPr>
          <w:p>
            <w:pPr>
              <w:jc w:val="center"/>
              <w:ind w:right="2560"/>
              <w:spacing w:after="0"/>
              <w:rPr>
                <w:sz w:val="20"/>
                <w:szCs w:val="20"/>
                <w:color w:val="auto"/>
              </w:rPr>
            </w:pPr>
            <w:r>
              <w:rPr>
                <w:rFonts w:ascii="Arial" w:cs="Arial" w:eastAsia="Arial" w:hAnsi="Arial"/>
                <w:sz w:val="18"/>
                <w:szCs w:val="18"/>
                <w:color w:val="auto"/>
                <w:w w:val="90"/>
              </w:rPr>
              <w:t>400 Water Street, Suite 200, Rochester, MI</w:t>
            </w:r>
          </w:p>
        </w:tc>
        <w:tc>
          <w:tcPr>
            <w:tcW w:w="324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3"/>
          </w:tcPr>
          <w:p>
            <w:pPr>
              <w:spacing w:after="0"/>
              <w:rPr>
                <w:sz w:val="20"/>
                <w:szCs w:val="20"/>
                <w:color w:val="auto"/>
              </w:rPr>
            </w:pPr>
          </w:p>
        </w:tc>
        <w:tc>
          <w:tcPr>
            <w:tcW w:w="3240" w:type="dxa"/>
            <w:vAlign w:val="bottom"/>
            <w:tcBorders>
              <w:top w:val="single" w:sz="8" w:color="auto"/>
            </w:tcBorders>
          </w:tcPr>
          <w:p>
            <w:pPr>
              <w:jc w:val="center"/>
              <w:ind w:right="22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426720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570865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7, 2018, we issued a press release about our invitation to ring the Nasdaq Stock Market Closing Bell on Friday, November 16, to commemorate the company’s recent market uplisting.</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8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7,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2018</w:t>
      </w:r>
    </w:p>
    <w:p>
      <w:pPr>
        <w:spacing w:after="0" w:line="200" w:lineRule="exact"/>
        <w:rPr>
          <w:sz w:val="20"/>
          <w:szCs w:val="20"/>
          <w:color w:val="auto"/>
        </w:rPr>
      </w:pP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86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165735</wp:posOffset>
            </wp:positionV>
            <wp:extent cx="215265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to Ring Nasdaq Closing Bell on Friday, November 16</w:t>
      </w:r>
    </w:p>
    <w:p>
      <w:pPr>
        <w:spacing w:after="0" w:line="225"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 xml:space="preserve">ROCHESTER, Mich., (November 7, 2018) — </w:t>
      </w:r>
      <w:r>
        <w:rPr>
          <w:rFonts w:ascii="Arial" w:cs="Arial" w:eastAsia="Arial" w:hAnsi="Arial"/>
          <w:sz w:val="16"/>
          <w:szCs w:val="16"/>
          <w:u w:val="single" w:color="auto"/>
          <w:color w:val="auto"/>
        </w:rPr>
        <w:t>OptimizeRx Corp.</w:t>
      </w:r>
      <w:r>
        <w:rPr>
          <w:rFonts w:ascii="Arial" w:cs="Arial" w:eastAsia="Arial" w:hAnsi="Arial"/>
          <w:sz w:val="16"/>
          <w:szCs w:val="16"/>
          <w:b w:val="1"/>
          <w:bCs w:val="1"/>
          <w:color w:val="auto"/>
        </w:rPr>
        <w:t xml:space="preserve"> </w:t>
      </w:r>
      <w:r>
        <w:rPr>
          <w:rFonts w:ascii="Arial" w:cs="Arial" w:eastAsia="Arial" w:hAnsi="Arial"/>
          <w:sz w:val="16"/>
          <w:szCs w:val="16"/>
          <w:color w:val="auto"/>
        </w:rPr>
        <w:t>(Nasdaq: OPRX), a leading provider of digital health messaging for the 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industry, has been invited to ring the Nasdaq Stock Market Closing Bell on Friday, November 16, to commemorate the company’s recent market uplisting.</w:t>
      </w:r>
    </w:p>
    <w:p>
      <w:pPr>
        <w:spacing w:after="0" w:line="1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honor of the occasion, William Febbo, CEO of OptimizeRx, will ring the closing bell at the Nasdaq Market site in Times Square, where he will be joined by other members of the OptimizeRx team.</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ringing of the closing bell at Nasdaq marks a major milestone for OptimizeRx and highlights the extraordinary growth and profitability we’ve achieved since the company’s founding,” said OptimizeRx CEO, William Febbo. “Amidst the changing health care landscape, we remain committed to our pharma clients, electronic health record partners and providers, employees and shareholders. We maintain our focus on serving the industry and providing the largest point-of-care network that helps improve medication affordability, adherence and care outcomes.”</w:t>
      </w:r>
    </w:p>
    <w:p>
      <w:pPr>
        <w:spacing w:after="0" w:line="171" w:lineRule="exact"/>
        <w:rPr>
          <w:sz w:val="20"/>
          <w:szCs w:val="20"/>
          <w:color w:val="auto"/>
        </w:rPr>
      </w:pPr>
    </w:p>
    <w:p>
      <w:pPr>
        <w:ind w:right="2480"/>
        <w:spacing w:after="0" w:line="277" w:lineRule="auto"/>
        <w:rPr>
          <w:sz w:val="20"/>
          <w:szCs w:val="20"/>
          <w:color w:val="auto"/>
        </w:rPr>
      </w:pPr>
      <w:r>
        <w:rPr>
          <w:rFonts w:ascii="Arial" w:cs="Arial" w:eastAsia="Arial" w:hAnsi="Arial"/>
          <w:sz w:val="18"/>
          <w:szCs w:val="18"/>
          <w:color w:val="auto"/>
        </w:rPr>
        <w:t xml:space="preserve">The event will be broadcasted on major business networks and a live webcast of the Nasdaq Closing Bell can be accessed at </w:t>
      </w:r>
      <w:r>
        <w:rPr>
          <w:rFonts w:ascii="Arial" w:cs="Arial" w:eastAsia="Arial" w:hAnsi="Arial"/>
          <w:sz w:val="18"/>
          <w:szCs w:val="18"/>
          <w:u w:val="single" w:color="auto"/>
          <w:color w:val="auto"/>
        </w:rPr>
        <w:t>https://new.livestream.com/nasdaq/live</w:t>
      </w:r>
      <w:r>
        <w:rPr>
          <w:rFonts w:ascii="Arial" w:cs="Arial" w:eastAsia="Arial" w:hAnsi="Arial"/>
          <w:sz w:val="18"/>
          <w:szCs w:val="18"/>
          <w:color w:val="auto"/>
        </w:rPr>
        <w:t>.</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OptimizeRx recently </w:t>
      </w:r>
      <w:r>
        <w:rPr>
          <w:rFonts w:ascii="Arial" w:cs="Arial" w:eastAsia="Arial" w:hAnsi="Arial"/>
          <w:sz w:val="18"/>
          <w:szCs w:val="18"/>
          <w:u w:val="single" w:color="auto"/>
          <w:color w:val="auto"/>
        </w:rPr>
        <w:t>reported</w:t>
      </w:r>
      <w:r>
        <w:rPr>
          <w:rFonts w:ascii="Arial" w:cs="Arial" w:eastAsia="Arial" w:hAnsi="Arial"/>
          <w:sz w:val="18"/>
          <w:szCs w:val="18"/>
          <w:color w:val="auto"/>
        </w:rPr>
        <w:t xml:space="preserve"> record third quarter of 2018 results, its eighth consecutive quarter of revenue growth and second consecutive quarter of profitability. Net revenue increased 75% to a record $5.4 million, gross margin improved from 58.1 percent to 45.1 percent, and net income of $245,000 or $0.02 per diluted share.</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The company’s recent acquisition of </w:t>
      </w:r>
      <w:r>
        <w:rPr>
          <w:rFonts w:ascii="Arial" w:cs="Arial" w:eastAsia="Arial" w:hAnsi="Arial"/>
          <w:sz w:val="18"/>
          <w:szCs w:val="18"/>
          <w:u w:val="single" w:color="auto"/>
          <w:color w:val="auto"/>
        </w:rPr>
        <w:t>CareSpeak Communications</w:t>
      </w:r>
      <w:r>
        <w:rPr>
          <w:rFonts w:ascii="Arial" w:cs="Arial" w:eastAsia="Arial" w:hAnsi="Arial"/>
          <w:sz w:val="18"/>
          <w:szCs w:val="18"/>
          <w:color w:val="auto"/>
        </w:rPr>
        <w:t xml:space="preserve"> complements and diversifies the company revenue streams by enabling direct communication between pharma and patients, while continuing to scale the existing business of improving communication between pharma and providers at the point of care.</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OptimizeRx management will be available throughout the day to meet individually with shareholders and investors. To request a meeting, please contact OptimizeRx’s investor relations contact Ronald Both of CMA at (949) 432-7557.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about OptimizeRx, please visit </w:t>
      </w:r>
      <w:r>
        <w:rPr>
          <w:rFonts w:ascii="Arial" w:cs="Arial" w:eastAsia="Arial" w:hAnsi="Arial"/>
          <w:sz w:val="18"/>
          <w:szCs w:val="18"/>
          <w:u w:val="single" w:color="auto"/>
          <w:color w:val="auto"/>
        </w:rPr>
        <w:t>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Nasdaq</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Nasdaq is a leading global provider of trading, clearing, exchange technology, listing, information and public company services. Through its diverse portfolio of solutions, Nasdaq enables customers to plan, optimize and execute their business vision with confidence, using proven technologies that provide transparency and insight for navigating today's global capital markets. As the creator of the world's first electronic stock market, its technology powers more than 100 marketplaces in 50 countries, and 1 in 10 of the world's securities transactions. Nasdaq is home to over 4,000 total listings with a market value of approximately $15 trillion. To learn more, visit </w:t>
      </w:r>
      <w:r>
        <w:rPr>
          <w:rFonts w:ascii="Arial" w:cs="Arial" w:eastAsia="Arial" w:hAnsi="Arial"/>
          <w:sz w:val="18"/>
          <w:szCs w:val="18"/>
          <w:u w:val="single" w:color="auto"/>
          <w:color w:val="auto"/>
        </w:rPr>
        <w:t>business.nasdaq.com</w:t>
      </w:r>
      <w:r>
        <w:rPr>
          <w:rFonts w:ascii="Arial" w:cs="Arial" w:eastAsia="Arial" w:hAnsi="Arial"/>
          <w:sz w:val="18"/>
          <w:szCs w:val="18"/>
          <w:color w:val="auto"/>
        </w:rPr>
        <w: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OptimizeRx® (NASDAQ: OPRX) is one of the nation’s leading providers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of the ambulatory patient market with access to these benefits within their workflow at the point-of-care. For more information, follow the company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or visit </w:t>
      </w:r>
      <w:r>
        <w:rPr>
          <w:rFonts w:ascii="Arial" w:cs="Arial" w:eastAsia="Arial" w:hAnsi="Arial"/>
          <w:sz w:val="16"/>
          <w:szCs w:val="16"/>
          <w:u w:val="single" w:color="auto"/>
          <w:color w:val="auto"/>
        </w:rPr>
        <w:t>www.optimizerx.com</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oprx@cma.team</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86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2019-12-28T17:44:37Z</dcterms:created>
  <dcterms:modified xsi:type="dcterms:W3CDTF">2019-12-28T17:44:37Z</dcterms:modified>
</cp:coreProperties>
</file>