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3660" w:right="2120" w:hanging="1523"/>
        <w:spacing w:after="0" w:line="484" w:lineRule="auto"/>
        <w:tabs>
          <w:tab w:leader="none" w:pos="2349"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2020</w:t>
      </w:r>
    </w:p>
    <w:p>
      <w:pPr>
        <w:spacing w:after="0" w:line="29" w:lineRule="exact"/>
        <w:rPr>
          <w:rFonts w:ascii="MS PGothic" w:cs="MS PGothic" w:eastAsia="MS PGothic" w:hAnsi="MS PGothic"/>
          <w:sz w:val="18"/>
          <w:szCs w:val="18"/>
          <w:color w:val="auto"/>
        </w:rPr>
      </w:pPr>
    </w:p>
    <w:p>
      <w:pPr>
        <w:ind w:left="3580" w:right="2420" w:hanging="1154"/>
        <w:spacing w:after="0" w:line="530" w:lineRule="auto"/>
        <w:tabs>
          <w:tab w:leader="none" w:pos="2637" w:val="left"/>
        </w:tabs>
        <w:numPr>
          <w:ilvl w:val="1"/>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13 or 15(d) of the Securities Exchange Act of 1934 For the transition period from ________ to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1367155</wp:posOffset>
            </wp:positionH>
            <wp:positionV relativeFrom="paragraph">
              <wp:posOffset>-1069975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drawing>
          <wp:anchor simplePos="0" relativeHeight="251657728" behindDoc="1" locked="0" layoutInCell="0" allowOverlap="1">
            <wp:simplePos x="0" y="0"/>
            <wp:positionH relativeFrom="column">
              <wp:posOffset>1550670</wp:posOffset>
            </wp:positionH>
            <wp:positionV relativeFrom="paragraph">
              <wp:posOffset>-521335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001-38543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20" w:type="dxa"/>
            <w:vAlign w:val="bottom"/>
          </w:tcPr>
          <w:p>
            <w:pPr>
              <w:ind w:left="2480"/>
              <w:spacing w:after="0"/>
              <w:rPr>
                <w:sz w:val="20"/>
                <w:szCs w:val="20"/>
                <w:color w:val="auto"/>
              </w:rPr>
            </w:pPr>
            <w:r>
              <w:rPr>
                <w:rFonts w:ascii="Arial" w:cs="Arial" w:eastAsia="Arial" w:hAnsi="Arial"/>
                <w:sz w:val="18"/>
                <w:szCs w:val="18"/>
                <w:b w:val="1"/>
                <w:bCs w:val="1"/>
                <w:color w:val="auto"/>
              </w:rPr>
              <w:t>Nevada</w:t>
            </w:r>
          </w:p>
        </w:tc>
        <w:tc>
          <w:tcPr>
            <w:tcW w:w="7220" w:type="dxa"/>
            <w:vAlign w:val="bottom"/>
            <w:gridSpan w:val="7"/>
          </w:tcPr>
          <w:p>
            <w:pPr>
              <w:jc w:val="right"/>
              <w:ind w:right="223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4020" w:type="dxa"/>
            <w:vAlign w:val="bottom"/>
            <w:tcBorders>
              <w:top w:val="single" w:sz="8" w:color="auto"/>
            </w:tcBorders>
          </w:tcPr>
          <w:p>
            <w:pPr>
              <w:ind w:left="1700"/>
              <w:spacing w:after="0" w:line="201" w:lineRule="exact"/>
              <w:rPr>
                <w:sz w:val="20"/>
                <w:szCs w:val="20"/>
                <w:color w:val="auto"/>
              </w:rPr>
            </w:pPr>
            <w:r>
              <w:rPr>
                <w:rFonts w:ascii="Arial" w:cs="Arial" w:eastAsia="Arial" w:hAnsi="Arial"/>
                <w:sz w:val="18"/>
                <w:szCs w:val="18"/>
                <w:color w:val="auto"/>
              </w:rPr>
              <w:t>(State or other jurisdiction of</w:t>
            </w:r>
          </w:p>
        </w:tc>
        <w:tc>
          <w:tcPr>
            <w:tcW w:w="74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840" w:type="dxa"/>
            <w:vAlign w:val="bottom"/>
            <w:tcBorders>
              <w:top w:val="single" w:sz="8" w:color="auto"/>
            </w:tcBorders>
          </w:tcPr>
          <w:p>
            <w:pPr>
              <w:ind w:left="152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4020" w:type="dxa"/>
            <w:vAlign w:val="bottom"/>
          </w:tcPr>
          <w:p>
            <w:pPr>
              <w:ind w:left="1680"/>
              <w:spacing w:after="0"/>
              <w:rPr>
                <w:sz w:val="20"/>
                <w:szCs w:val="20"/>
                <w:color w:val="auto"/>
              </w:rPr>
            </w:pPr>
            <w:r>
              <w:rPr>
                <w:rFonts w:ascii="Arial" w:cs="Arial" w:eastAsia="Arial" w:hAnsi="Arial"/>
                <w:sz w:val="18"/>
                <w:szCs w:val="18"/>
                <w:color w:val="auto"/>
                <w:w w:val="99"/>
              </w:rPr>
              <w:t>incorporation or organization)</w:t>
            </w: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40" w:type="dxa"/>
            <w:vAlign w:val="bottom"/>
          </w:tcPr>
          <w:p>
            <w:pPr>
              <w:jc w:val="center"/>
              <w:ind w:right="570"/>
              <w:spacing w:after="0"/>
              <w:rPr>
                <w:sz w:val="20"/>
                <w:szCs w:val="20"/>
                <w:color w:val="auto"/>
              </w:rPr>
            </w:pPr>
            <w:r>
              <w:rPr>
                <w:rFonts w:ascii="Arial" w:cs="Arial" w:eastAsia="Arial" w:hAnsi="Arial"/>
                <w:sz w:val="18"/>
                <w:szCs w:val="18"/>
                <w:color w:val="auto"/>
                <w:w w:val="95"/>
              </w:rPr>
              <w:t>Identification No.)</w:t>
            </w:r>
          </w:p>
        </w:tc>
      </w:tr>
      <w:tr>
        <w:trPr>
          <w:trHeight w:val="441"/>
        </w:trPr>
        <w:tc>
          <w:tcPr>
            <w:tcW w:w="4020" w:type="dxa"/>
            <w:vAlign w:val="bottom"/>
          </w:tcPr>
          <w:p>
            <w:pPr>
              <w:spacing w:after="0"/>
              <w:rPr>
                <w:sz w:val="24"/>
                <w:szCs w:val="24"/>
                <w:color w:val="auto"/>
              </w:rPr>
            </w:pPr>
          </w:p>
        </w:tc>
        <w:tc>
          <w:tcPr>
            <w:tcW w:w="7220" w:type="dxa"/>
            <w:vAlign w:val="bottom"/>
            <w:gridSpan w:val="7"/>
          </w:tcPr>
          <w:p>
            <w:pPr>
              <w:jc w:val="center"/>
              <w:ind w:right="3930"/>
              <w:spacing w:after="0"/>
              <w:rPr>
                <w:sz w:val="20"/>
                <w:szCs w:val="20"/>
                <w:color w:val="auto"/>
              </w:rPr>
            </w:pPr>
            <w:r>
              <w:rPr>
                <w:rFonts w:ascii="Arial" w:cs="Arial" w:eastAsia="Arial" w:hAnsi="Arial"/>
                <w:sz w:val="18"/>
                <w:szCs w:val="18"/>
                <w:b w:val="1"/>
                <w:bCs w:val="1"/>
                <w:color w:val="auto"/>
                <w:w w:val="90"/>
              </w:rPr>
              <w:t>400 Water Street, Suite 200</w:t>
            </w:r>
          </w:p>
        </w:tc>
      </w:tr>
      <w:tr>
        <w:trPr>
          <w:trHeight w:val="194"/>
        </w:trPr>
        <w:tc>
          <w:tcPr>
            <w:tcW w:w="40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40" w:type="dxa"/>
            <w:vAlign w:val="bottom"/>
            <w:tcBorders>
              <w:bottom w:val="single" w:sz="8" w:color="auto"/>
            </w:tcBorders>
            <w:gridSpan w:val="5"/>
          </w:tcPr>
          <w:p>
            <w:pPr>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4840" w:type="dxa"/>
            <w:vAlign w:val="bottom"/>
          </w:tcPr>
          <w:p>
            <w:pPr>
              <w:spacing w:after="0"/>
              <w:rPr>
                <w:sz w:val="16"/>
                <w:szCs w:val="16"/>
                <w:color w:val="auto"/>
              </w:rPr>
            </w:pPr>
          </w:p>
        </w:tc>
      </w:tr>
      <w:tr>
        <w:trPr>
          <w:trHeight w:val="237"/>
        </w:trPr>
        <w:tc>
          <w:tcPr>
            <w:tcW w:w="4020" w:type="dxa"/>
            <w:vAlign w:val="bottom"/>
          </w:tcPr>
          <w:p>
            <w:pPr>
              <w:spacing w:after="0"/>
              <w:rPr>
                <w:sz w:val="20"/>
                <w:szCs w:val="20"/>
                <w:color w:val="auto"/>
              </w:rPr>
            </w:pPr>
          </w:p>
        </w:tc>
        <w:tc>
          <w:tcPr>
            <w:tcW w:w="7220" w:type="dxa"/>
            <w:vAlign w:val="bottom"/>
            <w:gridSpan w:val="7"/>
          </w:tcPr>
          <w:p>
            <w:pPr>
              <w:jc w:val="center"/>
              <w:ind w:right="3910"/>
              <w:spacing w:after="0"/>
              <w:rPr>
                <w:sz w:val="20"/>
                <w:szCs w:val="20"/>
                <w:color w:val="auto"/>
              </w:rPr>
            </w:pPr>
            <w:r>
              <w:rPr>
                <w:rFonts w:ascii="Arial" w:cs="Arial" w:eastAsia="Arial" w:hAnsi="Arial"/>
                <w:sz w:val="18"/>
                <w:szCs w:val="18"/>
                <w:color w:val="auto"/>
                <w:w w:val="92"/>
              </w:rPr>
              <w:t>(Address of principal executive offices)</w:t>
            </w:r>
          </w:p>
        </w:tc>
      </w:tr>
      <w:tr>
        <w:trPr>
          <w:trHeight w:val="418"/>
        </w:trPr>
        <w:tc>
          <w:tcPr>
            <w:tcW w:w="4020" w:type="dxa"/>
            <w:vAlign w:val="bottom"/>
          </w:tcPr>
          <w:p>
            <w:pPr>
              <w:spacing w:after="0"/>
              <w:rPr>
                <w:sz w:val="24"/>
                <w:szCs w:val="24"/>
                <w:color w:val="auto"/>
              </w:rPr>
            </w:pPr>
          </w:p>
        </w:tc>
        <w:tc>
          <w:tcPr>
            <w:tcW w:w="2120" w:type="dxa"/>
            <w:vAlign w:val="bottom"/>
            <w:gridSpan w:val="5"/>
          </w:tcPr>
          <w:p>
            <w:pPr>
              <w:jc w:val="center"/>
              <w:ind w:left="1010"/>
              <w:spacing w:after="0"/>
              <w:rPr>
                <w:sz w:val="20"/>
                <w:szCs w:val="20"/>
                <w:color w:val="auto"/>
              </w:rPr>
            </w:pPr>
            <w:r>
              <w:rPr>
                <w:rFonts w:ascii="Arial" w:cs="Arial" w:eastAsia="Arial" w:hAnsi="Arial"/>
                <w:sz w:val="18"/>
                <w:szCs w:val="18"/>
                <w:b w:val="1"/>
                <w:bCs w:val="1"/>
                <w:color w:val="auto"/>
                <w:w w:val="90"/>
              </w:rPr>
              <w:t>248-651-6568</w:t>
            </w:r>
          </w:p>
        </w:tc>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20"/>
        </w:trPr>
        <w:tc>
          <w:tcPr>
            <w:tcW w:w="40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r>
      <w:tr>
        <w:trPr>
          <w:trHeight w:val="237"/>
        </w:trPr>
        <w:tc>
          <w:tcPr>
            <w:tcW w:w="4020" w:type="dxa"/>
            <w:vAlign w:val="bottom"/>
          </w:tcPr>
          <w:p>
            <w:pPr>
              <w:spacing w:after="0"/>
              <w:rPr>
                <w:sz w:val="20"/>
                <w:szCs w:val="20"/>
                <w:color w:val="auto"/>
              </w:rPr>
            </w:pPr>
          </w:p>
        </w:tc>
        <w:tc>
          <w:tcPr>
            <w:tcW w:w="7220" w:type="dxa"/>
            <w:vAlign w:val="bottom"/>
            <w:gridSpan w:val="7"/>
          </w:tcPr>
          <w:p>
            <w:pPr>
              <w:jc w:val="center"/>
              <w:ind w:right="3930"/>
              <w:spacing w:after="0"/>
              <w:rPr>
                <w:sz w:val="20"/>
                <w:szCs w:val="20"/>
                <w:color w:val="auto"/>
              </w:rPr>
            </w:pPr>
            <w:r>
              <w:rPr>
                <w:rFonts w:ascii="Arial" w:cs="Arial" w:eastAsia="Arial" w:hAnsi="Arial"/>
                <w:sz w:val="18"/>
                <w:szCs w:val="18"/>
                <w:color w:val="auto"/>
                <w:w w:val="90"/>
              </w:rPr>
              <w:t>(Registrant’s telephone number)</w:t>
            </w:r>
          </w:p>
        </w:tc>
      </w:tr>
    </w:tbl>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229.405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 reporting company,” and “emerging growth company” in Rule 12b-2 of the Exchange Act.</w:t>
      </w:r>
    </w:p>
    <w:p>
      <w:pPr>
        <w:sectPr>
          <w:pgSz w:w="11900" w:h="16838" w:orient="portrait"/>
          <w:cols w:equalWidth="0" w:num="1">
            <w:col w:w="11240"/>
          </w:cols>
          <w:pgMar w:left="320" w:top="567" w:right="339" w:bottom="1440" w:gutter="0" w:footer="0" w:header="0"/>
        </w:sectPr>
      </w:pPr>
    </w:p>
    <w:p>
      <w:pPr>
        <w:spacing w:after="0" w:line="151"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w:t>
      </w:r>
    </w:p>
    <w:p>
      <w:pPr>
        <w:spacing w:after="0" w:line="200" w:lineRule="exact"/>
        <w:rPr>
          <w:sz w:val="24"/>
          <w:szCs w:val="24"/>
          <w:color w:val="auto"/>
        </w:rPr>
      </w:pPr>
    </w:p>
    <w:p>
      <w:pPr>
        <w:sectPr>
          <w:pgSz w:w="11900" w:h="16838" w:orient="portrait"/>
          <w:cols w:equalWidth="0" w:num="2">
            <w:col w:w="4900" w:space="720"/>
            <w:col w:w="5620"/>
          </w:cols>
          <w:pgMar w:left="320" w:top="567" w:right="339" w:bottom="1440" w:gutter="0" w:footer="0" w:header="0"/>
          <w:type w:val="continuous"/>
        </w:sectPr>
      </w:pPr>
    </w:p>
    <w:p>
      <w:pPr>
        <w:spacing w:after="0" w:line="32"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196"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6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15,108,646 common shares as of November 5, 2020.</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30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Stock</w:t>
            </w:r>
          </w:p>
        </w:tc>
        <w:tc>
          <w:tcPr>
            <w:tcW w:w="120" w:type="dxa"/>
            <w:vAlign w:val="bottom"/>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tcPr>
          <w:p>
            <w:pPr>
              <w:jc w:val="center"/>
              <w:ind w:right="770"/>
              <w:spacing w:after="0"/>
              <w:rPr>
                <w:sz w:val="20"/>
                <w:szCs w:val="20"/>
                <w:color w:val="auto"/>
              </w:rPr>
            </w:pPr>
            <w:r>
              <w:rPr>
                <w:rFonts w:ascii="Arial" w:cs="Arial" w:eastAsia="Arial" w:hAnsi="Arial"/>
                <w:sz w:val="18"/>
                <w:szCs w:val="18"/>
                <w:color w:val="auto"/>
                <w:w w:val="93"/>
              </w:rPr>
              <w:t>OPRX</w:t>
            </w:r>
          </w:p>
        </w:tc>
        <w:tc>
          <w:tcPr>
            <w:tcW w:w="1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56"/>
        </w:trPr>
        <w:tc>
          <w:tcPr>
            <w:tcW w:w="36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0" w:type="dxa"/>
            <w:vAlign w:val="bottom"/>
            <w:tcBorders>
              <w:bottom w:val="single" w:sz="8" w:color="auto"/>
            </w:tcBorders>
          </w:tcPr>
          <w:p>
            <w:pPr>
              <w:spacing w:after="0"/>
              <w:rPr>
                <w:sz w:val="22"/>
                <w:szCs w:val="22"/>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01"/>
        </w:trPr>
        <w:tc>
          <w:tcPr>
            <w:tcW w:w="3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67" w:right="3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93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8"/>
              </w:rPr>
              <w:t>TABLE OF CONTENTS</w:t>
            </w:r>
          </w:p>
        </w:tc>
        <w:tc>
          <w:tcPr>
            <w:tcW w:w="1000" w:type="dxa"/>
            <w:vAlign w:val="bottom"/>
          </w:tcPr>
          <w:p>
            <w:pPr>
              <w:spacing w:after="0"/>
              <w:rPr>
                <w:sz w:val="17"/>
                <w:szCs w:val="17"/>
                <w:color w:val="auto"/>
              </w:rPr>
            </w:pPr>
          </w:p>
        </w:tc>
      </w:tr>
      <w:tr>
        <w:trPr>
          <w:trHeight w:val="459"/>
        </w:trPr>
        <w:tc>
          <w:tcPr>
            <w:tcW w:w="9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Page</w:t>
            </w:r>
          </w:p>
        </w:tc>
      </w:tr>
      <w:tr>
        <w:trPr>
          <w:trHeight w:val="432"/>
        </w:trPr>
        <w:tc>
          <w:tcPr>
            <w:tcW w:w="900" w:type="dxa"/>
            <w:vAlign w:val="bottom"/>
          </w:tcPr>
          <w:p>
            <w:pPr>
              <w:spacing w:after="0"/>
              <w:rPr>
                <w:sz w:val="24"/>
                <w:szCs w:val="24"/>
                <w:color w:val="auto"/>
              </w:rPr>
            </w:pPr>
          </w:p>
        </w:tc>
        <w:tc>
          <w:tcPr>
            <w:tcW w:w="9340" w:type="dxa"/>
            <w:vAlign w:val="bottom"/>
            <w:gridSpan w:val="3"/>
          </w:tcPr>
          <w:p>
            <w:pPr>
              <w:jc w:val="center"/>
              <w:ind w:left="5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1000" w:type="dxa"/>
            <w:vAlign w:val="bottom"/>
          </w:tcPr>
          <w:p>
            <w:pPr>
              <w:spacing w:after="0"/>
              <w:rPr>
                <w:sz w:val="24"/>
                <w:szCs w:val="24"/>
                <w:color w:val="auto"/>
              </w:rPr>
            </w:pPr>
          </w:p>
        </w:tc>
      </w:tr>
      <w:tr>
        <w:trPr>
          <w:trHeight w:val="418"/>
        </w:trPr>
        <w:tc>
          <w:tcPr>
            <w:tcW w:w="900" w:type="dxa"/>
            <w:vAlign w:val="bottom"/>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 (unaudited)</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Item 2:</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Management’s Discussion and Analysis of Financial Condition and Results of Operations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3:</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Quantitative and Qualitative Disclosures About Market Risk</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30"/>
        </w:trPr>
        <w:tc>
          <w:tcPr>
            <w:tcW w:w="900" w:type="dxa"/>
            <w:vAlign w:val="bottom"/>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Item 4:</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Controls and Procedures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432"/>
        </w:trPr>
        <w:tc>
          <w:tcPr>
            <w:tcW w:w="900" w:type="dxa"/>
            <w:vAlign w:val="bottom"/>
          </w:tcPr>
          <w:p>
            <w:pPr>
              <w:spacing w:after="0"/>
              <w:rPr>
                <w:sz w:val="24"/>
                <w:szCs w:val="24"/>
                <w:color w:val="auto"/>
              </w:rPr>
            </w:pPr>
          </w:p>
        </w:tc>
        <w:tc>
          <w:tcPr>
            <w:tcW w:w="9340" w:type="dxa"/>
            <w:vAlign w:val="bottom"/>
            <w:gridSpan w:val="3"/>
          </w:tcPr>
          <w:p>
            <w:pPr>
              <w:jc w:val="center"/>
              <w:ind w:left="50"/>
              <w:spacing w:after="0"/>
              <w:rPr>
                <w:rFonts w:ascii="Arial" w:cs="Arial" w:eastAsia="Arial" w:hAnsi="Arial"/>
                <w:sz w:val="18"/>
                <w:szCs w:val="18"/>
                <w:b w:val="1"/>
                <w:bCs w:val="1"/>
                <w:u w:val="single" w:color="auto"/>
                <w:color w:val="0000EE"/>
              </w:rPr>
            </w:pPr>
            <w:hyperlink w:anchor="page21">
              <w:r>
                <w:rPr>
                  <w:rFonts w:ascii="Arial" w:cs="Arial" w:eastAsia="Arial" w:hAnsi="Arial"/>
                  <w:sz w:val="18"/>
                  <w:szCs w:val="18"/>
                  <w:b w:val="1"/>
                  <w:bCs w:val="1"/>
                  <w:u w:val="single" w:color="auto"/>
                  <w:color w:val="0000EE"/>
                </w:rPr>
                <w:t>PART II – OTHER INFORMATION</w:t>
              </w:r>
            </w:hyperlink>
          </w:p>
        </w:tc>
        <w:tc>
          <w:tcPr>
            <w:tcW w:w="1000" w:type="dxa"/>
            <w:vAlign w:val="bottom"/>
          </w:tcPr>
          <w:p>
            <w:pPr>
              <w:spacing w:after="0"/>
              <w:rPr>
                <w:sz w:val="24"/>
                <w:szCs w:val="24"/>
                <w:color w:val="auto"/>
              </w:rPr>
            </w:pPr>
          </w:p>
        </w:tc>
      </w:tr>
      <w:tr>
        <w:trPr>
          <w:trHeight w:val="418"/>
        </w:trPr>
        <w:tc>
          <w:tcPr>
            <w:tcW w:w="9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Legal Proceedings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1A:</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Item 2:</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Unregistered Sales of Equity Securities and Use of Proceeds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3:</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Defaults Upon Senior Securities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4:</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Mine Safety Disclosure</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5:</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Other Information</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900" w:type="dxa"/>
            <w:vAlign w:val="bottom"/>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Item 6:</w:t>
              </w:r>
            </w:hyperlink>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Exhibits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20</w:t>
            </w:r>
          </w:p>
        </w:tc>
      </w:tr>
      <w:tr>
        <w:trPr>
          <w:trHeight w:val="230"/>
        </w:trPr>
        <w:tc>
          <w:tcPr>
            <w:tcW w:w="900" w:type="dxa"/>
            <w:vAlign w:val="bottom"/>
          </w:tcPr>
          <w:p>
            <w:pPr>
              <w:spacing w:after="0"/>
              <w:rPr>
                <w:sz w:val="20"/>
                <w:szCs w:val="20"/>
                <w:color w:val="auto"/>
              </w:rPr>
            </w:pPr>
          </w:p>
        </w:tc>
        <w:tc>
          <w:tcPr>
            <w:tcW w:w="9340" w:type="dxa"/>
            <w:vAlign w:val="bottom"/>
            <w:gridSpan w:val="3"/>
          </w:tcPr>
          <w:p>
            <w:pPr>
              <w:ind w:left="240"/>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Signatures</w:t>
              </w:r>
            </w:hyperlink>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21</w:t>
            </w:r>
          </w:p>
        </w:tc>
      </w:tr>
    </w:tbl>
    <w:p>
      <w:pPr>
        <w:spacing w:after="0" w:line="310"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1" w:lineRule="exact"/>
        <w:rPr>
          <w:sz w:val="20"/>
          <w:szCs w:val="20"/>
          <w:color w:val="auto"/>
        </w:rPr>
      </w:pPr>
    </w:p>
    <w:p>
      <w:pPr>
        <w:jc w:val="center"/>
        <w:ind w:right="10220"/>
        <w:spacing w:after="0"/>
        <w:rPr>
          <w:sz w:val="20"/>
          <w:szCs w:val="20"/>
          <w:color w:val="auto"/>
        </w:rPr>
      </w:pPr>
      <w:r>
        <w:rPr>
          <w:rFonts w:ascii="Arial" w:cs="Arial" w:eastAsia="Arial" w:hAnsi="Arial"/>
          <w:sz w:val="18"/>
          <w:szCs w:val="18"/>
          <w:b w:val="1"/>
          <w:bCs w:val="1"/>
          <w:color w:val="auto"/>
        </w:rPr>
        <w:t>Page</w:t>
      </w:r>
    </w:p>
    <w:p>
      <w:pPr>
        <w:spacing w:after="0" w:line="27" w:lineRule="exact"/>
        <w:rPr>
          <w:sz w:val="20"/>
          <w:szCs w:val="20"/>
          <w:color w:val="auto"/>
        </w:rPr>
      </w:pPr>
    </w:p>
    <w:p>
      <w:pPr>
        <w:jc w:val="center"/>
        <w:ind w:right="102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642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2620" cy="17145"/>
                    </a:xfrm>
                    <a:prstGeom prst="rect">
                      <a:avLst/>
                    </a:prstGeom>
                    <a:noFill/>
                  </pic:spPr>
                </pic:pic>
              </a:graphicData>
            </a:graphic>
          </wp:anchor>
        </w:drawing>
      </w:r>
    </w:p>
    <w:p>
      <w:pPr>
        <w:spacing w:after="0" w:line="2" w:lineRule="exact"/>
        <w:rPr>
          <w:sz w:val="20"/>
          <w:szCs w:val="20"/>
          <w:color w:val="auto"/>
        </w:rPr>
      </w:pPr>
    </w:p>
    <w:p>
      <w:pPr>
        <w:ind w:left="1140" w:hanging="671"/>
        <w:spacing w:after="0"/>
        <w:tabs>
          <w:tab w:leader="none" w:pos="1140" w:val="left"/>
        </w:tabs>
        <w:numPr>
          <w:ilvl w:val="0"/>
          <w:numId w:val="2"/>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Condensed Consolidated Balance Sheets as of September 30, 2020 (unaudited) and December 31, 2019 (unaudited);</w:t>
        </w:r>
      </w:hyperlink>
    </w:p>
    <w:p>
      <w:pPr>
        <w:spacing w:after="0" w:line="23" w:lineRule="exact"/>
        <w:rPr>
          <w:sz w:val="20"/>
          <w:szCs w:val="20"/>
          <w:color w:val="auto"/>
        </w:rPr>
      </w:pPr>
    </w:p>
    <w:p>
      <w:pPr>
        <w:ind w:left="1140" w:hanging="671"/>
        <w:spacing w:after="0"/>
        <w:tabs>
          <w:tab w:leader="none" w:pos="1140" w:val="left"/>
        </w:tabs>
        <w:numPr>
          <w:ilvl w:val="0"/>
          <w:numId w:val="3"/>
        </w:numPr>
        <w:rPr>
          <w:rFonts w:ascii="Arial" w:cs="Arial" w:eastAsia="Arial" w:hAnsi="Arial"/>
          <w:sz w:val="17"/>
          <w:szCs w:val="17"/>
          <w:u w:val="single" w:color="auto"/>
          <w:color w:val="0000EE"/>
        </w:rPr>
      </w:pPr>
      <w:hyperlink w:anchor="page5">
        <w:r>
          <w:rPr>
            <w:rFonts w:ascii="Arial" w:cs="Arial" w:eastAsia="Arial" w:hAnsi="Arial"/>
            <w:sz w:val="17"/>
            <w:szCs w:val="17"/>
            <w:u w:val="single" w:color="auto"/>
            <w:color w:val="0000EE"/>
          </w:rPr>
          <w:t>Condensed Consolidated Statements of Operations for the three and nine months ended September 30, 2020 and 2019 (unaudited);</w:t>
        </w:r>
      </w:hyperlink>
    </w:p>
    <w:p>
      <w:pPr>
        <w:spacing w:after="0" w:line="21" w:lineRule="exact"/>
        <w:rPr>
          <w:sz w:val="20"/>
          <w:szCs w:val="20"/>
          <w:color w:val="auto"/>
        </w:rPr>
      </w:pPr>
    </w:p>
    <w:p>
      <w:pPr>
        <w:ind w:left="1300" w:hanging="831"/>
        <w:spacing w:after="0" w:line="250" w:lineRule="auto"/>
        <w:tabs>
          <w:tab w:leader="none" w:pos="1138" w:val="left"/>
        </w:tabs>
        <w:numPr>
          <w:ilvl w:val="0"/>
          <w:numId w:val="4"/>
        </w:numPr>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Changes in Stockholders’ Equity for the three and nine months ended September 30, 2020</w:t>
        </w:r>
      </w:hyperlink>
      <w:r>
        <w:rPr>
          <w:rFonts w:ascii="Arial" w:cs="Arial" w:eastAsia="Arial" w:hAnsi="Arial"/>
          <w:sz w:val="18"/>
          <w:szCs w:val="18"/>
          <w:u w:val="single" w:color="auto"/>
          <w:color w:val="0000EE"/>
        </w:rPr>
        <w:t xml:space="preserve"> </w:t>
      </w:r>
      <w:hyperlink w:anchor="page6">
        <w:r>
          <w:rPr>
            <w:rFonts w:ascii="Arial" w:cs="Arial" w:eastAsia="Arial" w:hAnsi="Arial"/>
            <w:sz w:val="18"/>
            <w:szCs w:val="18"/>
            <w:u w:val="single" w:color="auto"/>
            <w:color w:val="0000EE"/>
          </w:rPr>
          <w:t>(unaudited)</w:t>
        </w:r>
      </w:hyperlink>
    </w:p>
    <w:p>
      <w:pPr>
        <w:spacing w:after="0" w:line="1" w:lineRule="exact"/>
        <w:rPr>
          <w:rFonts w:ascii="Arial" w:cs="Arial" w:eastAsia="Arial" w:hAnsi="Arial"/>
          <w:sz w:val="18"/>
          <w:szCs w:val="18"/>
          <w:color w:val="auto"/>
        </w:rPr>
      </w:pPr>
    </w:p>
    <w:p>
      <w:pPr>
        <w:ind w:left="1300" w:hanging="831"/>
        <w:spacing w:after="0" w:line="250" w:lineRule="auto"/>
        <w:tabs>
          <w:tab w:leader="none" w:pos="1138" w:val="left"/>
        </w:tabs>
        <w:numPr>
          <w:ilvl w:val="0"/>
          <w:numId w:val="5"/>
        </w:numPr>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Changes in Stockholders’ Equity for the three and nine months ended September 30, 2019</w:t>
        </w:r>
      </w:hyperlink>
      <w:r>
        <w:rPr>
          <w:rFonts w:ascii="Arial" w:cs="Arial" w:eastAsia="Arial" w:hAnsi="Arial"/>
          <w:sz w:val="18"/>
          <w:szCs w:val="18"/>
          <w:u w:val="single" w:color="auto"/>
          <w:color w:val="0000EE"/>
        </w:rPr>
        <w:t xml:space="preserve"> </w:t>
      </w:r>
      <w:hyperlink w:anchor="page7">
        <w:r>
          <w:rPr>
            <w:rFonts w:ascii="Arial" w:cs="Arial" w:eastAsia="Arial" w:hAnsi="Arial"/>
            <w:sz w:val="18"/>
            <w:szCs w:val="18"/>
            <w:u w:val="single" w:color="auto"/>
            <w:color w:val="0000EE"/>
          </w:rPr>
          <w:t>(unaudited)</w:t>
        </w:r>
      </w:hyperlink>
    </w:p>
    <w:p>
      <w:pPr>
        <w:spacing w:after="0" w:line="1" w:lineRule="exact"/>
        <w:rPr>
          <w:rFonts w:ascii="Arial" w:cs="Arial" w:eastAsia="Arial" w:hAnsi="Arial"/>
          <w:sz w:val="18"/>
          <w:szCs w:val="18"/>
          <w:color w:val="auto"/>
        </w:rPr>
      </w:pPr>
    </w:p>
    <w:p>
      <w:pPr>
        <w:ind w:left="1140" w:hanging="671"/>
        <w:spacing w:after="0"/>
        <w:tabs>
          <w:tab w:leader="none" w:pos="1140" w:val="left"/>
        </w:tabs>
        <w:numPr>
          <w:ilvl w:val="0"/>
          <w:numId w:val="6"/>
        </w:numPr>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Cash Flows for the nine months ended September 30, 2020 and 2019 (unaudited);</w:t>
        </w:r>
      </w:hyperlink>
    </w:p>
    <w:p>
      <w:pPr>
        <w:spacing w:after="0" w:line="9" w:lineRule="exact"/>
        <w:rPr>
          <w:rFonts w:ascii="Arial" w:cs="Arial" w:eastAsia="Arial" w:hAnsi="Arial"/>
          <w:sz w:val="18"/>
          <w:szCs w:val="18"/>
          <w:u w:val="single" w:color="auto"/>
          <w:color w:val="0000EE"/>
        </w:rPr>
      </w:pPr>
    </w:p>
    <w:p>
      <w:pPr>
        <w:ind w:left="460"/>
        <w:spacing w:after="0"/>
        <w:rPr>
          <w:rFonts w:ascii="Arial" w:cs="Arial" w:eastAsia="Arial" w:hAnsi="Arial"/>
          <w:sz w:val="16"/>
          <w:szCs w:val="16"/>
          <w:u w:val="single" w:color="auto"/>
          <w:color w:val="0000EE"/>
        </w:rPr>
      </w:pPr>
      <w:r>
        <w:rPr>
          <w:rFonts w:ascii="Arial" w:cs="Arial" w:eastAsia="Arial" w:hAnsi="Arial"/>
          <w:sz w:val="18"/>
          <w:szCs w:val="18"/>
          <w:color w:val="auto"/>
        </w:rPr>
        <w:t>7</w:t>
      </w:r>
      <w:hyperlink w:anchor="page9">
        <w:r>
          <w:rPr>
            <w:rFonts w:ascii="Arial" w:cs="Arial" w:eastAsia="Arial" w:hAnsi="Arial"/>
            <w:sz w:val="16"/>
            <w:szCs w:val="16"/>
            <w:u w:val="single" w:color="auto"/>
            <w:color w:val="0000EE"/>
          </w:rPr>
          <w:t>Notes to Condensed Consolidated Financial Statements (unaudited).</w:t>
        </w:r>
      </w:hyperlink>
    </w:p>
    <w:p>
      <w:pPr>
        <w:spacing w:after="0" w:line="31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Cash and cash equivalents</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Accounts receivable, net</w:t>
      </w:r>
    </w:p>
    <w:p>
      <w:pPr>
        <w:spacing w:after="0" w:line="21" w:lineRule="exact"/>
        <w:rPr>
          <w:sz w:val="20"/>
          <w:szCs w:val="20"/>
          <w:color w:val="auto"/>
        </w:rPr>
      </w:pPr>
    </w:p>
    <w:p>
      <w:pPr>
        <w:ind w:right="80" w:firstLine="162"/>
        <w:spacing w:after="0" w:line="298" w:lineRule="auto"/>
        <w:rPr>
          <w:sz w:val="20"/>
          <w:szCs w:val="20"/>
          <w:color w:val="auto"/>
        </w:rPr>
      </w:pPr>
      <w:r>
        <w:rPr>
          <w:rFonts w:ascii="Arial" w:cs="Arial" w:eastAsia="Arial" w:hAnsi="Arial"/>
          <w:sz w:val="17"/>
          <w:szCs w:val="17"/>
          <w:color w:val="auto"/>
        </w:rPr>
        <w:t>Prepaid expenses Total Current Assets Property and equipment, net</w:t>
      </w: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180" w:right="320"/>
        <w:spacing w:after="0" w:line="265" w:lineRule="auto"/>
        <w:rPr>
          <w:sz w:val="20"/>
          <w:szCs w:val="20"/>
          <w:color w:val="auto"/>
        </w:rPr>
      </w:pPr>
      <w:r>
        <w:rPr>
          <w:rFonts w:ascii="Arial" w:cs="Arial" w:eastAsia="Arial" w:hAnsi="Arial"/>
          <w:sz w:val="17"/>
          <w:szCs w:val="17"/>
          <w:color w:val="auto"/>
        </w:rPr>
        <w:t>Technology assets, net Patent rights, net</w:t>
      </w:r>
    </w:p>
    <w:p>
      <w:pPr>
        <w:ind w:left="180"/>
        <w:spacing w:after="0"/>
        <w:rPr>
          <w:sz w:val="20"/>
          <w:szCs w:val="20"/>
          <w:color w:val="auto"/>
        </w:rPr>
      </w:pPr>
      <w:r>
        <w:rPr>
          <w:rFonts w:ascii="Arial" w:cs="Arial" w:eastAsia="Arial" w:hAnsi="Arial"/>
          <w:sz w:val="15"/>
          <w:szCs w:val="15"/>
          <w:color w:val="auto"/>
        </w:rPr>
        <w:t>Other intangible assets, net</w:t>
      </w:r>
    </w:p>
    <w:p>
      <w:pPr>
        <w:spacing w:after="0" w:line="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Right of use assets, net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assets and deposits</w:t>
      </w:r>
    </w:p>
    <w:p>
      <w:pPr>
        <w:spacing w:after="0" w:line="45" w:lineRule="exact"/>
        <w:rPr>
          <w:sz w:val="20"/>
          <w:szCs w:val="20"/>
          <w:color w:val="auto"/>
        </w:rPr>
      </w:pPr>
    </w:p>
    <w:p>
      <w:pPr>
        <w:ind w:right="780"/>
        <w:spacing w:after="0" w:line="377" w:lineRule="auto"/>
        <w:rPr>
          <w:sz w:val="20"/>
          <w:szCs w:val="20"/>
          <w:color w:val="auto"/>
        </w:rPr>
      </w:pPr>
      <w:r>
        <w:rPr>
          <w:rFonts w:ascii="Arial" w:cs="Arial" w:eastAsia="Arial" w:hAnsi="Arial"/>
          <w:sz w:val="16"/>
          <w:szCs w:val="16"/>
          <w:color w:val="auto"/>
        </w:rPr>
        <w:t>Total Other Assets TOTAL ASSETS</w:t>
      </w:r>
    </w:p>
    <w:p>
      <w:pPr>
        <w:spacing w:after="0" w:line="20" w:lineRule="exact"/>
        <w:rPr>
          <w:sz w:val="20"/>
          <w:szCs w:val="20"/>
          <w:color w:val="auto"/>
        </w:rPr>
      </w:pPr>
      <w:r>
        <w:rPr>
          <w:sz w:val="20"/>
          <w:szCs w:val="20"/>
          <w:color w:val="auto"/>
        </w:rPr>
        <w:br w:type="column"/>
      </w:r>
    </w:p>
    <w:p>
      <w:pPr>
        <w:jc w:val="center"/>
        <w:ind w:right="228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22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2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6400"/>
        <w:spacing w:after="0"/>
        <w:tabs>
          <w:tab w:leader="none" w:pos="7720" w:val="left"/>
        </w:tabs>
        <w:rPr>
          <w:sz w:val="20"/>
          <w:szCs w:val="20"/>
          <w:color w:val="auto"/>
        </w:rPr>
      </w:pPr>
      <w:r>
        <w:rPr>
          <w:rFonts w:ascii="Arial" w:cs="Arial" w:eastAsia="Arial" w:hAnsi="Arial"/>
          <w:sz w:val="18"/>
          <w:szCs w:val="18"/>
          <w:b w:val="1"/>
          <w:bCs w:val="1"/>
          <w:color w:val="auto"/>
        </w:rPr>
        <w:t>September 30,</w:t>
      </w:r>
      <w:r>
        <w:rPr>
          <w:sz w:val="20"/>
          <w:szCs w:val="20"/>
          <w:color w:val="auto"/>
        </w:rPr>
        <w:tab/>
      </w:r>
      <w:r>
        <w:rPr>
          <w:rFonts w:ascii="Arial" w:cs="Arial" w:eastAsia="Arial" w:hAnsi="Arial"/>
          <w:sz w:val="15"/>
          <w:szCs w:val="15"/>
          <w:b w:val="1"/>
          <w:bCs w:val="1"/>
          <w:color w:val="auto"/>
        </w:rPr>
        <w:t>December 31,</w:t>
      </w:r>
    </w:p>
    <w:p>
      <w:pPr>
        <w:spacing w:after="0" w:line="27" w:lineRule="exact"/>
        <w:rPr>
          <w:sz w:val="20"/>
          <w:szCs w:val="20"/>
          <w:color w:val="auto"/>
        </w:rPr>
      </w:pPr>
    </w:p>
    <w:p>
      <w:pPr>
        <w:ind w:left="6780"/>
        <w:spacing w:after="0"/>
        <w:tabs>
          <w:tab w:leader="none" w:pos="80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5715</wp:posOffset>
            </wp:positionV>
            <wp:extent cx="15430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ind w:left="1620"/>
        <w:spacing w:after="0"/>
        <w:rPr>
          <w:sz w:val="20"/>
          <w:szCs w:val="20"/>
          <w:color w:val="auto"/>
        </w:rPr>
      </w:pPr>
      <w:r>
        <w:rPr>
          <w:rFonts w:ascii="Arial" w:cs="Arial" w:eastAsia="Arial" w:hAnsi="Arial"/>
          <w:sz w:val="18"/>
          <w:szCs w:val="18"/>
          <w:b w:val="1"/>
          <w:bCs w:val="1"/>
          <w:color w:val="auto"/>
        </w:rPr>
        <w:t>ASSETS</w:t>
      </w:r>
    </w:p>
    <w:p>
      <w:pPr>
        <w:spacing w:after="0" w:line="229" w:lineRule="exact"/>
        <w:rPr>
          <w:sz w:val="20"/>
          <w:szCs w:val="20"/>
          <w:color w:val="auto"/>
        </w:rPr>
      </w:pPr>
    </w:p>
    <w:p>
      <w:pPr>
        <w:jc w:val="both"/>
        <w:ind w:left="6400"/>
        <w:spacing w:after="0"/>
        <w:tabs>
          <w:tab w:leader="none" w:pos="6680" w:val="left"/>
          <w:tab w:leader="none" w:pos="7700" w:val="left"/>
          <w:tab w:leader="none" w:pos="8000" w:val="left"/>
        </w:tabs>
        <w:rPr>
          <w:sz w:val="20"/>
          <w:szCs w:val="20"/>
          <w:color w:val="auto"/>
        </w:rPr>
      </w:pPr>
      <w:r>
        <w:rPr>
          <w:rFonts w:ascii="Arial" w:cs="Arial" w:eastAsia="Arial" w:hAnsi="Arial"/>
          <w:sz w:val="18"/>
          <w:szCs w:val="18"/>
          <w:color w:val="auto"/>
        </w:rPr>
        <w:t>$</w:t>
        <w:tab/>
        <w:t>12,032,538</w:t>
        <w:tab/>
        <w:t>$</w:t>
      </w:r>
      <w:r>
        <w:rPr>
          <w:sz w:val="20"/>
          <w:szCs w:val="20"/>
          <w:color w:val="auto"/>
        </w:rPr>
        <w:tab/>
      </w:r>
      <w:r>
        <w:rPr>
          <w:rFonts w:ascii="Arial" w:cs="Arial" w:eastAsia="Arial" w:hAnsi="Arial"/>
          <w:sz w:val="16"/>
          <w:szCs w:val="16"/>
          <w:color w:val="auto"/>
        </w:rPr>
        <w:t>18,852,680</w:t>
      </w:r>
    </w:p>
    <w:p>
      <w:pPr>
        <w:spacing w:after="0" w:line="23" w:lineRule="exact"/>
        <w:rPr>
          <w:sz w:val="20"/>
          <w:szCs w:val="20"/>
          <w:color w:val="auto"/>
        </w:rPr>
      </w:pPr>
    </w:p>
    <w:p>
      <w:pPr>
        <w:jc w:val="both"/>
        <w:ind w:left="6700"/>
        <w:spacing w:after="0"/>
        <w:tabs>
          <w:tab w:leader="none" w:pos="8100" w:val="left"/>
        </w:tabs>
        <w:rPr>
          <w:sz w:val="20"/>
          <w:szCs w:val="20"/>
          <w:color w:val="auto"/>
        </w:rPr>
      </w:pPr>
      <w:r>
        <w:rPr>
          <w:rFonts w:ascii="Arial" w:cs="Arial" w:eastAsia="Arial" w:hAnsi="Arial"/>
          <w:sz w:val="18"/>
          <w:szCs w:val="18"/>
          <w:color w:val="auto"/>
        </w:rPr>
        <w:t>13,332,552</w:t>
      </w:r>
      <w:r>
        <w:rPr>
          <w:sz w:val="20"/>
          <w:szCs w:val="20"/>
          <w:color w:val="auto"/>
        </w:rPr>
        <w:tab/>
      </w:r>
      <w:r>
        <w:rPr>
          <w:rFonts w:ascii="Arial" w:cs="Arial" w:eastAsia="Arial" w:hAnsi="Arial"/>
          <w:sz w:val="18"/>
          <w:szCs w:val="18"/>
          <w:color w:val="auto"/>
        </w:rPr>
        <w:t>7,418,025</w:t>
      </w:r>
    </w:p>
    <w:p>
      <w:pPr>
        <w:spacing w:after="0" w:line="9" w:lineRule="exact"/>
        <w:rPr>
          <w:sz w:val="20"/>
          <w:szCs w:val="20"/>
          <w:color w:val="auto"/>
        </w:rPr>
      </w:pPr>
    </w:p>
    <w:p>
      <w:pPr>
        <w:jc w:val="both"/>
        <w:ind w:left="6780"/>
        <w:spacing w:after="0"/>
        <w:tabs>
          <w:tab w:leader="none" w:pos="8220" w:val="left"/>
        </w:tabs>
        <w:rPr>
          <w:sz w:val="20"/>
          <w:szCs w:val="20"/>
          <w:color w:val="auto"/>
        </w:rPr>
      </w:pPr>
      <w:r>
        <w:rPr>
          <w:rFonts w:ascii="Arial" w:cs="Arial" w:eastAsia="Arial" w:hAnsi="Arial"/>
          <w:sz w:val="18"/>
          <w:szCs w:val="18"/>
          <w:color w:val="auto"/>
        </w:rPr>
        <w:t>1,867,590</w:t>
      </w:r>
      <w:r>
        <w:rPr>
          <w:sz w:val="20"/>
          <w:szCs w:val="20"/>
          <w:color w:val="auto"/>
        </w:rPr>
        <w:tab/>
      </w:r>
      <w:r>
        <w:rPr>
          <w:rFonts w:ascii="Arial" w:cs="Arial" w:eastAsia="Arial" w:hAnsi="Arial"/>
          <w:sz w:val="18"/>
          <w:szCs w:val="18"/>
          <w:color w:val="auto"/>
        </w:rPr>
        <w:t>871,043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15430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15" w:lineRule="exact"/>
        <w:rPr>
          <w:sz w:val="20"/>
          <w:szCs w:val="20"/>
          <w:color w:val="auto"/>
        </w:rPr>
      </w:pPr>
    </w:p>
    <w:p>
      <w:pPr>
        <w:jc w:val="both"/>
        <w:ind w:left="6700"/>
        <w:spacing w:after="0"/>
        <w:tabs>
          <w:tab w:leader="none" w:pos="8000" w:val="left"/>
        </w:tabs>
        <w:rPr>
          <w:sz w:val="20"/>
          <w:szCs w:val="20"/>
          <w:color w:val="auto"/>
        </w:rPr>
      </w:pPr>
      <w:r>
        <w:rPr>
          <w:rFonts w:ascii="Arial" w:cs="Arial" w:eastAsia="Arial" w:hAnsi="Arial"/>
          <w:sz w:val="18"/>
          <w:szCs w:val="18"/>
          <w:color w:val="auto"/>
        </w:rPr>
        <w:t>27,232,680</w:t>
      </w:r>
      <w:r>
        <w:rPr>
          <w:sz w:val="20"/>
          <w:szCs w:val="20"/>
          <w:color w:val="auto"/>
        </w:rPr>
        <w:tab/>
      </w:r>
      <w:r>
        <w:rPr>
          <w:rFonts w:ascii="Arial" w:cs="Arial" w:eastAsia="Arial" w:hAnsi="Arial"/>
          <w:sz w:val="18"/>
          <w:szCs w:val="18"/>
          <w:color w:val="auto"/>
        </w:rPr>
        <w:t>27,141,748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15430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16" w:lineRule="exact"/>
        <w:rPr>
          <w:sz w:val="20"/>
          <w:szCs w:val="20"/>
          <w:color w:val="auto"/>
        </w:rPr>
      </w:pPr>
    </w:p>
    <w:p>
      <w:pPr>
        <w:jc w:val="both"/>
        <w:ind w:left="6920"/>
        <w:spacing w:after="0"/>
        <w:tabs>
          <w:tab w:leader="none" w:pos="8220" w:val="left"/>
        </w:tabs>
        <w:rPr>
          <w:sz w:val="20"/>
          <w:szCs w:val="20"/>
          <w:color w:val="auto"/>
        </w:rPr>
      </w:pPr>
      <w:r>
        <w:rPr>
          <w:rFonts w:ascii="Arial" w:cs="Arial" w:eastAsia="Arial" w:hAnsi="Arial"/>
          <w:sz w:val="18"/>
          <w:szCs w:val="18"/>
          <w:color w:val="auto"/>
        </w:rPr>
        <w:t>151,809</w:t>
      </w:r>
      <w:r>
        <w:rPr>
          <w:sz w:val="20"/>
          <w:szCs w:val="20"/>
          <w:color w:val="auto"/>
        </w:rPr>
        <w:tab/>
      </w:r>
      <w:r>
        <w:rPr>
          <w:rFonts w:ascii="Arial" w:cs="Arial" w:eastAsia="Arial" w:hAnsi="Arial"/>
          <w:sz w:val="18"/>
          <w:szCs w:val="18"/>
          <w:color w:val="auto"/>
        </w:rPr>
        <w:t>176,014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15430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232" w:lineRule="exact"/>
        <w:rPr>
          <w:sz w:val="20"/>
          <w:szCs w:val="20"/>
          <w:color w:val="auto"/>
        </w:rPr>
      </w:pPr>
    </w:p>
    <w:p>
      <w:pPr>
        <w:jc w:val="both"/>
        <w:ind w:left="6700"/>
        <w:spacing w:after="0"/>
        <w:tabs>
          <w:tab w:leader="none" w:pos="8000" w:val="left"/>
        </w:tabs>
        <w:rPr>
          <w:sz w:val="20"/>
          <w:szCs w:val="20"/>
          <w:color w:val="auto"/>
        </w:rPr>
      </w:pPr>
      <w:r>
        <w:rPr>
          <w:rFonts w:ascii="Arial" w:cs="Arial" w:eastAsia="Arial" w:hAnsi="Arial"/>
          <w:sz w:val="18"/>
          <w:szCs w:val="18"/>
          <w:color w:val="auto"/>
        </w:rPr>
        <w:t>14,740,031</w:t>
      </w:r>
      <w:r>
        <w:rPr>
          <w:sz w:val="20"/>
          <w:szCs w:val="20"/>
          <w:color w:val="auto"/>
        </w:rPr>
        <w:tab/>
      </w:r>
      <w:r>
        <w:rPr>
          <w:rFonts w:ascii="Arial" w:cs="Arial" w:eastAsia="Arial" w:hAnsi="Arial"/>
          <w:sz w:val="18"/>
          <w:szCs w:val="18"/>
          <w:color w:val="auto"/>
        </w:rPr>
        <w:t>14,740,031</w:t>
      </w:r>
    </w:p>
    <w:p>
      <w:pPr>
        <w:spacing w:after="0" w:line="23" w:lineRule="exact"/>
        <w:rPr>
          <w:sz w:val="20"/>
          <w:szCs w:val="20"/>
          <w:color w:val="auto"/>
        </w:rPr>
      </w:pPr>
    </w:p>
    <w:p>
      <w:pPr>
        <w:jc w:val="both"/>
        <w:ind w:left="6780"/>
        <w:spacing w:after="0"/>
        <w:tabs>
          <w:tab w:leader="none" w:pos="8100" w:val="left"/>
        </w:tabs>
        <w:rPr>
          <w:sz w:val="20"/>
          <w:szCs w:val="20"/>
          <w:color w:val="auto"/>
        </w:rPr>
      </w:pPr>
      <w:r>
        <w:rPr>
          <w:rFonts w:ascii="Arial" w:cs="Arial" w:eastAsia="Arial" w:hAnsi="Arial"/>
          <w:sz w:val="18"/>
          <w:szCs w:val="18"/>
          <w:color w:val="auto"/>
        </w:rPr>
        <w:t>5,464,916</w:t>
      </w:r>
      <w:r>
        <w:rPr>
          <w:sz w:val="20"/>
          <w:szCs w:val="20"/>
          <w:color w:val="auto"/>
        </w:rPr>
        <w:tab/>
      </w:r>
      <w:r>
        <w:rPr>
          <w:rFonts w:ascii="Arial" w:cs="Arial" w:eastAsia="Arial" w:hAnsi="Arial"/>
          <w:sz w:val="18"/>
          <w:szCs w:val="18"/>
          <w:color w:val="auto"/>
        </w:rPr>
        <w:t>6,238,453</w:t>
      </w:r>
    </w:p>
    <w:p>
      <w:pPr>
        <w:spacing w:after="0" w:line="9" w:lineRule="exact"/>
        <w:rPr>
          <w:sz w:val="20"/>
          <w:szCs w:val="20"/>
          <w:color w:val="auto"/>
        </w:rPr>
      </w:pPr>
    </w:p>
    <w:p>
      <w:pPr>
        <w:ind w:left="6780"/>
        <w:spacing w:after="0"/>
        <w:tabs>
          <w:tab w:leader="none" w:pos="8100" w:val="left"/>
        </w:tabs>
        <w:rPr>
          <w:sz w:val="20"/>
          <w:szCs w:val="20"/>
          <w:color w:val="auto"/>
        </w:rPr>
      </w:pPr>
      <w:r>
        <w:rPr>
          <w:rFonts w:ascii="Arial" w:cs="Arial" w:eastAsia="Arial" w:hAnsi="Arial"/>
          <w:sz w:val="16"/>
          <w:szCs w:val="16"/>
          <w:color w:val="auto"/>
        </w:rPr>
        <w:t>2,388,320</w:t>
      </w:r>
      <w:r>
        <w:rPr>
          <w:sz w:val="20"/>
          <w:szCs w:val="20"/>
          <w:color w:val="auto"/>
        </w:rPr>
        <w:tab/>
      </w:r>
      <w:r>
        <w:rPr>
          <w:rFonts w:ascii="Arial" w:cs="Arial" w:eastAsia="Arial" w:hAnsi="Arial"/>
          <w:sz w:val="16"/>
          <w:szCs w:val="16"/>
          <w:color w:val="auto"/>
        </w:rPr>
        <w:t>2,550,587</w:t>
      </w:r>
    </w:p>
    <w:p>
      <w:pPr>
        <w:spacing w:after="0" w:line="32" w:lineRule="exact"/>
        <w:rPr>
          <w:sz w:val="20"/>
          <w:szCs w:val="20"/>
          <w:color w:val="auto"/>
        </w:rPr>
      </w:pPr>
    </w:p>
    <w:p>
      <w:pPr>
        <w:jc w:val="both"/>
        <w:ind w:left="6780"/>
        <w:spacing w:after="0"/>
        <w:tabs>
          <w:tab w:leader="none" w:pos="8100" w:val="left"/>
        </w:tabs>
        <w:rPr>
          <w:sz w:val="20"/>
          <w:szCs w:val="20"/>
          <w:color w:val="auto"/>
        </w:rPr>
      </w:pPr>
      <w:r>
        <w:rPr>
          <w:rFonts w:ascii="Arial" w:cs="Arial" w:eastAsia="Arial" w:hAnsi="Arial"/>
          <w:sz w:val="18"/>
          <w:szCs w:val="18"/>
          <w:color w:val="auto"/>
        </w:rPr>
        <w:t>4,677,439</w:t>
      </w:r>
      <w:r>
        <w:rPr>
          <w:sz w:val="20"/>
          <w:szCs w:val="20"/>
          <w:color w:val="auto"/>
        </w:rPr>
        <w:tab/>
      </w:r>
      <w:r>
        <w:rPr>
          <w:rFonts w:ascii="Arial" w:cs="Arial" w:eastAsia="Arial" w:hAnsi="Arial"/>
          <w:sz w:val="18"/>
          <w:szCs w:val="18"/>
          <w:color w:val="auto"/>
        </w:rPr>
        <w:t>5,151,102</w:t>
      </w:r>
    </w:p>
    <w:p>
      <w:pPr>
        <w:spacing w:after="0" w:line="9" w:lineRule="exact"/>
        <w:rPr>
          <w:sz w:val="20"/>
          <w:szCs w:val="20"/>
          <w:color w:val="auto"/>
        </w:rPr>
      </w:pPr>
    </w:p>
    <w:p>
      <w:pPr>
        <w:jc w:val="both"/>
        <w:ind w:left="6920"/>
        <w:spacing w:after="0"/>
        <w:tabs>
          <w:tab w:leader="none" w:pos="8220" w:val="left"/>
        </w:tabs>
        <w:rPr>
          <w:sz w:val="20"/>
          <w:szCs w:val="20"/>
          <w:color w:val="auto"/>
        </w:rPr>
      </w:pPr>
      <w:r>
        <w:rPr>
          <w:rFonts w:ascii="Arial" w:cs="Arial" w:eastAsia="Arial" w:hAnsi="Arial"/>
          <w:sz w:val="18"/>
          <w:szCs w:val="18"/>
          <w:color w:val="auto"/>
        </w:rPr>
        <w:t>474,906</w:t>
      </w:r>
      <w:r>
        <w:rPr>
          <w:sz w:val="20"/>
          <w:szCs w:val="20"/>
          <w:color w:val="auto"/>
        </w:rPr>
        <w:tab/>
      </w:r>
      <w:r>
        <w:rPr>
          <w:rFonts w:ascii="Arial" w:cs="Arial" w:eastAsia="Arial" w:hAnsi="Arial"/>
          <w:sz w:val="18"/>
          <w:szCs w:val="18"/>
          <w:color w:val="auto"/>
        </w:rPr>
        <w:t>559,863</w:t>
      </w:r>
    </w:p>
    <w:p>
      <w:pPr>
        <w:spacing w:after="0" w:line="9" w:lineRule="exact"/>
        <w:rPr>
          <w:sz w:val="20"/>
          <w:szCs w:val="20"/>
          <w:color w:val="auto"/>
        </w:rPr>
      </w:pPr>
    </w:p>
    <w:p>
      <w:pPr>
        <w:jc w:val="both"/>
        <w:ind w:left="7020"/>
        <w:spacing w:after="0"/>
        <w:tabs>
          <w:tab w:leader="none" w:pos="8320" w:val="left"/>
        </w:tabs>
        <w:rPr>
          <w:sz w:val="20"/>
          <w:szCs w:val="20"/>
          <w:color w:val="auto"/>
        </w:rPr>
      </w:pPr>
      <w:r>
        <w:rPr>
          <w:rFonts w:ascii="Arial" w:cs="Arial" w:eastAsia="Arial" w:hAnsi="Arial"/>
          <w:sz w:val="18"/>
          <w:szCs w:val="18"/>
          <w:color w:val="auto"/>
        </w:rPr>
        <w:t>16,013</w:t>
      </w:r>
      <w:r>
        <w:rPr>
          <w:sz w:val="20"/>
          <w:szCs w:val="20"/>
          <w:color w:val="auto"/>
        </w:rPr>
        <w:tab/>
      </w:r>
      <w:r>
        <w:rPr>
          <w:rFonts w:ascii="Arial" w:cs="Arial" w:eastAsia="Arial" w:hAnsi="Arial"/>
          <w:sz w:val="18"/>
          <w:szCs w:val="18"/>
          <w:color w:val="auto"/>
        </w:rPr>
        <w:t>80,727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15430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15" w:lineRule="exact"/>
        <w:rPr>
          <w:sz w:val="20"/>
          <w:szCs w:val="20"/>
          <w:color w:val="auto"/>
        </w:rPr>
      </w:pPr>
    </w:p>
    <w:p>
      <w:pPr>
        <w:jc w:val="both"/>
        <w:ind w:left="6700"/>
        <w:spacing w:after="0"/>
        <w:tabs>
          <w:tab w:leader="none" w:pos="8000" w:val="left"/>
        </w:tabs>
        <w:rPr>
          <w:sz w:val="20"/>
          <w:szCs w:val="20"/>
          <w:color w:val="auto"/>
        </w:rPr>
      </w:pPr>
      <w:r>
        <w:rPr>
          <w:rFonts w:ascii="Arial" w:cs="Arial" w:eastAsia="Arial" w:hAnsi="Arial"/>
          <w:sz w:val="18"/>
          <w:szCs w:val="18"/>
          <w:color w:val="auto"/>
        </w:rPr>
        <w:t>27,761,625</w:t>
      </w:r>
      <w:r>
        <w:rPr>
          <w:sz w:val="20"/>
          <w:szCs w:val="20"/>
          <w:color w:val="auto"/>
        </w:rPr>
        <w:tab/>
      </w:r>
      <w:r>
        <w:rPr>
          <w:rFonts w:ascii="Arial" w:cs="Arial" w:eastAsia="Arial" w:hAnsi="Arial"/>
          <w:sz w:val="18"/>
          <w:szCs w:val="18"/>
          <w:color w:val="auto"/>
        </w:rPr>
        <w:t>29,320,763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14605</wp:posOffset>
            </wp:positionV>
            <wp:extent cx="15430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43" w:lineRule="exact"/>
        <w:rPr>
          <w:sz w:val="20"/>
          <w:szCs w:val="20"/>
          <w:color w:val="auto"/>
        </w:rPr>
      </w:pPr>
    </w:p>
    <w:p>
      <w:pPr>
        <w:jc w:val="both"/>
        <w:ind w:left="6400"/>
        <w:spacing w:after="0"/>
        <w:tabs>
          <w:tab w:leader="none" w:pos="6680" w:val="left"/>
          <w:tab w:leader="none" w:pos="7700" w:val="left"/>
          <w:tab w:leader="none" w:pos="8000" w:val="left"/>
        </w:tabs>
        <w:rPr>
          <w:sz w:val="20"/>
          <w:szCs w:val="20"/>
          <w:color w:val="auto"/>
        </w:rPr>
      </w:pPr>
      <w:r>
        <w:rPr>
          <w:rFonts w:ascii="Arial" w:cs="Arial" w:eastAsia="Arial" w:hAnsi="Arial"/>
          <w:sz w:val="18"/>
          <w:szCs w:val="18"/>
          <w:u w:val="single" w:color="auto"/>
          <w:color w:val="auto"/>
        </w:rPr>
        <w:t>$</w:t>
        <w:tab/>
        <w:t>55,146,114</w:t>
        <w:tab/>
        <w:t>$</w:t>
      </w:r>
      <w:r>
        <w:rPr>
          <w:sz w:val="20"/>
          <w:szCs w:val="20"/>
          <w:color w:val="auto"/>
        </w:rPr>
        <w:tab/>
      </w:r>
      <w:r>
        <w:rPr>
          <w:rFonts w:ascii="Arial" w:cs="Arial" w:eastAsia="Arial" w:hAnsi="Arial"/>
          <w:sz w:val="16"/>
          <w:szCs w:val="16"/>
          <w:u w:val="single" w:color="auto"/>
          <w:color w:val="auto"/>
        </w:rPr>
        <w:t>56,638,525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4065270</wp:posOffset>
            </wp:positionH>
            <wp:positionV relativeFrom="paragraph">
              <wp:posOffset>40640</wp:posOffset>
            </wp:positionV>
            <wp:extent cx="15430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0" cy="1714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LIABILITIES AND STOCKHOLDERS’ EQUITY</w:t>
      </w:r>
    </w:p>
    <w:p>
      <w:pPr>
        <w:spacing w:after="0" w:line="22" w:lineRule="exact"/>
        <w:rPr>
          <w:sz w:val="20"/>
          <w:szCs w:val="20"/>
          <w:color w:val="auto"/>
        </w:rPr>
      </w:pPr>
    </w:p>
    <w:p>
      <w:pPr>
        <w:sectPr>
          <w:pgSz w:w="11900" w:h="16838" w:orient="portrait"/>
          <w:cols w:equalWidth="0" w:num="2">
            <w:col w:w="2120" w:space="180"/>
            <w:col w:w="8900"/>
          </w:cols>
          <w:pgMar w:left="320" w:top="796" w:right="379" w:bottom="1440" w:gutter="0" w:footer="0" w:header="0"/>
        </w:sectPr>
      </w:pPr>
    </w:p>
    <w:tbl>
      <w:tblPr>
        <w:tblLayout w:type="fixed"/>
        <w:tblInd w:w="0" w:type="dxa"/>
        <w:tblCellMar>
          <w:top w:w="0" w:type="dxa"/>
          <w:left w:w="0" w:type="dxa"/>
          <w:bottom w:w="0" w:type="dxa"/>
          <w:right w:w="0" w:type="dxa"/>
        </w:tblCellMar>
      </w:tblPr>
      <w:tr>
        <w:trPr>
          <w:trHeight w:val="207"/>
        </w:trPr>
        <w:tc>
          <w:tcPr>
            <w:tcW w:w="87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480,502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492,995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1,794,019</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1,800,635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3,642,088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1,618,438</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Current portion of lease obligations</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121,583</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115.431</w:t>
            </w:r>
          </w:p>
        </w:tc>
        <w:tc>
          <w:tcPr>
            <w:tcW w:w="4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Current portion of contingent purchase price payable</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1,610,813</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461,277</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580,014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700" w:type="dxa"/>
            <w:vAlign w:val="bottom"/>
          </w:tcPr>
          <w:p>
            <w:pPr>
              <w:ind w:left="180"/>
              <w:spacing w:after="0" w:line="203" w:lineRule="exact"/>
              <w:rPr>
                <w:sz w:val="20"/>
                <w:szCs w:val="20"/>
                <w:color w:val="auto"/>
              </w:rPr>
            </w:pPr>
            <w:r>
              <w:rPr>
                <w:rFonts w:ascii="Arial" w:cs="Arial" w:eastAsia="Arial" w:hAnsi="Arial"/>
                <w:sz w:val="18"/>
                <w:szCs w:val="18"/>
                <w:color w:val="auto"/>
              </w:rPr>
              <w:t>Total 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8,110,282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6,107,513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8700" w:type="dxa"/>
            <w:vAlign w:val="bottom"/>
          </w:tcPr>
          <w:p>
            <w:pPr>
              <w:spacing w:after="0" w:line="201" w:lineRule="exact"/>
              <w:rPr>
                <w:sz w:val="20"/>
                <w:szCs w:val="20"/>
                <w:color w:val="auto"/>
              </w:rPr>
            </w:pPr>
            <w:r>
              <w:rPr>
                <w:rFonts w:ascii="Arial" w:cs="Arial" w:eastAsia="Arial" w:hAnsi="Arial"/>
                <w:sz w:val="18"/>
                <w:szCs w:val="18"/>
                <w:color w:val="auto"/>
              </w:rPr>
              <w:t>Non-current Liabilities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Lease obligations, net of current portion</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356,618</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448,753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Contingent purchase price payable, net of current portion</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5,220,000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3"/>
        </w:trPr>
        <w:tc>
          <w:tcPr>
            <w:tcW w:w="8700" w:type="dxa"/>
            <w:vAlign w:val="bottom"/>
          </w:tcPr>
          <w:p>
            <w:pPr>
              <w:ind w:left="180"/>
              <w:spacing w:after="0" w:line="203" w:lineRule="exact"/>
              <w:rPr>
                <w:sz w:val="20"/>
                <w:szCs w:val="20"/>
                <w:color w:val="auto"/>
              </w:rPr>
            </w:pPr>
            <w:r>
              <w:rPr>
                <w:rFonts w:ascii="Arial" w:cs="Arial" w:eastAsia="Arial" w:hAnsi="Arial"/>
                <w:sz w:val="18"/>
                <w:szCs w:val="18"/>
                <w:color w:val="auto"/>
              </w:rPr>
              <w:t>Total Non-current Liabilities</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356,618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5,668,753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8,466,900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11,776,266</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46"/>
        </w:trPr>
        <w:tc>
          <w:tcPr>
            <w:tcW w:w="8700" w:type="dxa"/>
            <w:vAlign w:val="bottom"/>
          </w:tcPr>
          <w:p>
            <w:pPr>
              <w:spacing w:after="0"/>
              <w:rPr>
                <w:sz w:val="20"/>
                <w:szCs w:val="20"/>
                <w:color w:val="auto"/>
              </w:rPr>
            </w:pPr>
            <w:r>
              <w:rPr>
                <w:rFonts w:ascii="Arial" w:cs="Arial" w:eastAsia="Arial" w:hAnsi="Arial"/>
                <w:sz w:val="18"/>
                <w:szCs w:val="18"/>
                <w:color w:val="auto"/>
              </w:rPr>
              <w:t>Commitments and contingencies (See Note 8)</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18"/>
        </w:trPr>
        <w:tc>
          <w:tcPr>
            <w:tcW w:w="870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2"/>
              </w:rPr>
              <w:t>Preferred stock, $0.001 par value, 10,000,000 shares authorized, no issued and outstanding at September 30, 2020</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or December 31, 2019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w w:val="94"/>
              </w:rPr>
              <w:t>Common stock, $0.001 par value, 500,000,000 shares authorized, 15,072,226 and 14,600,579 shares issued and</w:t>
            </w: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8700" w:type="dxa"/>
            <w:vAlign w:val="bottom"/>
          </w:tcPr>
          <w:p>
            <w:pPr>
              <w:ind w:left="340"/>
              <w:spacing w:after="0"/>
              <w:rPr>
                <w:sz w:val="20"/>
                <w:szCs w:val="20"/>
                <w:color w:val="auto"/>
              </w:rPr>
            </w:pPr>
            <w:r>
              <w:rPr>
                <w:rFonts w:ascii="Arial" w:cs="Arial" w:eastAsia="Arial" w:hAnsi="Arial"/>
                <w:sz w:val="18"/>
                <w:szCs w:val="18"/>
                <w:color w:val="auto"/>
              </w:rPr>
              <w:t>outstanding at September 30, 2020 and December 31, 2019, respectively</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15,072</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14,601</w:t>
            </w:r>
          </w:p>
        </w:tc>
        <w:tc>
          <w:tcPr>
            <w:tcW w:w="40" w:type="dxa"/>
            <w:vAlign w:val="bottom"/>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83,653,045</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78,272,268</w:t>
            </w:r>
          </w:p>
        </w:tc>
        <w:tc>
          <w:tcPr>
            <w:tcW w:w="40" w:type="dxa"/>
            <w:vAlign w:val="bottom"/>
          </w:tcPr>
          <w:p>
            <w:pPr>
              <w:spacing w:after="0"/>
              <w:rPr>
                <w:sz w:val="18"/>
                <w:szCs w:val="18"/>
                <w:color w:val="auto"/>
              </w:rPr>
            </w:pPr>
          </w:p>
        </w:tc>
      </w:tr>
      <w:tr>
        <w:trPr>
          <w:trHeight w:val="251"/>
        </w:trPr>
        <w:tc>
          <w:tcPr>
            <w:tcW w:w="870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(36,988,903)</w:t>
            </w: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w w:val="97"/>
              </w:rPr>
              <w:t>(33,424,610)</w:t>
            </w:r>
          </w:p>
        </w:tc>
      </w:tr>
      <w:tr>
        <w:trPr>
          <w:trHeight w:val="223"/>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46,679,214</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44,862,259</w:t>
            </w:r>
          </w:p>
        </w:tc>
        <w:tc>
          <w:tcPr>
            <w:tcW w:w="40" w:type="dxa"/>
            <w:vAlign w:val="bottom"/>
          </w:tcPr>
          <w:p>
            <w:pPr>
              <w:spacing w:after="0"/>
              <w:rPr>
                <w:sz w:val="19"/>
                <w:szCs w:val="19"/>
                <w:color w:val="auto"/>
              </w:rPr>
            </w:pPr>
          </w:p>
        </w:tc>
      </w:tr>
      <w:tr>
        <w:trPr>
          <w:trHeight w:val="250"/>
        </w:trPr>
        <w:tc>
          <w:tcPr>
            <w:tcW w:w="870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55,146,114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56,638,525</w:t>
            </w:r>
          </w:p>
        </w:tc>
        <w:tc>
          <w:tcPr>
            <w:tcW w:w="40" w:type="dxa"/>
            <w:vAlign w:val="bottom"/>
          </w:tcPr>
          <w:p>
            <w:pPr>
              <w:spacing w:after="0"/>
              <w:rPr>
                <w:sz w:val="21"/>
                <w:szCs w:val="21"/>
                <w:color w:val="auto"/>
              </w:rPr>
            </w:pPr>
          </w:p>
        </w:tc>
      </w:tr>
      <w:tr>
        <w:trPr>
          <w:trHeight w:val="20"/>
        </w:trPr>
        <w:tc>
          <w:tcPr>
            <w:tcW w:w="8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jc w:val="right"/>
              <w:ind w:right="261"/>
              <w:spacing w:after="0"/>
              <w:rPr>
                <w:sz w:val="20"/>
                <w:szCs w:val="20"/>
                <w:color w:val="auto"/>
              </w:rPr>
            </w:pPr>
            <w:r>
              <w:rPr>
                <w:rFonts w:ascii="Arial" w:cs="Arial" w:eastAsia="Arial" w:hAnsi="Arial"/>
                <w:sz w:val="18"/>
                <w:szCs w:val="18"/>
                <w:b w:val="1"/>
                <w:bCs w:val="1"/>
                <w:color w:val="auto"/>
                <w:w w:val="92"/>
              </w:rPr>
              <w:t>For the Three Months Ended</w:t>
            </w:r>
          </w:p>
        </w:tc>
        <w:tc>
          <w:tcPr>
            <w:tcW w:w="120" w:type="dxa"/>
            <w:vAlign w:val="bottom"/>
          </w:tcPr>
          <w:p>
            <w:pPr>
              <w:spacing w:after="0"/>
              <w:rPr>
                <w:sz w:val="19"/>
                <w:szCs w:val="19"/>
                <w:color w:val="auto"/>
              </w:rPr>
            </w:pPr>
          </w:p>
        </w:tc>
        <w:tc>
          <w:tcPr>
            <w:tcW w:w="2380" w:type="dxa"/>
            <w:vAlign w:val="bottom"/>
            <w:gridSpan w:val="7"/>
          </w:tcPr>
          <w:p>
            <w:pPr>
              <w:jc w:val="right"/>
              <w:ind w:right="200"/>
              <w:spacing w:after="0"/>
              <w:rPr>
                <w:sz w:val="20"/>
                <w:szCs w:val="20"/>
                <w:color w:val="auto"/>
              </w:rPr>
            </w:pPr>
            <w:r>
              <w:rPr>
                <w:rFonts w:ascii="Arial" w:cs="Arial" w:eastAsia="Arial" w:hAnsi="Arial"/>
                <w:sz w:val="18"/>
                <w:szCs w:val="18"/>
                <w:b w:val="1"/>
                <w:bCs w:val="1"/>
                <w:color w:val="auto"/>
                <w:w w:val="92"/>
              </w:rPr>
              <w:t>For the 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841"/>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2380" w:type="dxa"/>
            <w:vAlign w:val="bottom"/>
            <w:gridSpan w:val="7"/>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NET 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10,519,191</w:t>
            </w:r>
          </w:p>
        </w:tc>
        <w:tc>
          <w:tcPr>
            <w:tcW w:w="260" w:type="dxa"/>
            <w:vAlign w:val="bottom"/>
          </w:tcPr>
          <w:p>
            <w:pPr>
              <w:spacing w:after="0"/>
              <w:rPr>
                <w:sz w:val="17"/>
                <w:szCs w:val="17"/>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5,002,767</w:t>
            </w:r>
          </w:p>
        </w:tc>
        <w:tc>
          <w:tcPr>
            <w:tcW w:w="220" w:type="dxa"/>
            <w:vAlign w:val="bottom"/>
          </w:tcPr>
          <w:p>
            <w:pPr>
              <w:spacing w:after="0"/>
              <w:rPr>
                <w:sz w:val="17"/>
                <w:szCs w:val="17"/>
                <w:color w:val="auto"/>
              </w:rPr>
            </w:pPr>
          </w:p>
        </w:tc>
        <w:tc>
          <w:tcPr>
            <w:tcW w:w="120" w:type="dxa"/>
            <w:vAlign w:val="bottom"/>
          </w:tcPr>
          <w:p>
            <w:pPr>
              <w:jc w:val="right"/>
              <w:spacing w:after="0" w:line="201"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26,887,022</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9"/>
              </w:rPr>
              <w:t>17,218,492</w:t>
            </w:r>
          </w:p>
        </w:tc>
        <w:tc>
          <w:tcPr>
            <w:tcW w:w="4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21"/>
                <w:szCs w:val="21"/>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4,504,844</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1,981,143</w:t>
            </w:r>
          </w:p>
        </w:tc>
        <w:tc>
          <w:tcPr>
            <w:tcW w:w="120" w:type="dxa"/>
            <w:vAlign w:val="bottom"/>
          </w:tcPr>
          <w:p>
            <w:pPr>
              <w:spacing w:after="0"/>
              <w:rPr>
                <w:sz w:val="21"/>
                <w:szCs w:val="21"/>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11,385,622</w:t>
            </w: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6,251,766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6,014,347</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3,021,624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15,501,400</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9"/>
              </w:rPr>
              <w:t>10,966,726</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8"/>
        </w:trPr>
        <w:tc>
          <w:tcPr>
            <w:tcW w:w="598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6,191,069</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5,008,934</w:t>
            </w:r>
          </w:p>
        </w:tc>
        <w:tc>
          <w:tcPr>
            <w:tcW w:w="12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18,993,187</w:t>
            </w:r>
          </w:p>
        </w:tc>
        <w:tc>
          <w:tcPr>
            <w:tcW w:w="200" w:type="dxa"/>
            <w:vAlign w:val="bottom"/>
          </w:tcPr>
          <w:p>
            <w:pPr>
              <w:spacing w:after="0"/>
              <w:rPr>
                <w:sz w:val="24"/>
                <w:szCs w:val="24"/>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12,341,827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(176,722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(1,987,310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(3,491,787</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(1,375,101</w:t>
            </w:r>
          </w:p>
        </w:tc>
        <w:tc>
          <w:tcPr>
            <w:tcW w:w="40" w:type="dxa"/>
            <w:vAlign w:val="bottom"/>
            <w:gridSpan w:val="2"/>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4,218</w:t>
            </w:r>
          </w:p>
        </w:tc>
        <w:tc>
          <w:tcPr>
            <w:tcW w:w="200" w:type="dxa"/>
            <w:vAlign w:val="bottom"/>
          </w:tcPr>
          <w:p>
            <w:pPr>
              <w:spacing w:after="0"/>
              <w:rPr>
                <w:sz w:val="18"/>
                <w:szCs w:val="18"/>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136,368</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67,884</w:t>
            </w: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192,305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980" w:type="dxa"/>
            <w:vAlign w:val="bottom"/>
          </w:tcPr>
          <w:p>
            <w:pPr>
              <w:ind w:left="180"/>
              <w:spacing w:after="0"/>
              <w:rPr>
                <w:sz w:val="20"/>
                <w:szCs w:val="20"/>
                <w:color w:val="auto"/>
              </w:rPr>
            </w:pPr>
            <w:r>
              <w:rPr>
                <w:rFonts w:ascii="Arial" w:cs="Arial" w:eastAsia="Arial" w:hAnsi="Arial"/>
                <w:sz w:val="18"/>
                <w:szCs w:val="18"/>
                <w:color w:val="auto"/>
              </w:rPr>
              <w:t>Change in fair value of contingent consideration</w:t>
            </w:r>
          </w:p>
        </w:tc>
        <w:tc>
          <w:tcPr>
            <w:tcW w:w="100" w:type="dxa"/>
            <w:vAlign w:val="bottom"/>
          </w:tcPr>
          <w:p>
            <w:pPr>
              <w:spacing w:after="0"/>
              <w:rPr>
                <w:sz w:val="21"/>
                <w:szCs w:val="21"/>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(110,390)</w:t>
            </w:r>
          </w:p>
        </w:tc>
        <w:tc>
          <w:tcPr>
            <w:tcW w:w="200" w:type="dxa"/>
            <w:vAlign w:val="bottom"/>
          </w:tcPr>
          <w:p>
            <w:pPr>
              <w:spacing w:after="0"/>
              <w:rPr>
                <w:sz w:val="21"/>
                <w:szCs w:val="21"/>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280,000</w:t>
            </w:r>
          </w:p>
        </w:tc>
        <w:tc>
          <w:tcPr>
            <w:tcW w:w="120" w:type="dxa"/>
            <w:vAlign w:val="bottom"/>
          </w:tcPr>
          <w:p>
            <w:pPr>
              <w:spacing w:after="0"/>
              <w:rPr>
                <w:sz w:val="21"/>
                <w:szCs w:val="21"/>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(140,390)</w:t>
            </w:r>
          </w:p>
        </w:tc>
        <w:tc>
          <w:tcPr>
            <w:tcW w:w="200" w:type="dxa"/>
            <w:vAlign w:val="bottom"/>
          </w:tcPr>
          <w:p>
            <w:pPr>
              <w:spacing w:after="0"/>
              <w:rPr>
                <w:sz w:val="21"/>
                <w:szCs w:val="21"/>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rPr>
              <w:t>25,000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180"/>
              <w:spacing w:after="0" w:line="203" w:lineRule="exact"/>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(106,172</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416,368</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(72,506</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217,305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5980" w:type="dxa"/>
            <w:vAlign w:val="bottom"/>
          </w:tcPr>
          <w:p>
            <w:pPr>
              <w:spacing w:after="0"/>
              <w:rPr>
                <w:sz w:val="20"/>
                <w:szCs w:val="20"/>
                <w:color w:val="auto"/>
              </w:rPr>
            </w:pPr>
            <w:r>
              <w:rPr>
                <w:rFonts w:ascii="Arial" w:cs="Arial" w:eastAsia="Arial" w:hAnsi="Arial"/>
                <w:sz w:val="18"/>
                <w:szCs w:val="18"/>
                <w:color w:val="auto"/>
              </w:rPr>
              <w:t>LOSS BEFORE PROVISION FOR INCOME TAXES</w:t>
            </w:r>
          </w:p>
        </w:tc>
        <w:tc>
          <w:tcPr>
            <w:tcW w:w="100" w:type="dxa"/>
            <w:vAlign w:val="bottom"/>
          </w:tcPr>
          <w:p>
            <w:pPr>
              <w:spacing w:after="0"/>
              <w:rPr>
                <w:sz w:val="24"/>
                <w:szCs w:val="24"/>
                <w:color w:val="auto"/>
              </w:rPr>
            </w:pP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(282,894)</w:t>
            </w:r>
          </w:p>
        </w:tc>
        <w:tc>
          <w:tcPr>
            <w:tcW w:w="200" w:type="dxa"/>
            <w:vAlign w:val="bottom"/>
          </w:tcPr>
          <w:p>
            <w:pPr>
              <w:spacing w:after="0"/>
              <w:rPr>
                <w:sz w:val="24"/>
                <w:szCs w:val="24"/>
                <w:color w:val="auto"/>
              </w:rPr>
            </w:pP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(1,570,942)</w:t>
            </w:r>
          </w:p>
        </w:tc>
        <w:tc>
          <w:tcPr>
            <w:tcW w:w="120" w:type="dxa"/>
            <w:vAlign w:val="bottom"/>
          </w:tcPr>
          <w:p>
            <w:pPr>
              <w:spacing w:after="0"/>
              <w:rPr>
                <w:sz w:val="24"/>
                <w:szCs w:val="24"/>
                <w:color w:val="auto"/>
              </w:rPr>
            </w:pP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(3,564,293)</w:t>
            </w:r>
          </w:p>
        </w:tc>
        <w:tc>
          <w:tcPr>
            <w:tcW w:w="200" w:type="dxa"/>
            <w:vAlign w:val="bottom"/>
          </w:tcPr>
          <w:p>
            <w:pPr>
              <w:spacing w:after="0"/>
              <w:rPr>
                <w:sz w:val="24"/>
                <w:szCs w:val="24"/>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(1,157,796)</w:t>
            </w:r>
          </w:p>
        </w:tc>
        <w:tc>
          <w:tcPr>
            <w:tcW w:w="0" w:type="dxa"/>
            <w:vAlign w:val="bottom"/>
          </w:tcPr>
          <w:p>
            <w:pPr>
              <w:spacing w:after="0"/>
              <w:rPr>
                <w:sz w:val="1"/>
                <w:szCs w:val="1"/>
                <w:color w:val="auto"/>
              </w:rPr>
            </w:pPr>
          </w:p>
        </w:tc>
      </w:tr>
      <w:tr>
        <w:trPr>
          <w:trHeight w:val="445"/>
        </w:trPr>
        <w:tc>
          <w:tcPr>
            <w:tcW w:w="59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4"/>
                <w:szCs w:val="24"/>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(282,894)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(1,570,942)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(3,564,293)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(1,157,796)</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WEIGHTED AVERGE SHARES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22"/>
                <w:szCs w:val="22"/>
                <w:color w:val="auto"/>
              </w:rPr>
            </w:pPr>
          </w:p>
        </w:tc>
        <w:tc>
          <w:tcPr>
            <w:tcW w:w="1280" w:type="dxa"/>
            <w:vAlign w:val="bottom"/>
            <w:gridSpan w:val="2"/>
          </w:tcPr>
          <w:p>
            <w:pPr>
              <w:jc w:val="right"/>
              <w:ind w:right="181"/>
              <w:spacing w:after="0"/>
              <w:rPr>
                <w:sz w:val="20"/>
                <w:szCs w:val="20"/>
                <w:color w:val="auto"/>
              </w:rPr>
            </w:pPr>
            <w:r>
              <w:rPr>
                <w:rFonts w:ascii="Arial" w:cs="Arial" w:eastAsia="Arial" w:hAnsi="Arial"/>
                <w:sz w:val="18"/>
                <w:szCs w:val="18"/>
                <w:color w:val="auto"/>
              </w:rPr>
              <w:t>14,900,971</w:t>
            </w:r>
          </w:p>
        </w:tc>
        <w:tc>
          <w:tcPr>
            <w:tcW w:w="200" w:type="dxa"/>
            <w:vAlign w:val="bottom"/>
          </w:tcPr>
          <w:p>
            <w:pPr>
              <w:spacing w:after="0"/>
              <w:rPr>
                <w:sz w:val="22"/>
                <w:szCs w:val="22"/>
                <w:color w:val="auto"/>
              </w:rPr>
            </w:pPr>
          </w:p>
        </w:tc>
        <w:tc>
          <w:tcPr>
            <w:tcW w:w="1140" w:type="dxa"/>
            <w:vAlign w:val="bottom"/>
            <w:gridSpan w:val="2"/>
          </w:tcPr>
          <w:p>
            <w:pPr>
              <w:jc w:val="right"/>
              <w:ind w:right="141"/>
              <w:spacing w:after="0"/>
              <w:rPr>
                <w:sz w:val="20"/>
                <w:szCs w:val="20"/>
                <w:color w:val="auto"/>
              </w:rPr>
            </w:pPr>
            <w:r>
              <w:rPr>
                <w:rFonts w:ascii="Arial" w:cs="Arial" w:eastAsia="Arial" w:hAnsi="Arial"/>
                <w:sz w:val="18"/>
                <w:szCs w:val="18"/>
                <w:color w:val="auto"/>
                <w:w w:val="99"/>
              </w:rPr>
              <w:t>14,146,489</w:t>
            </w:r>
          </w:p>
        </w:tc>
        <w:tc>
          <w:tcPr>
            <w:tcW w:w="120" w:type="dxa"/>
            <w:vAlign w:val="bottom"/>
          </w:tcPr>
          <w:p>
            <w:pPr>
              <w:spacing w:after="0"/>
              <w:rPr>
                <w:sz w:val="22"/>
                <w:szCs w:val="22"/>
                <w:color w:val="auto"/>
              </w:rPr>
            </w:pPr>
          </w:p>
        </w:tc>
        <w:tc>
          <w:tcPr>
            <w:tcW w:w="1200" w:type="dxa"/>
            <w:vAlign w:val="bottom"/>
            <w:gridSpan w:val="2"/>
          </w:tcPr>
          <w:p>
            <w:pPr>
              <w:jc w:val="right"/>
              <w:ind w:right="141"/>
              <w:spacing w:after="0"/>
              <w:rPr>
                <w:sz w:val="20"/>
                <w:szCs w:val="20"/>
                <w:color w:val="auto"/>
              </w:rPr>
            </w:pPr>
            <w:r>
              <w:rPr>
                <w:rFonts w:ascii="Arial" w:cs="Arial" w:eastAsia="Arial" w:hAnsi="Arial"/>
                <w:sz w:val="18"/>
                <w:szCs w:val="18"/>
                <w:color w:val="auto"/>
              </w:rPr>
              <w:t>14,726,534</w:t>
            </w:r>
          </w:p>
        </w:tc>
        <w:tc>
          <w:tcPr>
            <w:tcW w:w="200" w:type="dxa"/>
            <w:vAlign w:val="bottom"/>
          </w:tcPr>
          <w:p>
            <w:pPr>
              <w:spacing w:after="0"/>
              <w:rPr>
                <w:sz w:val="22"/>
                <w:szCs w:val="22"/>
                <w:color w:val="auto"/>
              </w:rPr>
            </w:pPr>
          </w:p>
        </w:tc>
        <w:tc>
          <w:tcPr>
            <w:tcW w:w="960" w:type="dxa"/>
            <w:vAlign w:val="bottom"/>
            <w:gridSpan w:val="3"/>
          </w:tcPr>
          <w:p>
            <w:pPr>
              <w:jc w:val="right"/>
              <w:ind w:right="1"/>
              <w:spacing w:after="0"/>
              <w:rPr>
                <w:sz w:val="20"/>
                <w:szCs w:val="20"/>
                <w:color w:val="auto"/>
              </w:rPr>
            </w:pPr>
            <w:r>
              <w:rPr>
                <w:rFonts w:ascii="Arial" w:cs="Arial" w:eastAsia="Arial" w:hAnsi="Arial"/>
                <w:sz w:val="18"/>
                <w:szCs w:val="18"/>
                <w:color w:val="auto"/>
                <w:w w:val="99"/>
              </w:rPr>
              <w:t>12,996,590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14,900,971</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14,146,489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14,726,534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12,996,590</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Arial" w:cs="Arial" w:eastAsia="Arial" w:hAnsi="Arial"/>
                <w:sz w:val="18"/>
                <w:szCs w:val="18"/>
                <w:color w:val="auto"/>
              </w:rPr>
              <w:t>EARNINGS (LOSS) PER SHARE</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121"/>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81"/>
              <w:spacing w:after="0"/>
              <w:rPr>
                <w:sz w:val="20"/>
                <w:szCs w:val="20"/>
                <w:color w:val="auto"/>
              </w:rPr>
            </w:pPr>
            <w:r>
              <w:rPr>
                <w:rFonts w:ascii="Arial" w:cs="Arial" w:eastAsia="Arial" w:hAnsi="Arial"/>
                <w:sz w:val="18"/>
                <w:szCs w:val="18"/>
                <w:color w:val="auto"/>
              </w:rPr>
              <w:t>(0.11)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1"/>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Balance January 1, 2020</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14,600,579</w:t>
            </w: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14,601</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78,272,268</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(33,424,610)</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44,862,259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35,032</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112,117</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112,152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11,136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99,989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754,512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754,512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(2,203,931)</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(2,203,931)</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March 31,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14,646,747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14,647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79,238,886</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(35,628,541)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43,624,992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55,731</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174,775</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174,831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7,748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100,019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42,374</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680,602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680,644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(1,077,468)</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(1,077,468)</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June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14,752,600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14,753</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80,194,282</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(36,706,009)</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43,503,026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198,024</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1,044,899</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1,045,097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5,915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124,978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124,984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21,186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631,432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w w:val="94"/>
              </w:rPr>
              <w:t>Shares issued for contingent purchase price and escrow hold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back</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94,501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1,657,454</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1,657,548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(282,894)</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(282,894)</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3"/>
        </w:trPr>
        <w:tc>
          <w:tcPr>
            <w:tcW w:w="4620" w:type="dxa"/>
            <w:vAlign w:val="bottom"/>
          </w:tcPr>
          <w:p>
            <w:pPr>
              <w:spacing w:after="0"/>
              <w:rPr>
                <w:sz w:val="20"/>
                <w:szCs w:val="20"/>
                <w:color w:val="auto"/>
              </w:rPr>
            </w:pPr>
            <w:r>
              <w:rPr>
                <w:rFonts w:ascii="Arial" w:cs="Arial" w:eastAsia="Arial" w:hAnsi="Arial"/>
                <w:sz w:val="18"/>
                <w:szCs w:val="18"/>
                <w:color w:val="auto"/>
              </w:rPr>
              <w:t>Balance September 30, 2020</w:t>
            </w:r>
          </w:p>
        </w:tc>
        <w:tc>
          <w:tcPr>
            <w:tcW w:w="1140" w:type="dxa"/>
            <w:vAlign w:val="bottom"/>
          </w:tcPr>
          <w:p>
            <w:pPr>
              <w:jc w:val="right"/>
              <w:spacing w:after="0"/>
              <w:rPr>
                <w:sz w:val="20"/>
                <w:szCs w:val="20"/>
                <w:color w:val="auto"/>
              </w:rPr>
            </w:pPr>
            <w:r>
              <w:rPr>
                <w:rFonts w:ascii="Arial" w:cs="Arial" w:eastAsia="Arial" w:hAnsi="Arial"/>
                <w:sz w:val="18"/>
                <w:szCs w:val="18"/>
                <w:color w:val="auto"/>
              </w:rPr>
              <w:t>15,072,226</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15,072</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83,653,045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(36,988,903)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46,679,214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CHANGES IN STOCKHOLDERS’ EQUITY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2760" w:type="dxa"/>
            <w:vAlign w:val="bottom"/>
            <w:gridSpan w:val="5"/>
            <w:vMerge w:val="restart"/>
          </w:tcPr>
          <w:p>
            <w:pPr>
              <w:ind w:left="66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Additional</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20" w:type="dxa"/>
            <w:vAlign w:val="bottom"/>
          </w:tcPr>
          <w:p>
            <w:pPr>
              <w:spacing w:after="0"/>
              <w:rPr>
                <w:sz w:val="20"/>
                <w:szCs w:val="20"/>
                <w:color w:val="auto"/>
              </w:rPr>
            </w:pPr>
          </w:p>
        </w:tc>
        <w:tc>
          <w:tcPr>
            <w:tcW w:w="2760" w:type="dxa"/>
            <w:vAlign w:val="bottom"/>
            <w:gridSpan w:val="5"/>
            <w:vMerge w:val="continue"/>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Paid 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20" w:type="dxa"/>
            <w:vAlign w:val="bottom"/>
          </w:tcPr>
          <w:p>
            <w:pPr>
              <w:spacing w:after="0"/>
              <w:rPr>
                <w:sz w:val="20"/>
                <w:szCs w:val="20"/>
                <w:color w:val="auto"/>
              </w:rPr>
            </w:pPr>
          </w:p>
        </w:tc>
        <w:tc>
          <w:tcPr>
            <w:tcW w:w="1380" w:type="dxa"/>
            <w:vAlign w:val="bottom"/>
            <w:tcBorders>
              <w:top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Capital</w:t>
            </w:r>
          </w:p>
        </w:tc>
        <w:tc>
          <w:tcPr>
            <w:tcW w:w="160" w:type="dxa"/>
            <w:vAlign w:val="bottom"/>
          </w:tcPr>
          <w:p>
            <w:pPr>
              <w:spacing w:after="0"/>
              <w:rPr>
                <w:sz w:val="20"/>
                <w:szCs w:val="20"/>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Deficit</w:t>
            </w:r>
          </w:p>
        </w:tc>
        <w:tc>
          <w:tcPr>
            <w:tcW w:w="20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Balance January 1, 2019</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12,038,618</w:t>
            </w:r>
          </w:p>
        </w:tc>
        <w:tc>
          <w:tcPr>
            <w:tcW w:w="2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12,039</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48,725,211</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(30,278,805)</w:t>
            </w:r>
          </w:p>
        </w:tc>
        <w:tc>
          <w:tcPr>
            <w:tcW w:w="2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18,458,445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3"/>
        </w:trPr>
        <w:tc>
          <w:tcPr>
            <w:tcW w:w="4620" w:type="dxa"/>
            <w:vAlign w:val="bottom"/>
          </w:tcPr>
          <w:p>
            <w:pPr>
              <w:spacing w:after="0"/>
              <w:rPr>
                <w:sz w:val="20"/>
                <w:szCs w:val="20"/>
                <w:color w:val="auto"/>
              </w:rPr>
            </w:pPr>
            <w:r>
              <w:rPr>
                <w:rFonts w:ascii="Arial" w:cs="Arial" w:eastAsia="Arial" w:hAnsi="Arial"/>
                <w:sz w:val="18"/>
                <w:szCs w:val="18"/>
                <w:color w:val="auto"/>
                <w:w w:val="94"/>
              </w:rPr>
              <w:t>Cumulative effect of change in accounting principle related to</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lease accounting</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(3,229)</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(3,229)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previous year restricted stock awards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130,001</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101,878</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343,683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343,785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106,026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106,034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530,312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530,312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6,529</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6,529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March 31, 2019</w:t>
            </w:r>
          </w:p>
        </w:tc>
        <w:tc>
          <w:tcPr>
            <w:tcW w:w="1140" w:type="dxa"/>
            <w:vAlign w:val="bottom"/>
          </w:tcPr>
          <w:p>
            <w:pPr>
              <w:jc w:val="right"/>
              <w:spacing w:after="0"/>
              <w:rPr>
                <w:sz w:val="20"/>
                <w:szCs w:val="20"/>
                <w:color w:val="auto"/>
              </w:rPr>
            </w:pPr>
            <w:r>
              <w:rPr>
                <w:rFonts w:ascii="Arial" w:cs="Arial" w:eastAsia="Arial" w:hAnsi="Arial"/>
                <w:sz w:val="18"/>
                <w:szCs w:val="18"/>
                <w:color w:val="auto"/>
              </w:rPr>
              <w:t>12,278,833</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12,279</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49,705,102</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(30,275,505)</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19,441,876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Public offering of common shares for cash, net of offering</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80"/>
              <w:spacing w:after="0"/>
              <w:rPr>
                <w:sz w:val="20"/>
                <w:szCs w:val="20"/>
                <w:color w:val="auto"/>
              </w:rPr>
            </w:pPr>
            <w:r>
              <w:rPr>
                <w:rFonts w:ascii="Arial" w:cs="Arial" w:eastAsia="Arial" w:hAnsi="Arial"/>
                <w:sz w:val="18"/>
                <w:szCs w:val="18"/>
                <w:color w:val="auto"/>
              </w:rPr>
              <w:t>costs</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1,769,275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1,769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21,302,057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21,303,826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60,295</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214,253</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135,035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135,043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408,087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408,087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406,617</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406,617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4620" w:type="dxa"/>
            <w:vAlign w:val="bottom"/>
          </w:tcPr>
          <w:p>
            <w:pPr>
              <w:spacing w:after="0"/>
              <w:rPr>
                <w:sz w:val="20"/>
                <w:szCs w:val="20"/>
                <w:color w:val="auto"/>
              </w:rPr>
            </w:pPr>
            <w:r>
              <w:rPr>
                <w:rFonts w:ascii="Arial" w:cs="Arial" w:eastAsia="Arial" w:hAnsi="Arial"/>
                <w:sz w:val="18"/>
                <w:szCs w:val="18"/>
                <w:color w:val="auto"/>
              </w:rPr>
              <w:t>Balance June 30, 2019</w:t>
            </w:r>
          </w:p>
        </w:tc>
        <w:tc>
          <w:tcPr>
            <w:tcW w:w="1140" w:type="dxa"/>
            <w:vAlign w:val="bottom"/>
          </w:tcPr>
          <w:p>
            <w:pPr>
              <w:jc w:val="right"/>
              <w:spacing w:after="0"/>
              <w:rPr>
                <w:sz w:val="20"/>
                <w:szCs w:val="20"/>
                <w:color w:val="auto"/>
              </w:rPr>
            </w:pPr>
            <w:r>
              <w:rPr>
                <w:rFonts w:ascii="Arial" w:cs="Arial" w:eastAsia="Arial" w:hAnsi="Arial"/>
                <w:sz w:val="18"/>
                <w:szCs w:val="18"/>
                <w:color w:val="auto"/>
              </w:rPr>
              <w:t>14,116,739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14,117</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71,764,534</w:t>
            </w:r>
          </w:p>
        </w:tc>
        <w:tc>
          <w:tcPr>
            <w:tcW w:w="16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(29,868,888)</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41,909,763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620" w:type="dxa"/>
            <w:vAlign w:val="bottom"/>
          </w:tcPr>
          <w:p>
            <w:pPr>
              <w:spacing w:after="0"/>
              <w:rPr>
                <w:sz w:val="20"/>
                <w:szCs w:val="20"/>
                <w:color w:val="auto"/>
              </w:rPr>
            </w:pPr>
            <w:r>
              <w:rPr>
                <w:rFonts w:ascii="Arial" w:cs="Arial" w:eastAsia="Arial" w:hAnsi="Arial"/>
                <w:sz w:val="18"/>
                <w:szCs w:val="18"/>
                <w:color w:val="auto"/>
              </w:rPr>
              <w:t>Shares issued for stock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48,775</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206,275</w:t>
            </w:r>
          </w:p>
        </w:tc>
        <w:tc>
          <w:tcPr>
            <w:tcW w:w="16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206,324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Shares issued as board compensation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8,336</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120,697</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120,705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469,539</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469,539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(1,570,942)</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(1,570,942)</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93"/>
        </w:trPr>
        <w:tc>
          <w:tcPr>
            <w:tcW w:w="4620" w:type="dxa"/>
            <w:vAlign w:val="bottom"/>
          </w:tcPr>
          <w:p>
            <w:pPr>
              <w:spacing w:after="0"/>
              <w:rPr>
                <w:sz w:val="20"/>
                <w:szCs w:val="20"/>
                <w:color w:val="auto"/>
              </w:rPr>
            </w:pPr>
            <w:r>
              <w:rPr>
                <w:rFonts w:ascii="Arial" w:cs="Arial" w:eastAsia="Arial" w:hAnsi="Arial"/>
                <w:sz w:val="18"/>
                <w:szCs w:val="18"/>
                <w:color w:val="auto"/>
              </w:rPr>
              <w:t>Balance September 30, 2019</w:t>
            </w:r>
          </w:p>
        </w:tc>
        <w:tc>
          <w:tcPr>
            <w:tcW w:w="1140" w:type="dxa"/>
            <w:vAlign w:val="bottom"/>
          </w:tcPr>
          <w:p>
            <w:pPr>
              <w:jc w:val="right"/>
              <w:spacing w:after="0"/>
              <w:rPr>
                <w:sz w:val="20"/>
                <w:szCs w:val="20"/>
                <w:color w:val="auto"/>
              </w:rPr>
            </w:pPr>
            <w:r>
              <w:rPr>
                <w:rFonts w:ascii="Arial" w:cs="Arial" w:eastAsia="Arial" w:hAnsi="Arial"/>
                <w:sz w:val="18"/>
                <w:szCs w:val="18"/>
                <w:color w:val="auto"/>
              </w:rPr>
              <w:t>14,173,850</w:t>
            </w:r>
          </w:p>
        </w:tc>
        <w:tc>
          <w:tcPr>
            <w:tcW w:w="24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14,174</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72,561,045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(31,439,830)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9"/>
              </w:rPr>
              <w:t>41,135,389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sectPr>
      </w:pPr>
    </w:p>
    <w:bookmarkStart w:id="7" w:name="page8"/>
    <w:bookmarkEnd w:id="7"/>
    <w:p>
      <w:pPr>
        <w:jc w:val="center"/>
        <w:ind w:left="2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amortization, and non-cash lease expense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issued as board compensation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Provision for loss on accounts receivable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Change in fair value of contingent consideration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 and other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 and other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OPERATING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 of intangible assets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INVESTING ACTIVITIES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common stock, net of commission costs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Expenses related to issuance cost of common stock</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Payment of contingent consideration</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(USED IN) FINANCING ACTIVITIES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NET INCREASE (DECREASE) IN 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 BEGINNING OF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5"/>
        <w:spacing w:after="0"/>
        <w:rPr>
          <w:sz w:val="20"/>
          <w:szCs w:val="20"/>
          <w:color w:val="auto"/>
        </w:rPr>
      </w:pPr>
      <w:r>
        <w:rPr>
          <w:rFonts w:ascii="Arial" w:cs="Arial" w:eastAsia="Arial" w:hAnsi="Arial"/>
          <w:sz w:val="18"/>
          <w:szCs w:val="18"/>
          <w:b w:val="1"/>
          <w:bCs w:val="1"/>
          <w:color w:val="auto"/>
        </w:rPr>
        <w:t>For the Nine Months Ended</w:t>
      </w:r>
    </w:p>
    <w:p>
      <w:pPr>
        <w:spacing w:after="0" w:line="27" w:lineRule="exact"/>
        <w:rPr>
          <w:sz w:val="20"/>
          <w:szCs w:val="20"/>
          <w:color w:val="auto"/>
        </w:rPr>
      </w:pPr>
    </w:p>
    <w:p>
      <w:pPr>
        <w:jc w:val="center"/>
        <w:ind w:right="55"/>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156019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11" w:lineRule="exact"/>
        <w:rPr>
          <w:sz w:val="20"/>
          <w:szCs w:val="20"/>
          <w:color w:val="auto"/>
        </w:rPr>
      </w:pPr>
    </w:p>
    <w:p>
      <w:pPr>
        <w:ind w:left="385"/>
        <w:spacing w:after="0"/>
        <w:tabs>
          <w:tab w:leader="none" w:pos="1705"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56019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36" w:lineRule="exact"/>
        <w:rPr>
          <w:sz w:val="20"/>
          <w:szCs w:val="20"/>
          <w:color w:val="auto"/>
        </w:rPr>
      </w:pPr>
    </w:p>
    <w:p>
      <w:pPr>
        <w:ind w:left="345" w:hanging="345"/>
        <w:spacing w:after="0"/>
        <w:tabs>
          <w:tab w:leader="none" w:pos="345" w:val="left"/>
        </w:tabs>
        <w:numPr>
          <w:ilvl w:val="0"/>
          <w:numId w:val="7"/>
        </w:numPr>
        <w:rPr>
          <w:rFonts w:ascii="Arial" w:cs="Arial" w:eastAsia="Arial" w:hAnsi="Arial"/>
          <w:sz w:val="17"/>
          <w:szCs w:val="17"/>
          <w:color w:val="auto"/>
        </w:rPr>
      </w:pPr>
      <w:r>
        <w:rPr>
          <w:rFonts w:ascii="Arial" w:cs="Arial" w:eastAsia="Arial" w:hAnsi="Arial"/>
          <w:sz w:val="17"/>
          <w:szCs w:val="17"/>
          <w:color w:val="auto"/>
        </w:rPr>
        <w:t>(3,564,293)  $   (1,157,796)</w:t>
      </w:r>
    </w:p>
    <w:p>
      <w:pPr>
        <w:spacing w:after="0" w:line="237" w:lineRule="exact"/>
        <w:rPr>
          <w:sz w:val="20"/>
          <w:szCs w:val="20"/>
          <w:color w:val="auto"/>
        </w:rPr>
      </w:pPr>
    </w:p>
    <w:p>
      <w:pPr>
        <w:ind w:left="405"/>
        <w:spacing w:after="0"/>
        <w:tabs>
          <w:tab w:leader="none" w:pos="1845" w:val="left"/>
        </w:tabs>
        <w:rPr>
          <w:sz w:val="20"/>
          <w:szCs w:val="20"/>
          <w:color w:val="auto"/>
        </w:rPr>
      </w:pPr>
      <w:r>
        <w:rPr>
          <w:rFonts w:ascii="Arial" w:cs="Arial" w:eastAsia="Arial" w:hAnsi="Arial"/>
          <w:sz w:val="18"/>
          <w:szCs w:val="18"/>
          <w:color w:val="auto"/>
        </w:rPr>
        <w:t>1,563,883</w:t>
      </w:r>
      <w:r>
        <w:rPr>
          <w:sz w:val="20"/>
          <w:szCs w:val="20"/>
          <w:color w:val="auto"/>
        </w:rPr>
        <w:tab/>
      </w:r>
      <w:r>
        <w:rPr>
          <w:rFonts w:ascii="Arial" w:cs="Arial" w:eastAsia="Arial" w:hAnsi="Arial"/>
          <w:sz w:val="18"/>
          <w:szCs w:val="18"/>
          <w:color w:val="auto"/>
        </w:rPr>
        <w:t>745,928</w:t>
      </w:r>
    </w:p>
    <w:p>
      <w:pPr>
        <w:spacing w:after="0" w:line="23" w:lineRule="exact"/>
        <w:rPr>
          <w:sz w:val="20"/>
          <w:szCs w:val="20"/>
          <w:color w:val="auto"/>
        </w:rPr>
      </w:pPr>
    </w:p>
    <w:p>
      <w:pPr>
        <w:ind w:left="405"/>
        <w:spacing w:after="0"/>
        <w:tabs>
          <w:tab w:leader="none" w:pos="1725" w:val="left"/>
        </w:tabs>
        <w:rPr>
          <w:sz w:val="20"/>
          <w:szCs w:val="20"/>
          <w:color w:val="auto"/>
        </w:rPr>
      </w:pPr>
      <w:r>
        <w:rPr>
          <w:rFonts w:ascii="Arial" w:cs="Arial" w:eastAsia="Arial" w:hAnsi="Arial"/>
          <w:sz w:val="17"/>
          <w:szCs w:val="17"/>
          <w:color w:val="auto"/>
        </w:rPr>
        <w:t>2,066,609</w:t>
      </w:r>
      <w:r>
        <w:rPr>
          <w:sz w:val="20"/>
          <w:szCs w:val="20"/>
          <w:color w:val="auto"/>
        </w:rPr>
        <w:tab/>
      </w:r>
      <w:r>
        <w:rPr>
          <w:rFonts w:ascii="Arial" w:cs="Arial" w:eastAsia="Arial" w:hAnsi="Arial"/>
          <w:sz w:val="17"/>
          <w:szCs w:val="17"/>
          <w:color w:val="auto"/>
        </w:rPr>
        <w:t>1,407,938</w:t>
      </w:r>
    </w:p>
    <w:p>
      <w:pPr>
        <w:spacing w:after="0" w:line="21" w:lineRule="exact"/>
        <w:rPr>
          <w:sz w:val="20"/>
          <w:szCs w:val="20"/>
          <w:color w:val="auto"/>
        </w:rPr>
      </w:pPr>
    </w:p>
    <w:p>
      <w:pPr>
        <w:ind w:left="565"/>
        <w:spacing w:after="0"/>
        <w:tabs>
          <w:tab w:leader="none" w:pos="1845" w:val="left"/>
        </w:tabs>
        <w:rPr>
          <w:sz w:val="20"/>
          <w:szCs w:val="20"/>
          <w:color w:val="auto"/>
        </w:rPr>
      </w:pPr>
      <w:r>
        <w:rPr>
          <w:rFonts w:ascii="Arial" w:cs="Arial" w:eastAsia="Arial" w:hAnsi="Arial"/>
          <w:sz w:val="18"/>
          <w:szCs w:val="18"/>
          <w:color w:val="auto"/>
        </w:rPr>
        <w:t>325,011</w:t>
      </w:r>
      <w:r>
        <w:rPr>
          <w:sz w:val="20"/>
          <w:szCs w:val="20"/>
          <w:color w:val="auto"/>
        </w:rPr>
        <w:tab/>
      </w:r>
      <w:r>
        <w:rPr>
          <w:rFonts w:ascii="Arial" w:cs="Arial" w:eastAsia="Arial" w:hAnsi="Arial"/>
          <w:sz w:val="18"/>
          <w:szCs w:val="18"/>
          <w:color w:val="auto"/>
        </w:rPr>
        <w:t>361,782</w:t>
      </w:r>
    </w:p>
    <w:p>
      <w:pPr>
        <w:spacing w:after="0" w:line="9" w:lineRule="exact"/>
        <w:rPr>
          <w:sz w:val="20"/>
          <w:szCs w:val="20"/>
          <w:color w:val="auto"/>
        </w:rPr>
      </w:pPr>
    </w:p>
    <w:p>
      <w:pPr>
        <w:ind w:left="645"/>
        <w:spacing w:after="0"/>
        <w:tabs>
          <w:tab w:leader="none" w:pos="2385" w:val="left"/>
        </w:tabs>
        <w:rPr>
          <w:sz w:val="20"/>
          <w:szCs w:val="20"/>
          <w:color w:val="auto"/>
        </w:rPr>
      </w:pPr>
      <w:r>
        <w:rPr>
          <w:rFonts w:ascii="Arial" w:cs="Arial" w:eastAsia="Arial" w:hAnsi="Arial"/>
          <w:sz w:val="18"/>
          <w:szCs w:val="18"/>
          <w:color w:val="auto"/>
        </w:rPr>
        <w:t>80,000</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545"/>
        <w:spacing w:after="0"/>
        <w:tabs>
          <w:tab w:leader="none" w:pos="1885" w:val="left"/>
        </w:tabs>
        <w:rPr>
          <w:sz w:val="20"/>
          <w:szCs w:val="20"/>
          <w:color w:val="auto"/>
        </w:rPr>
      </w:pPr>
      <w:r>
        <w:rPr>
          <w:rFonts w:ascii="Arial" w:cs="Arial" w:eastAsia="Arial" w:hAnsi="Arial"/>
          <w:sz w:val="18"/>
          <w:szCs w:val="18"/>
          <w:color w:val="auto"/>
        </w:rPr>
        <w:t>140,390</w:t>
      </w:r>
      <w:r>
        <w:rPr>
          <w:sz w:val="20"/>
          <w:szCs w:val="20"/>
          <w:color w:val="auto"/>
        </w:rPr>
        <w:tab/>
      </w:r>
      <w:r>
        <w:rPr>
          <w:rFonts w:ascii="Arial" w:cs="Arial" w:eastAsia="Arial" w:hAnsi="Arial"/>
          <w:sz w:val="18"/>
          <w:szCs w:val="18"/>
          <w:color w:val="auto"/>
        </w:rPr>
        <w:t>(25,000)</w:t>
      </w:r>
    </w:p>
    <w:p>
      <w:pPr>
        <w:spacing w:after="0" w:line="211" w:lineRule="exact"/>
        <w:rPr>
          <w:sz w:val="20"/>
          <w:szCs w:val="20"/>
          <w:color w:val="auto"/>
        </w:rPr>
      </w:pPr>
    </w:p>
    <w:p>
      <w:pPr>
        <w:jc w:val="both"/>
        <w:ind w:left="345"/>
        <w:spacing w:after="0"/>
        <w:tabs>
          <w:tab w:leader="none" w:pos="1785" w:val="left"/>
        </w:tabs>
        <w:rPr>
          <w:sz w:val="20"/>
          <w:szCs w:val="20"/>
          <w:color w:val="auto"/>
        </w:rPr>
      </w:pPr>
      <w:r>
        <w:rPr>
          <w:rFonts w:ascii="Arial" w:cs="Arial" w:eastAsia="Arial" w:hAnsi="Arial"/>
          <w:sz w:val="18"/>
          <w:szCs w:val="18"/>
          <w:color w:val="auto"/>
        </w:rPr>
        <w:t>(5,994,527)</w:t>
      </w:r>
      <w:r>
        <w:rPr>
          <w:sz w:val="20"/>
          <w:szCs w:val="20"/>
          <w:color w:val="auto"/>
        </w:rPr>
        <w:tab/>
      </w:r>
      <w:r>
        <w:rPr>
          <w:rFonts w:ascii="Arial" w:cs="Arial" w:eastAsia="Arial" w:hAnsi="Arial"/>
          <w:sz w:val="18"/>
          <w:szCs w:val="18"/>
          <w:color w:val="auto"/>
        </w:rPr>
        <w:t>(700,549)</w:t>
      </w:r>
    </w:p>
    <w:p>
      <w:pPr>
        <w:spacing w:after="0" w:line="23" w:lineRule="exact"/>
        <w:rPr>
          <w:sz w:val="20"/>
          <w:szCs w:val="20"/>
          <w:color w:val="auto"/>
        </w:rPr>
      </w:pPr>
    </w:p>
    <w:p>
      <w:pPr>
        <w:jc w:val="both"/>
        <w:ind w:left="485"/>
        <w:spacing w:after="0"/>
        <w:tabs>
          <w:tab w:leader="none" w:pos="1785" w:val="left"/>
        </w:tabs>
        <w:rPr>
          <w:sz w:val="20"/>
          <w:szCs w:val="20"/>
          <w:color w:val="auto"/>
        </w:rPr>
      </w:pPr>
      <w:r>
        <w:rPr>
          <w:rFonts w:ascii="Arial" w:cs="Arial" w:eastAsia="Arial" w:hAnsi="Arial"/>
          <w:sz w:val="18"/>
          <w:szCs w:val="18"/>
          <w:color w:val="auto"/>
        </w:rPr>
        <w:t>(931,833)</w:t>
      </w:r>
      <w:r>
        <w:rPr>
          <w:sz w:val="20"/>
          <w:szCs w:val="20"/>
          <w:color w:val="auto"/>
        </w:rPr>
        <w:tab/>
      </w:r>
      <w:r>
        <w:rPr>
          <w:rFonts w:ascii="Arial" w:cs="Arial" w:eastAsia="Arial" w:hAnsi="Arial"/>
          <w:sz w:val="18"/>
          <w:szCs w:val="18"/>
          <w:color w:val="auto"/>
        </w:rPr>
        <w:t>(469,623)</w:t>
      </w:r>
    </w:p>
    <w:p>
      <w:pPr>
        <w:spacing w:after="0" w:line="9" w:lineRule="exact"/>
        <w:rPr>
          <w:sz w:val="20"/>
          <w:szCs w:val="20"/>
          <w:color w:val="auto"/>
        </w:rPr>
      </w:pPr>
    </w:p>
    <w:p>
      <w:pPr>
        <w:ind w:left="585"/>
        <w:spacing w:after="0"/>
        <w:tabs>
          <w:tab w:leader="none" w:pos="1845" w:val="left"/>
        </w:tabs>
        <w:rPr>
          <w:sz w:val="20"/>
          <w:szCs w:val="20"/>
          <w:color w:val="auto"/>
        </w:rPr>
      </w:pPr>
      <w:r>
        <w:rPr>
          <w:rFonts w:ascii="Arial" w:cs="Arial" w:eastAsia="Arial" w:hAnsi="Arial"/>
          <w:sz w:val="18"/>
          <w:szCs w:val="18"/>
          <w:color w:val="auto"/>
        </w:rPr>
        <w:t>(12,493)</w:t>
      </w:r>
      <w:r>
        <w:rPr>
          <w:sz w:val="20"/>
          <w:szCs w:val="20"/>
          <w:color w:val="auto"/>
        </w:rPr>
        <w:tab/>
      </w:r>
      <w:r>
        <w:rPr>
          <w:rFonts w:ascii="Arial" w:cs="Arial" w:eastAsia="Arial" w:hAnsi="Arial"/>
          <w:sz w:val="18"/>
          <w:szCs w:val="18"/>
          <w:color w:val="auto"/>
        </w:rPr>
        <w:t>184,464</w:t>
      </w:r>
    </w:p>
    <w:p>
      <w:pPr>
        <w:spacing w:after="0" w:line="9" w:lineRule="exact"/>
        <w:rPr>
          <w:sz w:val="20"/>
          <w:szCs w:val="20"/>
          <w:color w:val="auto"/>
        </w:rPr>
      </w:pPr>
    </w:p>
    <w:p>
      <w:pPr>
        <w:jc w:val="both"/>
        <w:ind w:left="405"/>
        <w:spacing w:after="0"/>
        <w:tabs>
          <w:tab w:leader="none" w:pos="1785" w:val="left"/>
        </w:tabs>
        <w:rPr>
          <w:sz w:val="20"/>
          <w:szCs w:val="20"/>
          <w:color w:val="auto"/>
        </w:rPr>
      </w:pPr>
      <w:r>
        <w:rPr>
          <w:rFonts w:ascii="Arial" w:cs="Arial" w:eastAsia="Arial" w:hAnsi="Arial"/>
          <w:sz w:val="18"/>
          <w:szCs w:val="18"/>
          <w:color w:val="auto"/>
        </w:rPr>
        <w:t>2,023,650</w:t>
      </w:r>
      <w:r>
        <w:rPr>
          <w:sz w:val="20"/>
          <w:szCs w:val="20"/>
          <w:color w:val="auto"/>
        </w:rPr>
        <w:tab/>
      </w:r>
      <w:r>
        <w:rPr>
          <w:rFonts w:ascii="Arial" w:cs="Arial" w:eastAsia="Arial" w:hAnsi="Arial"/>
          <w:sz w:val="18"/>
          <w:szCs w:val="18"/>
          <w:color w:val="auto"/>
        </w:rPr>
        <w:t>(240,329)</w:t>
      </w:r>
    </w:p>
    <w:p>
      <w:pPr>
        <w:spacing w:after="0" w:line="9" w:lineRule="exact"/>
        <w:rPr>
          <w:sz w:val="20"/>
          <w:szCs w:val="20"/>
          <w:color w:val="auto"/>
        </w:rPr>
      </w:pPr>
    </w:p>
    <w:p>
      <w:pPr>
        <w:jc w:val="both"/>
        <w:ind w:left="545"/>
        <w:spacing w:after="0"/>
        <w:tabs>
          <w:tab w:leader="none" w:pos="1785" w:val="left"/>
        </w:tabs>
        <w:rPr>
          <w:sz w:val="20"/>
          <w:szCs w:val="20"/>
          <w:color w:val="auto"/>
        </w:rPr>
      </w:pPr>
      <w:r>
        <w:rPr>
          <w:rFonts w:ascii="Arial" w:cs="Arial" w:eastAsia="Arial" w:hAnsi="Arial"/>
          <w:sz w:val="18"/>
          <w:szCs w:val="18"/>
          <w:color w:val="auto"/>
        </w:rPr>
        <w:t>704,559</w:t>
      </w:r>
      <w:r>
        <w:rPr>
          <w:sz w:val="20"/>
          <w:szCs w:val="20"/>
          <w:color w:val="auto"/>
        </w:rPr>
        <w:tab/>
      </w:r>
      <w:r>
        <w:rPr>
          <w:rFonts w:ascii="Arial" w:cs="Arial" w:eastAsia="Arial" w:hAnsi="Arial"/>
          <w:sz w:val="18"/>
          <w:szCs w:val="18"/>
          <w:color w:val="auto"/>
        </w:rPr>
        <w:t>(772,953)</w:t>
      </w:r>
    </w:p>
    <w:p>
      <w:pPr>
        <w:spacing w:after="0" w:line="9" w:lineRule="exact"/>
        <w:rPr>
          <w:sz w:val="20"/>
          <w:szCs w:val="20"/>
          <w:color w:val="auto"/>
        </w:rPr>
      </w:pPr>
    </w:p>
    <w:p>
      <w:pPr>
        <w:ind w:left="505"/>
        <w:spacing w:after="0"/>
        <w:tabs>
          <w:tab w:leader="none" w:pos="1845" w:val="left"/>
        </w:tabs>
        <w:rPr>
          <w:sz w:val="20"/>
          <w:szCs w:val="20"/>
          <w:color w:val="auto"/>
        </w:rPr>
      </w:pPr>
      <w:r>
        <w:rPr>
          <w:rFonts w:ascii="Arial" w:cs="Arial" w:eastAsia="Arial" w:hAnsi="Arial"/>
          <w:sz w:val="18"/>
          <w:szCs w:val="18"/>
          <w:color w:val="auto"/>
        </w:rPr>
        <w:t>(118,737)</w:t>
      </w:r>
      <w:r>
        <w:rPr>
          <w:sz w:val="20"/>
          <w:szCs w:val="20"/>
          <w:color w:val="auto"/>
        </w:rPr>
        <w:tab/>
      </w:r>
      <w:r>
        <w:rPr>
          <w:rFonts w:ascii="Arial" w:cs="Arial" w:eastAsia="Arial" w:hAnsi="Arial"/>
          <w:sz w:val="16"/>
          <w:szCs w:val="16"/>
          <w:color w:val="auto"/>
        </w:rPr>
        <w:t>505,279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6019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3"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(3,717,781)</w:t>
      </w:r>
      <w:r>
        <w:rPr>
          <w:sz w:val="20"/>
          <w:szCs w:val="20"/>
          <w:color w:val="auto"/>
        </w:rPr>
        <w:tab/>
      </w:r>
      <w:r>
        <w:rPr>
          <w:rFonts w:ascii="Arial" w:cs="Arial" w:eastAsia="Arial" w:hAnsi="Arial"/>
          <w:sz w:val="16"/>
          <w:szCs w:val="16"/>
          <w:color w:val="auto"/>
        </w:rPr>
        <w:t>(160,859)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6019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both"/>
        <w:ind w:left="585"/>
        <w:spacing w:after="0"/>
        <w:tabs>
          <w:tab w:leader="none" w:pos="1885" w:val="left"/>
        </w:tabs>
        <w:rPr>
          <w:sz w:val="20"/>
          <w:szCs w:val="20"/>
          <w:color w:val="auto"/>
        </w:rPr>
      </w:pPr>
      <w:r>
        <w:rPr>
          <w:rFonts w:ascii="Arial" w:cs="Arial" w:eastAsia="Arial" w:hAnsi="Arial"/>
          <w:sz w:val="18"/>
          <w:szCs w:val="18"/>
          <w:color w:val="auto"/>
        </w:rPr>
        <w:t>(45,254)</w:t>
      </w:r>
      <w:r>
        <w:rPr>
          <w:sz w:val="20"/>
          <w:szCs w:val="20"/>
          <w:color w:val="auto"/>
        </w:rPr>
        <w:tab/>
      </w:r>
      <w:r>
        <w:rPr>
          <w:rFonts w:ascii="Arial" w:cs="Arial" w:eastAsia="Arial" w:hAnsi="Arial"/>
          <w:sz w:val="18"/>
          <w:szCs w:val="18"/>
          <w:color w:val="auto"/>
        </w:rPr>
        <w:t>(61,457)</w:t>
      </w:r>
    </w:p>
    <w:p>
      <w:pPr>
        <w:spacing w:after="0" w:line="23" w:lineRule="exact"/>
        <w:rPr>
          <w:sz w:val="20"/>
          <w:szCs w:val="20"/>
          <w:color w:val="auto"/>
        </w:rPr>
      </w:pPr>
    </w:p>
    <w:p>
      <w:pPr>
        <w:ind w:left="1685" w:hanging="611"/>
        <w:spacing w:after="0"/>
        <w:tabs>
          <w:tab w:leader="none" w:pos="1685" w:val="left"/>
        </w:tabs>
        <w:numPr>
          <w:ilvl w:val="0"/>
          <w:numId w:val="8"/>
        </w:numPr>
        <w:rPr>
          <w:rFonts w:ascii="Arial" w:cs="Arial" w:eastAsia="Arial" w:hAnsi="Arial"/>
          <w:sz w:val="16"/>
          <w:szCs w:val="16"/>
          <w:color w:val="auto"/>
        </w:rPr>
      </w:pPr>
      <w:r>
        <w:rPr>
          <w:rFonts w:ascii="Arial" w:cs="Arial" w:eastAsia="Arial" w:hAnsi="Arial"/>
          <w:sz w:val="16"/>
          <w:szCs w:val="16"/>
          <w:color w:val="auto"/>
        </w:rPr>
        <w:t>(1,000,000)</w:t>
      </w:r>
    </w:p>
    <w:p>
      <w:pPr>
        <w:spacing w:after="0" w:line="45" w:lineRule="exact"/>
        <w:rPr>
          <w:rFonts w:ascii="Arial" w:cs="Arial" w:eastAsia="Arial" w:hAnsi="Arial"/>
          <w:sz w:val="16"/>
          <w:szCs w:val="16"/>
          <w:color w:val="auto"/>
        </w:rPr>
      </w:pPr>
    </w:p>
    <w:p>
      <w:pPr>
        <w:ind w:left="585"/>
        <w:spacing w:after="0"/>
        <w:rPr>
          <w:rFonts w:ascii="Arial" w:cs="Arial" w:eastAsia="Arial" w:hAnsi="Arial"/>
          <w:sz w:val="16"/>
          <w:szCs w:val="16"/>
          <w:color w:val="auto"/>
        </w:rPr>
      </w:pPr>
      <w:r>
        <w:rPr>
          <w:rFonts w:ascii="Arial" w:cs="Arial" w:eastAsia="Arial" w:hAnsi="Arial"/>
          <w:sz w:val="18"/>
          <w:szCs w:val="18"/>
          <w:color w:val="auto"/>
        </w:rPr>
        <w:t>(45,254)</w:t>
      </w:r>
      <w:r>
        <w:rPr>
          <w:rFonts w:ascii="Arial" w:cs="Arial" w:eastAsia="Arial" w:hAnsi="Arial"/>
          <w:sz w:val="16"/>
          <w:szCs w:val="16"/>
          <w:color w:val="auto"/>
        </w:rPr>
        <w:t>(1,061,457)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6019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6019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156019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05"/>
        <w:spacing w:after="0"/>
        <w:tabs>
          <w:tab w:leader="none" w:pos="1625" w:val="left"/>
        </w:tabs>
        <w:rPr>
          <w:sz w:val="20"/>
          <w:szCs w:val="20"/>
          <w:color w:val="auto"/>
        </w:rPr>
      </w:pPr>
      <w:r>
        <w:rPr>
          <w:rFonts w:ascii="Arial" w:cs="Arial" w:eastAsia="Arial" w:hAnsi="Arial"/>
          <w:sz w:val="17"/>
          <w:szCs w:val="17"/>
          <w:color w:val="auto"/>
        </w:rPr>
        <w:t>1,332,080</w:t>
      </w:r>
      <w:r>
        <w:rPr>
          <w:sz w:val="20"/>
          <w:szCs w:val="20"/>
          <w:color w:val="auto"/>
        </w:rPr>
        <w:tab/>
      </w:r>
      <w:r>
        <w:rPr>
          <w:rFonts w:ascii="Arial" w:cs="Arial" w:eastAsia="Arial" w:hAnsi="Arial"/>
          <w:sz w:val="17"/>
          <w:szCs w:val="17"/>
          <w:color w:val="auto"/>
        </w:rPr>
        <w:t>22,369,960</w:t>
      </w:r>
    </w:p>
    <w:p>
      <w:pPr>
        <w:spacing w:after="0" w:line="35" w:lineRule="exact"/>
        <w:rPr>
          <w:sz w:val="20"/>
          <w:szCs w:val="20"/>
          <w:color w:val="auto"/>
        </w:rPr>
      </w:pPr>
    </w:p>
    <w:p>
      <w:pPr>
        <w:ind w:left="1825" w:hanging="751"/>
        <w:spacing w:after="0"/>
        <w:tabs>
          <w:tab w:leader="none" w:pos="1825" w:val="left"/>
        </w:tabs>
        <w:numPr>
          <w:ilvl w:val="0"/>
          <w:numId w:val="9"/>
        </w:numPr>
        <w:rPr>
          <w:rFonts w:ascii="Arial" w:cs="Arial" w:eastAsia="Arial" w:hAnsi="Arial"/>
          <w:sz w:val="16"/>
          <w:szCs w:val="16"/>
          <w:color w:val="auto"/>
        </w:rPr>
      </w:pPr>
      <w:r>
        <w:rPr>
          <w:rFonts w:ascii="Arial" w:cs="Arial" w:eastAsia="Arial" w:hAnsi="Arial"/>
          <w:sz w:val="16"/>
          <w:szCs w:val="16"/>
          <w:color w:val="auto"/>
        </w:rPr>
        <w:t>(301,711)</w:t>
      </w:r>
    </w:p>
    <w:p>
      <w:pPr>
        <w:spacing w:after="0" w:line="32" w:lineRule="exact"/>
        <w:rPr>
          <w:rFonts w:ascii="Arial" w:cs="Arial" w:eastAsia="Arial" w:hAnsi="Arial"/>
          <w:sz w:val="16"/>
          <w:szCs w:val="16"/>
          <w:color w:val="auto"/>
        </w:rPr>
      </w:pPr>
    </w:p>
    <w:p>
      <w:pPr>
        <w:ind w:left="345"/>
        <w:spacing w:after="0"/>
        <w:rPr>
          <w:rFonts w:ascii="Arial" w:cs="Arial" w:eastAsia="Arial" w:hAnsi="Arial"/>
          <w:sz w:val="16"/>
          <w:szCs w:val="16"/>
          <w:color w:val="auto"/>
        </w:rPr>
      </w:pPr>
      <w:r>
        <w:rPr>
          <w:rFonts w:ascii="Arial" w:cs="Arial" w:eastAsia="Arial" w:hAnsi="Arial"/>
          <w:sz w:val="18"/>
          <w:szCs w:val="18"/>
          <w:color w:val="auto"/>
        </w:rPr>
        <w:t>(4,389,187)-</w:t>
      </w:r>
    </w:p>
    <w:p>
      <w:pPr>
        <w:spacing w:after="0" w:line="22" w:lineRule="exact"/>
        <w:rPr>
          <w:rFonts w:ascii="Arial" w:cs="Arial" w:eastAsia="Arial" w:hAnsi="Arial"/>
          <w:sz w:val="16"/>
          <w:szCs w:val="16"/>
          <w:color w:val="auto"/>
        </w:rPr>
      </w:pPr>
    </w:p>
    <w:p>
      <w:pPr>
        <w:ind w:left="345"/>
        <w:spacing w:after="0"/>
        <w:rPr>
          <w:rFonts w:ascii="Arial" w:cs="Arial" w:eastAsia="Arial" w:hAnsi="Arial"/>
          <w:sz w:val="16"/>
          <w:szCs w:val="16"/>
          <w:color w:val="auto"/>
        </w:rPr>
      </w:pPr>
      <w:r>
        <w:rPr>
          <w:rFonts w:ascii="Arial" w:cs="Arial" w:eastAsia="Arial" w:hAnsi="Arial"/>
          <w:sz w:val="18"/>
          <w:szCs w:val="18"/>
          <w:color w:val="auto"/>
        </w:rPr>
        <w:t>(3,057,107)</w:t>
      </w:r>
      <w:r>
        <w:rPr>
          <w:rFonts w:ascii="Arial" w:cs="Arial" w:eastAsia="Arial" w:hAnsi="Arial"/>
          <w:sz w:val="16"/>
          <w:szCs w:val="16"/>
          <w:color w:val="auto"/>
        </w:rPr>
        <w:t>22,068,249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6019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6019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156019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58" w:lineRule="exact"/>
        <w:rPr>
          <w:sz w:val="20"/>
          <w:szCs w:val="20"/>
          <w:color w:val="auto"/>
        </w:rPr>
      </w:pPr>
    </w:p>
    <w:p>
      <w:pPr>
        <w:ind w:left="345"/>
        <w:spacing w:after="0"/>
        <w:tabs>
          <w:tab w:leader="none" w:pos="1625" w:val="left"/>
        </w:tabs>
        <w:rPr>
          <w:sz w:val="20"/>
          <w:szCs w:val="20"/>
          <w:color w:val="auto"/>
        </w:rPr>
      </w:pPr>
      <w:r>
        <w:rPr>
          <w:rFonts w:ascii="Arial" w:cs="Arial" w:eastAsia="Arial" w:hAnsi="Arial"/>
          <w:sz w:val="17"/>
          <w:szCs w:val="17"/>
          <w:color w:val="auto"/>
        </w:rPr>
        <w:t>(6,820,142)</w:t>
      </w:r>
      <w:r>
        <w:rPr>
          <w:sz w:val="20"/>
          <w:szCs w:val="20"/>
          <w:color w:val="auto"/>
        </w:rPr>
        <w:tab/>
      </w:r>
      <w:r>
        <w:rPr>
          <w:rFonts w:ascii="Arial" w:cs="Arial" w:eastAsia="Arial" w:hAnsi="Arial"/>
          <w:sz w:val="17"/>
          <w:szCs w:val="17"/>
          <w:color w:val="auto"/>
        </w:rPr>
        <w:t>20,845,933</w:t>
      </w:r>
    </w:p>
    <w:p>
      <w:pPr>
        <w:spacing w:after="0" w:line="250" w:lineRule="exact"/>
        <w:rPr>
          <w:sz w:val="20"/>
          <w:szCs w:val="20"/>
          <w:color w:val="auto"/>
        </w:rPr>
      </w:pPr>
    </w:p>
    <w:p>
      <w:pPr>
        <w:ind w:left="325"/>
        <w:spacing w:after="0"/>
        <w:tabs>
          <w:tab w:leader="none" w:pos="1725" w:val="left"/>
        </w:tabs>
        <w:rPr>
          <w:sz w:val="20"/>
          <w:szCs w:val="20"/>
          <w:color w:val="auto"/>
        </w:rPr>
      </w:pPr>
      <w:r>
        <w:rPr>
          <w:rFonts w:ascii="Arial" w:cs="Arial" w:eastAsia="Arial" w:hAnsi="Arial"/>
          <w:sz w:val="17"/>
          <w:szCs w:val="17"/>
          <w:color w:val="auto"/>
        </w:rPr>
        <w:t>18,852,680</w:t>
      </w:r>
      <w:r>
        <w:rPr>
          <w:sz w:val="20"/>
          <w:szCs w:val="20"/>
          <w:color w:val="auto"/>
        </w:rPr>
        <w:tab/>
      </w:r>
      <w:r>
        <w:rPr>
          <w:rFonts w:ascii="Arial" w:cs="Arial" w:eastAsia="Arial" w:hAnsi="Arial"/>
          <w:sz w:val="17"/>
          <w:szCs w:val="17"/>
          <w:color w:val="auto"/>
        </w:rPr>
        <w:t>8,914,034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156019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98" w:lineRule="exact"/>
        <w:rPr>
          <w:sz w:val="20"/>
          <w:szCs w:val="20"/>
          <w:color w:val="auto"/>
        </w:rPr>
      </w:pPr>
    </w:p>
    <w:p>
      <w:pPr>
        <w:ind w:left="5"/>
        <w:spacing w:after="0"/>
        <w:tabs>
          <w:tab w:leader="none" w:pos="305" w:val="left"/>
          <w:tab w:leader="none" w:pos="1325" w:val="left"/>
          <w:tab w:leader="none" w:pos="1625" w:val="left"/>
        </w:tabs>
        <w:rPr>
          <w:sz w:val="20"/>
          <w:szCs w:val="20"/>
          <w:color w:val="auto"/>
        </w:rPr>
      </w:pPr>
      <w:r>
        <w:rPr>
          <w:rFonts w:ascii="Arial" w:cs="Arial" w:eastAsia="Arial" w:hAnsi="Arial"/>
          <w:sz w:val="18"/>
          <w:szCs w:val="18"/>
          <w:u w:val="single" w:color="auto"/>
          <w:color w:val="auto"/>
        </w:rPr>
        <w:t>$</w:t>
        <w:tab/>
        <w:t>12,032,538</w:t>
        <w:tab/>
        <w:t>$</w:t>
      </w:r>
      <w:r>
        <w:rPr>
          <w:sz w:val="20"/>
          <w:szCs w:val="20"/>
          <w:color w:val="auto"/>
        </w:rPr>
        <w:tab/>
      </w:r>
      <w:r>
        <w:rPr>
          <w:rFonts w:ascii="Arial" w:cs="Arial" w:eastAsia="Arial" w:hAnsi="Arial"/>
          <w:sz w:val="16"/>
          <w:szCs w:val="16"/>
          <w:u w:val="single" w:color="auto"/>
          <w:color w:val="auto"/>
        </w:rPr>
        <w:t>29,759,967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156019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6019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320" w:space="355"/>
            <w:col w:w="2525"/>
          </w:cols>
          <w:pgMar w:left="320" w:top="796" w:right="379" w:bottom="1440" w:gutter="0" w:footer="0" w:header="0"/>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paid for income taxes</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 additions included in accounts payable</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Acquisition liabilities paid in common stock</w:t>
      </w:r>
    </w:p>
    <w:p>
      <w:pPr>
        <w:spacing w:after="0" w:line="7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Non-cash effect of cumulative adjustments to accumulated deficit</w:t>
      </w:r>
    </w:p>
    <w:p>
      <w:pPr>
        <w:spacing w:after="0" w:line="10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Lease liabilities arising from right of use assets</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1065" w:hanging="1065"/>
        <w:spacing w:after="0"/>
        <w:tabs>
          <w:tab w:leader="none" w:pos="10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tbl>
      <w:tblPr>
        <w:tblLayout w:type="fixed"/>
        <w:tblInd w:w="5" w:type="dxa"/>
        <w:tblCellMar>
          <w:top w:w="0" w:type="dxa"/>
          <w:left w:w="0" w:type="dxa"/>
          <w:bottom w:w="0" w:type="dxa"/>
          <w:right w:w="0" w:type="dxa"/>
        </w:tblCellMar>
      </w:tblPr>
      <w:tr>
        <w:trPr>
          <w:trHeight w:val="40"/>
        </w:trPr>
        <w:tc>
          <w:tcPr>
            <w:tcW w:w="240" w:type="dxa"/>
            <w:vAlign w:val="bottom"/>
            <w:tcBorders>
              <w:top w:val="single" w:sz="8" w:color="auto"/>
              <w:bottom w:val="single" w:sz="8" w:color="auto"/>
            </w:tcBorders>
          </w:tcPr>
          <w:p>
            <w:pPr>
              <w:spacing w:after="0"/>
              <w:rPr>
                <w:sz w:val="3"/>
                <w:szCs w:val="3"/>
                <w:color w:val="auto"/>
              </w:rPr>
            </w:pPr>
          </w:p>
        </w:tc>
        <w:tc>
          <w:tcPr>
            <w:tcW w:w="88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0"/>
        </w:trPr>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20"/>
        </w:trPr>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23"/>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23"/>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1,550,000</w:t>
            </w:r>
          </w:p>
        </w:tc>
        <w:tc>
          <w:tcPr>
            <w:tcW w:w="20" w:type="dxa"/>
            <w:vAlign w:val="bottom"/>
            <w:tcBorders>
              <w:bottom w:val="single" w:sz="8" w:color="auto"/>
            </w:tcBorders>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23"/>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r>
      <w:tr>
        <w:trPr>
          <w:trHeight w:val="223"/>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ind w:left="1060" w:hanging="1055"/>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320" w:type="dxa"/>
            <w:vAlign w:val="bottom"/>
            <w:tcBorders>
              <w:top w:val="single" w:sz="8" w:color="auto"/>
              <w:bottom w:val="single" w:sz="8" w:color="auto"/>
            </w:tcBorders>
          </w:tcPr>
          <w:p>
            <w:pPr>
              <w:spacing w:after="0"/>
              <w:rPr>
                <w:sz w:val="3"/>
                <w:szCs w:val="3"/>
                <w:color w:val="auto"/>
              </w:rPr>
            </w:pPr>
          </w:p>
        </w:tc>
        <w:tc>
          <w:tcPr>
            <w:tcW w:w="80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210"/>
        </w:trPr>
        <w:tc>
          <w:tcPr>
            <w:tcW w:w="32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r>
      <w:tr>
        <w:trPr>
          <w:trHeight w:val="20"/>
        </w:trPr>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20" w:type="dxa"/>
            <w:vAlign w:val="bottom"/>
            <w:tcBorders>
              <w:bottom w:val="single" w:sz="8" w:color="auto"/>
            </w:tcBorders>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3,229</w:t>
            </w:r>
          </w:p>
        </w:tc>
        <w:tc>
          <w:tcPr>
            <w:tcW w:w="20" w:type="dxa"/>
            <w:vAlign w:val="bottom"/>
            <w:tcBorders>
              <w:bottom w:val="single" w:sz="8" w:color="auto"/>
            </w:tcBorders>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r>
      <w:tr>
        <w:trPr>
          <w:trHeight w:val="223"/>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672,809</w:t>
            </w:r>
          </w:p>
        </w:tc>
        <w:tc>
          <w:tcPr>
            <w:tcW w:w="20" w:type="dxa"/>
            <w:vAlign w:val="bottom"/>
            <w:tcBorders>
              <w:bottom w:val="single" w:sz="8" w:color="auto"/>
            </w:tcBorders>
          </w:tcPr>
          <w:p>
            <w:pPr>
              <w:spacing w:after="0"/>
              <w:rPr>
                <w:sz w:val="19"/>
                <w:szCs w:val="19"/>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3">
            <w:col w:w="7955" w:space="720"/>
            <w:col w:w="1125" w:space="220"/>
            <w:col w:w="1180"/>
          </w:cols>
          <w:pgMar w:left="320" w:top="796" w:right="379" w:bottom="1440" w:gutter="0" w:footer="0" w:header="0"/>
          <w:type w:val="continuous"/>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3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96" w:right="37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condensed consolidated financial statements include OptimizeRx Corporation and its wholly owned subsidiaries (collectively, the “Company”, “we”, “our”, or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digital health company that provides communications solutions for life science companies, physicians and patients. Connecting over half of healthcare providers in the U.S. and millions of patients through a proprietary network, the OptimizeRx digital health platform helps patients afford and stay on medications. The platform unlocks new patient and physician touchpoints for life science companies along the patient journey, from point-of-care, to retail pharmacy, through mobile patient engagement.</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condensed consolidated financial statements for the three and nine months ended September 30, 2020 and 2019 are unaudited and have been prepared pursuant to the rules and regulations of the U.S. Securities and Exchange Commission (“SEC”). In the opinion of management, all adjustments necessary to present fairly our consolidated financial position as of September 30, 2020, and our results of operations, changes in stockholders’ equity for the three and nine months ended September 30, 2020 and 2019 and the statements of cash flows for the nine months ended September 30, 2020 and 2019 have been made. Those adjustments consist of normal and recurring adjustments. The condensed consolidated balance sheet as of December 31, 2019 has been derived from the audited consolidated balance sheet as of that date.</w:t>
      </w:r>
    </w:p>
    <w:p>
      <w:pPr>
        <w:spacing w:after="0" w:line="17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Certain information and note disclosures, including a detailed discussion about the Company’s significant accounting policies, normally included in our annual financial statements prepared in accordance with generally accepted accounting principles (“GAAP”) have been condensed or omitted. These consolidated condensed financial statements should be read in conjunction with a reading of the financial statements and notes thereto included in our Annual Report on Form 10-K for the fiscal year ended December 31, 2019, as filed with the U.S. Securities and Exchange Commission on March 26, 2020.</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operate in one reportable segment. The results of operations for the three and nine months ended September 30, 2020 are not necessarily indicative of the results to be expected for the full year. Certain reclassifications have been made in the prior period’s condensed consolidated financial statements to conform to the current period’s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the Company on January 1, 2020. The adoption of this standard did not have a material effect on our financial position, results of operations, or cash flows.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August 2019, the FASB issued ASU 2018-13, Fair Value Measurement (Topic 820): Disclosure Framework-Changes to the Disclosure Requirements for Fair Value Measurement. ASU 2018-13 modifies the disclosure requirements on fair value measurements and became effective for the Company on January 1, 2020. The adoption of this standard did not have a material effect on our financial position, results of operations, or cash flows.</w:t>
      </w: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NEW ACCOUNTING STANDARDS (continued)</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15, 2020, with early adoption permitted. The adoption of this standard is not expected to have a material effect on our financial position,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3 – LEASES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operating leases for office space in three multitenant facilities with lease terms greater than 12 months, which are recorded as assets and liabilities on our balance sheet. These leases include our corporate headquarters, located in Rochester, Michigan, a customer service facility in Cranbury, New Jersey, and a technical facility in Zagreb, Croatia. Certain leases contain renewal options and, for the headquarters lease, we have assumed renewal. Lease-related assets, or right-of-use assets, are recognized at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Amortization of the right of use assets is recognized as non-cash lease expense on a straight-line basis over the lease term, while variable lease payments are expensed as incurred. Short term lease costs include month to month leases in shared office space facilities, such as WeWork, or similar locations.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nine months ended September 30, 2020, the Company’s lease cost consisted of the following components, each of which is included in operating expenses within the Company’s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w:t>
            </w:r>
          </w:p>
        </w:tc>
        <w:tc>
          <w:tcPr>
            <w:tcW w:w="11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Ended</w:t>
            </w:r>
          </w:p>
        </w:tc>
        <w:tc>
          <w:tcPr>
            <w:tcW w:w="20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18"/>
                <w:szCs w:val="18"/>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September 30,</w:t>
            </w:r>
          </w:p>
        </w:tc>
        <w:tc>
          <w:tcPr>
            <w:tcW w:w="0" w:type="dxa"/>
            <w:vAlign w:val="bottom"/>
          </w:tcPr>
          <w:p>
            <w:pPr>
              <w:spacing w:after="0"/>
              <w:rPr>
                <w:sz w:val="1"/>
                <w:szCs w:val="1"/>
                <w:color w:val="auto"/>
              </w:rPr>
            </w:pPr>
          </w:p>
        </w:tc>
      </w:tr>
      <w:tr>
        <w:trPr>
          <w:trHeight w:val="241"/>
        </w:trPr>
        <w:tc>
          <w:tcPr>
            <w:tcW w:w="8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640" w:type="dxa"/>
            <w:vAlign w:val="bottom"/>
          </w:tcPr>
          <w:p>
            <w:pPr>
              <w:spacing w:after="0" w:line="201" w:lineRule="exact"/>
              <w:rPr>
                <w:sz w:val="20"/>
                <w:szCs w:val="20"/>
                <w:color w:val="auto"/>
              </w:rPr>
            </w:pPr>
            <w:r>
              <w:rPr>
                <w:rFonts w:ascii="Arial" w:cs="Arial" w:eastAsia="Arial" w:hAnsi="Arial"/>
                <w:sz w:val="18"/>
                <w:szCs w:val="18"/>
                <w:color w:val="auto"/>
              </w:rPr>
              <w:t>Operating lease cost</w:t>
            </w:r>
          </w:p>
        </w:tc>
        <w:tc>
          <w:tcPr>
            <w:tcW w:w="20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32,814</w:t>
            </w:r>
          </w:p>
        </w:tc>
        <w:tc>
          <w:tcPr>
            <w:tcW w:w="220" w:type="dxa"/>
            <w:vAlign w:val="bottom"/>
          </w:tcPr>
          <w:p>
            <w:pPr>
              <w:spacing w:after="0"/>
              <w:rPr>
                <w:sz w:val="17"/>
                <w:szCs w:val="17"/>
                <w:color w:val="auto"/>
              </w:rPr>
            </w:pP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98,441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40" w:type="dxa"/>
            <w:vAlign w:val="bottom"/>
          </w:tcPr>
          <w:p>
            <w:pPr>
              <w:spacing w:after="0"/>
              <w:rPr>
                <w:sz w:val="20"/>
                <w:szCs w:val="20"/>
                <w:color w:val="auto"/>
              </w:rPr>
            </w:pPr>
            <w:r>
              <w:rPr>
                <w:rFonts w:ascii="Arial" w:cs="Arial" w:eastAsia="Arial" w:hAnsi="Arial"/>
                <w:sz w:val="18"/>
                <w:szCs w:val="18"/>
                <w:color w:val="auto"/>
              </w:rPr>
              <w:t>Short-term lease cost (1)</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36,002</w:t>
            </w:r>
          </w:p>
        </w:tc>
        <w:tc>
          <w:tcPr>
            <w:tcW w:w="20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116,817</w:t>
            </w:r>
          </w:p>
        </w:tc>
        <w:tc>
          <w:tcPr>
            <w:tcW w:w="0" w:type="dxa"/>
            <w:vAlign w:val="bottom"/>
          </w:tcPr>
          <w:p>
            <w:pPr>
              <w:spacing w:after="0"/>
              <w:rPr>
                <w:sz w:val="1"/>
                <w:szCs w:val="1"/>
                <w:color w:val="auto"/>
              </w:rPr>
            </w:pPr>
          </w:p>
        </w:tc>
      </w:tr>
      <w:tr>
        <w:trPr>
          <w:trHeight w:val="27"/>
        </w:trPr>
        <w:tc>
          <w:tcPr>
            <w:tcW w:w="8640" w:type="dxa"/>
            <w:vAlign w:val="bottom"/>
            <w:vMerge w:val="restart"/>
          </w:tcPr>
          <w:p>
            <w:pPr>
              <w:spacing w:after="0"/>
              <w:rPr>
                <w:sz w:val="20"/>
                <w:szCs w:val="20"/>
                <w:color w:val="auto"/>
              </w:rPr>
            </w:pPr>
            <w:r>
              <w:rPr>
                <w:rFonts w:ascii="Arial" w:cs="Arial" w:eastAsia="Arial" w:hAnsi="Arial"/>
                <w:sz w:val="18"/>
                <w:szCs w:val="18"/>
                <w:color w:val="auto"/>
              </w:rPr>
              <w:t>Total lease cost</w:t>
            </w: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40" w:type="dxa"/>
            <w:vAlign w:val="bottom"/>
            <w:vMerge w:val="continue"/>
          </w:tcPr>
          <w:p>
            <w:pPr>
              <w:spacing w:after="0"/>
              <w:rPr>
                <w:sz w:val="21"/>
                <w:szCs w:val="21"/>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68,816</w:t>
            </w:r>
          </w:p>
        </w:tc>
        <w:tc>
          <w:tcPr>
            <w:tcW w:w="200" w:type="dxa"/>
            <w:vAlign w:val="bottom"/>
          </w:tcPr>
          <w:p>
            <w:pPr>
              <w:jc w:val="right"/>
              <w:ind w:right="38"/>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215,258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00" w:right="5460" w:hanging="5592"/>
        <w:spacing w:after="0" w:line="764" w:lineRule="auto"/>
        <w:tabs>
          <w:tab w:leader="none" w:pos="331" w:val="left"/>
        </w:tabs>
        <w:numPr>
          <w:ilvl w:val="0"/>
          <w:numId w:val="12"/>
        </w:numPr>
        <w:rPr>
          <w:rFonts w:ascii="Arial" w:cs="Arial" w:eastAsia="Arial" w:hAnsi="Arial"/>
          <w:sz w:val="16"/>
          <w:szCs w:val="16"/>
          <w:color w:val="auto"/>
        </w:rPr>
      </w:pPr>
      <w:r>
        <w:rPr>
          <w:rFonts w:ascii="Arial" w:cs="Arial" w:eastAsia="Arial" w:hAnsi="Arial"/>
          <w:sz w:val="16"/>
          <w:szCs w:val="16"/>
          <w:color w:val="auto"/>
        </w:rPr>
        <w:t>Short-term lease cost includes any lease with a term of less than 12 months.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LEASES (continued)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For the three and nine months ended September 30, 2019, the Company’s lease cost consisted of the following components, each of which is included in operating expenses within the Company’s condensed consolidated statements of operations: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Operating lease cost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Short-term lease cost (1)</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lease cost</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(1)  Short-term lease cost includes any lease with a term of less than 12 months.</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Three Months</w:t>
      </w:r>
    </w:p>
    <w:p>
      <w:pPr>
        <w:spacing w:after="0" w:line="3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33,868</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5"/>
          <w:szCs w:val="15"/>
          <w:color w:val="auto"/>
        </w:rPr>
        <w:t>11,771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00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77"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45,639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00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55245</wp:posOffset>
            </wp:positionV>
            <wp:extent cx="7200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Nine Months</w:t>
      </w:r>
    </w:p>
    <w:p>
      <w:pPr>
        <w:spacing w:after="0" w:line="27" w:lineRule="exact"/>
        <w:rPr>
          <w:sz w:val="20"/>
          <w:szCs w:val="20"/>
          <w:color w:val="auto"/>
        </w:rPr>
      </w:pPr>
    </w:p>
    <w:p>
      <w:pPr>
        <w:jc w:val="center"/>
        <w:ind w:right="158"/>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98"/>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p>
      <w:pPr>
        <w:jc w:val="center"/>
        <w:ind w:right="98"/>
        <w:spacing w:after="0"/>
        <w:rPr>
          <w:sz w:val="20"/>
          <w:szCs w:val="20"/>
          <w:color w:val="auto"/>
        </w:rPr>
      </w:pP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00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 w:lineRule="exact"/>
        <w:rPr>
          <w:sz w:val="20"/>
          <w:szCs w:val="20"/>
          <w:color w:val="auto"/>
        </w:rPr>
      </w:pPr>
    </w:p>
    <w:p>
      <w:pPr>
        <w:ind w:left="642" w:hanging="642"/>
        <w:spacing w:after="0"/>
        <w:tabs>
          <w:tab w:leader="none" w:pos="6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98,043</w:t>
      </w:r>
    </w:p>
    <w:p>
      <w:pPr>
        <w:spacing w:after="0" w:line="46" w:lineRule="exact"/>
        <w:rPr>
          <w:rFonts w:ascii="Arial" w:cs="Arial" w:eastAsia="Arial" w:hAnsi="Arial"/>
          <w:sz w:val="16"/>
          <w:szCs w:val="16"/>
          <w:color w:val="auto"/>
        </w:rPr>
      </w:pPr>
    </w:p>
    <w:p>
      <w:pPr>
        <w:ind w:left="642"/>
        <w:spacing w:after="0"/>
        <w:rPr>
          <w:rFonts w:ascii="Arial" w:cs="Arial" w:eastAsia="Arial" w:hAnsi="Arial"/>
          <w:sz w:val="16"/>
          <w:szCs w:val="16"/>
          <w:color w:val="auto"/>
        </w:rPr>
      </w:pPr>
      <w:r>
        <w:rPr>
          <w:rFonts w:ascii="Arial" w:cs="Arial" w:eastAsia="Arial" w:hAnsi="Arial"/>
          <w:sz w:val="16"/>
          <w:szCs w:val="16"/>
          <w:color w:val="auto"/>
        </w:rPr>
        <w:t>30,663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65" w:lineRule="exact"/>
        <w:rPr>
          <w:sz w:val="20"/>
          <w:szCs w:val="20"/>
          <w:color w:val="auto"/>
        </w:rPr>
      </w:pPr>
    </w:p>
    <w:p>
      <w:pPr>
        <w:ind w:left="542" w:hanging="542"/>
        <w:spacing w:after="0"/>
        <w:tabs>
          <w:tab w:leader="none" w:pos="542" w:val="left"/>
        </w:tabs>
        <w:numPr>
          <w:ilvl w:val="0"/>
          <w:numId w:val="16"/>
        </w:numPr>
        <w:rPr>
          <w:rFonts w:ascii="Arial" w:cs="Arial" w:eastAsia="Arial" w:hAnsi="Arial"/>
          <w:sz w:val="16"/>
          <w:szCs w:val="16"/>
          <w:color w:val="auto"/>
        </w:rPr>
      </w:pPr>
      <w:r>
        <w:rPr>
          <w:rFonts w:ascii="Arial" w:cs="Arial" w:eastAsia="Arial" w:hAnsi="Arial"/>
          <w:sz w:val="16"/>
          <w:szCs w:val="16"/>
          <w:color w:val="auto"/>
        </w:rPr>
        <w:t>128,706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200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200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726" w:lineRule="exact"/>
        <w:rPr>
          <w:sz w:val="20"/>
          <w:szCs w:val="20"/>
          <w:color w:val="auto"/>
        </w:rPr>
      </w:pPr>
    </w:p>
    <w:p>
      <w:pPr>
        <w:sectPr>
          <w:pgSz w:w="11900" w:h="16838" w:orient="portrait"/>
          <w:cols w:equalWidth="0" w:num="3">
            <w:col w:w="7920" w:space="720"/>
            <w:col w:w="1140" w:space="218"/>
            <w:col w:w="1242"/>
          </w:cols>
          <w:pgMar w:left="320" w:top="796" w:right="339" w:bottom="1440" w:gutter="0" w:footer="0" w:header="0"/>
          <w:type w:val="continuous"/>
        </w:sectPr>
      </w:pP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gridSpan w:val="2"/>
          </w:tcPr>
          <w:p>
            <w:pPr>
              <w:spacing w:after="0"/>
              <w:rPr>
                <w:sz w:val="20"/>
                <w:szCs w:val="20"/>
                <w:color w:val="auto"/>
              </w:rPr>
            </w:pPr>
            <w:r>
              <w:rPr>
                <w:rFonts w:ascii="Arial" w:cs="Arial" w:eastAsia="Arial" w:hAnsi="Arial"/>
                <w:sz w:val="18"/>
                <w:szCs w:val="18"/>
                <w:color w:val="auto"/>
              </w:rPr>
              <w:t>The table below presents the future minimum lease payments to be made under operating leases as of September 30, 2020: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5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As of September 30, 2020</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02"/>
        </w:trPr>
        <w:tc>
          <w:tcPr>
            <w:tcW w:w="9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2020 (a)</w:t>
            </w:r>
          </w:p>
        </w:tc>
        <w:tc>
          <w:tcPr>
            <w:tcW w:w="120" w:type="dxa"/>
            <w:vAlign w:val="bottom"/>
          </w:tcPr>
          <w:p>
            <w:pPr>
              <w:spacing w:after="0"/>
              <w:rPr>
                <w:sz w:val="17"/>
                <w:szCs w:val="17"/>
                <w:color w:val="auto"/>
              </w:rPr>
            </w:pPr>
          </w:p>
        </w:tc>
        <w:tc>
          <w:tcPr>
            <w:tcW w:w="320" w:type="dxa"/>
            <w:vAlign w:val="bottom"/>
          </w:tcPr>
          <w:p>
            <w:pPr>
              <w:jc w:val="right"/>
              <w:ind w:right="130"/>
              <w:spacing w:after="0" w:line="201"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34,636</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140,367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102,367</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99,209</w:t>
            </w:r>
          </w:p>
        </w:tc>
      </w:tr>
      <w:tr>
        <w:trPr>
          <w:trHeight w:val="216"/>
        </w:trPr>
        <w:tc>
          <w:tcPr>
            <w:tcW w:w="9900" w:type="dxa"/>
            <w:vAlign w:val="bottom"/>
          </w:tcPr>
          <w:p>
            <w:pPr>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80,375</w:t>
            </w:r>
          </w:p>
        </w:tc>
      </w:tr>
      <w:tr>
        <w:trPr>
          <w:trHeight w:val="251"/>
        </w:trPr>
        <w:tc>
          <w:tcPr>
            <w:tcW w:w="100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r>
      <w:tr>
        <w:trPr>
          <w:trHeight w:val="202"/>
        </w:trPr>
        <w:tc>
          <w:tcPr>
            <w:tcW w:w="10020" w:type="dxa"/>
            <w:vAlign w:val="bottom"/>
            <w:gridSpan w:val="2"/>
          </w:tcPr>
          <w:p>
            <w:pPr>
              <w:spacing w:after="0" w:line="201" w:lineRule="exact"/>
              <w:rPr>
                <w:sz w:val="20"/>
                <w:szCs w:val="20"/>
                <w:color w:val="auto"/>
              </w:rPr>
            </w:pPr>
            <w:r>
              <w:rPr>
                <w:rFonts w:ascii="Arial" w:cs="Arial" w:eastAsia="Arial" w:hAnsi="Arial"/>
                <w:sz w:val="18"/>
                <w:szCs w:val="18"/>
                <w:color w:val="auto"/>
              </w:rPr>
              <w:t>Total</w:t>
            </w:r>
          </w:p>
        </w:tc>
        <w:tc>
          <w:tcPr>
            <w:tcW w:w="32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rPr>
              <w:t>527,177</w:t>
            </w:r>
          </w:p>
        </w:tc>
      </w:tr>
      <w:tr>
        <w:trPr>
          <w:trHeight w:val="251"/>
        </w:trPr>
        <w:tc>
          <w:tcPr>
            <w:tcW w:w="1002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48,977</w:t>
            </w:r>
          </w:p>
        </w:tc>
      </w:tr>
      <w:tr>
        <w:trPr>
          <w:trHeight w:val="250"/>
        </w:trPr>
        <w:tc>
          <w:tcPr>
            <w:tcW w:w="10020" w:type="dxa"/>
            <w:vAlign w:val="bottom"/>
            <w:gridSpan w:val="2"/>
          </w:tcPr>
          <w:p>
            <w:pPr>
              <w:spacing w:after="0"/>
              <w:rPr>
                <w:sz w:val="20"/>
                <w:szCs w:val="20"/>
                <w:color w:val="auto"/>
              </w:rPr>
            </w:pPr>
            <w:r>
              <w:rPr>
                <w:rFonts w:ascii="Arial" w:cs="Arial" w:eastAsia="Arial" w:hAnsi="Arial"/>
                <w:sz w:val="18"/>
                <w:szCs w:val="18"/>
                <w:color w:val="auto"/>
              </w:rPr>
              <w:t>Total lease liabilities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478,200</w:t>
            </w:r>
          </w:p>
        </w:tc>
      </w:tr>
      <w:tr>
        <w:trPr>
          <w:trHeight w:val="21"/>
        </w:trPr>
        <w:tc>
          <w:tcPr>
            <w:tcW w:w="9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For the three-month period beginning October 1, 2020.</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weighted average remaining lease term at September 30, 2020 for operating leases is 4.5 years and the weighted average discount rate used in calculating the operating lease asset and liability is 4.5%. Cash paid for amounts included in the measurement of lease liabilities was $105,267 and $94,105 for the nine months ended September 30, 2020 and 2019, respectively. Cash paid for amounts included in the measurement of lease liabilities was $33,919 and $29,930 for the three months ended September 30, 2020 and 2019, respectively. For the three months ended September 30, 2020 and 2019, payments on lease obligations were $28,482 and $27,134, respectively, and amortization on the right of use assets was $28,600 and $27,430, respectively. For the nine months ended September 30, 2020 and 2019, payments on lease obligations were $87,599 and $79,071, respectively, and amortization on the right of use assets was $84,957 and $80,022, respectively.</w:t>
      </w:r>
    </w:p>
    <w:p>
      <w:pPr>
        <w:spacing w:after="0" w:line="2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CONTINGENT PURCHASE PRICE PAYABLE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contingent purchase price payable relates to the acquisitions of CareSpeak Communications in 2018 and RMDY Health in 2019. The CareSpeak contingent amount is based on the CareSpeak product line achieving certain revenue targets in 2019 and 2020. The revenue target for 2019 was achieved and the revenue target for 2020 has been achieved as of September 30, 2020. The maximum amount payable under the agreement is $3.0 million. A total of $1,389,187 has been paid so far in 2020 and the remaining balance of $1,610,813 is payable in early 2021 and is reflected as a short-term liability on the consolidated balance sheet.</w:t>
      </w:r>
    </w:p>
    <w:p>
      <w:pPr>
        <w:spacing w:after="0" w:line="18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RMDY Health contingent amount was based on that product line achieving certain revenue targets in 2020 and 2021. The minimum amount payable under the agreement was $2.0 million and the maximum amount payable was $30 million. As of the acquisition date in 2019, we estimated the contingent purchase price payable to be $3.72 million and recorded that amount in 2019. During the quarter ended September 30, 2020, we reached an agreement with the RMDY Health shareholders to fix the liability at $3.75 million payable in a combination of cash and stock. A total of $3.0 million was paid in cash and $750,000 in common stock. There is no further liability to the former shareholders of RMDY Health as of September 30, 2020.</w:t>
      </w:r>
    </w:p>
    <w:p>
      <w:pPr>
        <w:spacing w:after="0" w:line="16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income statement includes a charge of $140,390 related to the change in fair value of the contingent consideration. There are three components to this charge. The first is the $30,000 recorded as of June 30, 2020 to adjust the initial estimate of $3.72 million to $3.75 million. The second component relates to the payment in common stock. Under the terms of the agreement, the number of shares to be issued was calculated based on a volume weighted average price. On the date of the agreement, the value of the stock exceeded the volume weighted average price, so the difference was recorded as a change in the fair value. The third component was a deferred payment related to potential claims, previously included in accrued expenses, that was payable either in stock or cash of $800,000. We chose to make this payment in stock and the number of shares was also based on a volume weighted average price. On the date of the agreement, the value of the stock exceeded the volume weighted average price, so the difference was recorded as a change in the fair value. The change in the fair value of contingent consideration recorded in the quarter ended September 30, 2020, was entirely related to the variance between the volume weighted average prices and actual price of the common stock on the date of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5 – STOCKHOLDERS’ EQUITY</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quarters ended September, 30, 2020, June 30, 2020, and March 31, 2020, we issued 198,024 shares, 55,731 shares, and 35,032 shares of our common stock, and received proceeds of $1,045,097, $174,831 and $112,152, respectively, in connection with the exercise of stock options under our 2013 incentive plan.</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quarters ended September 30, 2019, June 30, 2019 and March 31, 2019, we issued 48,775 shares, 60,295 shares and 101,878 shares of our common stock, and received proceeds of $206,324, $214,314 and $343,785, respectively, in connection with the exercise of stock options under our 2013 incentive plan. We also issued 130,001 shares of our common stock in the quarter ended March 31, 2019 in connection with restricted stock awards awarded in 2018.</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issued 63,560 shares of our common stock in the nine months ended September 30, 2020 in connection with restricted stock awards as described in more detail in Note 6 – Stock Based Compensation.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Director Compensation Plan calls for issuance of shares of common stock each quarter to each independent director. In 2020, we issued 11,136 shares valued at $100,000 in the quarter ended March 31, 2020, 7,748 shares valued at $100,027 in the quarter ended June 30, 2020, and 5,915 shares valued at $124,984 in the quarter ended September 30, 2020. In 2019, we issued 8,336 shares each quarter, valued at $106,034, $135,043 and $120,705 for the quarters ended March 31, June 30 and September 30, respectively.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June 30, 2019, in an underwritten primary offering, we issued 1,769,275 shares of our common stock for gross proceeds of $23,000,575. In connection with this transaction, we incurred equity issuance costs of $1,696,749 related to payments to the underwriter, advisors and legal fees associated with the transaction, resulting in net proceeds to our company of $21,303,826.</w:t>
      </w:r>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STOCK BASED COMPENSATION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 fair value method to account for stock-based compensation. We recorded $1,447,826 and $1,329,713 in compensation expense in the nine months ended September 30, 2020 and 2019, respectively, related to options issued under our 2013 incentive plan. This includes expense related to options issued in prior years for which the requisite service period for those options includes the current period as well as options issued in the current period. The fair value of these instruments was calculated using the Black-Scholes option pricing model. There is $1,603,417 of remaining expense related to unvested options to be recognized in the future over a weighted average remaining period of approximately 1.7 years. The total intrinsic value of outstanding options at September 30, 2020 was $22,611,933.</w:t>
      </w:r>
    </w:p>
    <w:p>
      <w:pPr>
        <w:spacing w:after="0" w:line="19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also recorded expense related to restricted stock awards of $618,783 and $78,225 for the nine months ended September 30, 2020 and 2019, respectively. As of September 30, 2020, there was $832,473 of remaining expense related to unvested restricted stock awards to be recognized in the future related to 111,186 shares of restricted stock awards that were unvested at September 30, 2020. A total of 63,560 shares related to these restricted stock awards vested in 2020 and were issued during the nine months ended September 30,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7 – EARNINGS (LOSS)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20" w:type="dxa"/>
            <w:vAlign w:val="bottom"/>
            <w:gridSpan w:val="5"/>
          </w:tcPr>
          <w:p>
            <w:pPr>
              <w:jc w:val="right"/>
              <w:ind w:right="6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300" w:type="dxa"/>
            <w:vAlign w:val="bottom"/>
            <w:gridSpan w:val="6"/>
          </w:tcPr>
          <w:p>
            <w:pPr>
              <w:jc w:val="right"/>
              <w:ind w:right="5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52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30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Numerator</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(282,894)</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(1,570,942)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(3,564,293)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(1,157,796)</w:t>
            </w: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7"/>
              </w:rPr>
              <w:t>Weighted average shares outstanding used in computing earnings per share</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spacing w:after="0"/>
              <w:rPr>
                <w:sz w:val="22"/>
                <w:szCs w:val="22"/>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14,900,971</w:t>
            </w:r>
          </w:p>
        </w:tc>
        <w:tc>
          <w:tcPr>
            <w:tcW w:w="20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14,146,489</w:t>
            </w:r>
          </w:p>
        </w:tc>
        <w:tc>
          <w:tcPr>
            <w:tcW w:w="200" w:type="dxa"/>
            <w:vAlign w:val="bottom"/>
          </w:tcPr>
          <w:p>
            <w:pPr>
              <w:spacing w:after="0"/>
              <w:rPr>
                <w:sz w:val="22"/>
                <w:szCs w:val="22"/>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14,726,534</w:t>
            </w:r>
          </w:p>
        </w:tc>
        <w:tc>
          <w:tcPr>
            <w:tcW w:w="200" w:type="dxa"/>
            <w:vAlign w:val="bottom"/>
          </w:tcPr>
          <w:p>
            <w:pPr>
              <w:spacing w:after="0"/>
              <w:rPr>
                <w:sz w:val="22"/>
                <w:szCs w:val="22"/>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12,996,590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14,900,971</w:t>
            </w: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14,146,489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14,726,534</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12,996,590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rPr>
                <w:sz w:val="20"/>
                <w:szCs w:val="20"/>
                <w:color w:val="auto"/>
              </w:rPr>
            </w:pPr>
            <w:r>
              <w:rPr>
                <w:rFonts w:ascii="Arial" w:cs="Arial" w:eastAsia="Arial" w:hAnsi="Arial"/>
                <w:sz w:val="18"/>
                <w:szCs w:val="18"/>
                <w:color w:val="auto"/>
              </w:rPr>
              <w:t>Loss per share</w:t>
            </w: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 calculation of diluted earnings per share is included as the effect of the calculation would be antidilutive. The number of common shares potentially issuable upon the exercise of certain options that were excluded from the diluted loss per common share calculation was 984,084 and 802,330 shares in the three and nine months ended September 30, 2020, respectively, related to options, and 111,186 shares related to restricted stock for the three and nine months ended September 30, 2020. This results in total shares excluded from the calculation of 1,095,270 and 913,516 for the three and nine months ended September 30, 2020, respectively. Total shares excluded from the calculation were 1,039,598 and 955,740 for the three and nine months ended September 30, 2019.</w:t>
      </w:r>
    </w:p>
    <w:p>
      <w:pPr>
        <w:spacing w:after="0" w:line="3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8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currently involved in any 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9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In October 2020, we received proceeds of $201,855 and issued 36,420 shares of common stock in conjunction with the exercise of stock options.</w:t>
      </w:r>
    </w:p>
    <w:p>
      <w:pPr>
        <w:spacing w:after="0" w:line="23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we have analyzed events and transactions that occurred subsequent to September 30, 2020 through the date these financial statements were issued and have determined that we do not have any other material subsequent events to disclose or recognize in these financial statements.</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cybersecurity,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full extent of the impact of the COVID-19 pandemic on our business, operations and financial results will depend on numerous evolving factors that we may not be able to accurately predict at the present time. In an effort to contain COVID-19 or slow its spread, governments around the world have enacted various measures, including orders to close all businesses not deemed “essential,” isolate residents to their homes or places of residence, and practice social distancing when engaging in essential activities. We anticipate that these actions and the global health crisis caused by COVID-19 will negatively impact business activity across the globe. While we have not observed any noticeable impact on our revenue related to these conditions in the recently completed fiscal quarter, or through the date of this filing, we cannot estimate the impact COVID-19 will have in the future if business and consumer activity decelerates across the globe.</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2020, we enacted precautionary measures to protect the health and safety of our employees and partners. These measures include closing all offices, having employees work from home, and eliminating virtually all travel. While having employees work from home may have a negative impact on efficiency and may result in negligible increases in costs, it does not impact our ability to execute on our contracts or deliver our core services. Our offices remain closed and we continue to prohibit travel through the date of this filing and expect to continue operating in this fashion for the foreseeable future. Our customers provide essential services in the healthcare industry and we believe that our digital communication technology is more important than ever in this environment. However, our revenue often comes from advertising or marketing budgets, and in a sustained economic downturn, those categories of spending may be cut.</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will continue to actively monitor the situation and may take further actions that alter our business operations as may be required by federal, state, local or foreign authorities, or that we determine are in the best interests of our employees, customers, partners and stockholders. It is not clear what the potential effects any such alterations or modifications may have on our business, including the effects on our customers, partners, or vendors, or on our financial results.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Current Year Company Highlights through October 2020</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was a record $10.5 million in the third quarter of 2020, up 110% versus the same year-ago quarter.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for the nine months ended September 30, 2020 was $26.9 million, a 56% increase over the same period in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profit was $6.0 million in the third quarter of 2020, up 99% as compared to the same year-ago quarter.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Finalized an agreement with a partner with a large Epic and Cerner footprint, bringing access to additional healthcare providers in a hospital setting.</w:t>
      </w:r>
    </w:p>
    <w:p>
      <w:pPr>
        <w:spacing w:after="0" w:line="248" w:lineRule="exact"/>
        <w:rPr>
          <w:rFonts w:ascii="Arial" w:cs="Arial" w:eastAsia="Arial" w:hAnsi="Arial"/>
          <w:sz w:val="16"/>
          <w:szCs w:val="16"/>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launched a new technology solution aimed at increasing speed to therapy for patients by providing timely access to enrollment forms for specialty drugs within the provider workflow and we already have three active programs.</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introduced TelaRep™, a digital health tool that enables physicians to connect to pharmaceutical sales representatives via on-demand video consults within a physician’s existing EHR workflow.</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focused on the process of converting our active clients to enterprise contracts covering multiple brands and products to further entrench our longstanding relationships.</w:t>
      </w:r>
    </w:p>
    <w:p>
      <w:pPr>
        <w:spacing w:after="0" w:line="170"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expanded our Board of Directors, adding Greg Wasson, former President and CEO of Walgreens Boots Alliance, a veteran of the retail pharmacy industry and a valuable and timely addition to our board as we look to enhance patient connectivity at the point-of-dispense.</w:t>
      </w:r>
    </w:p>
    <w:p>
      <w:pPr>
        <w:spacing w:after="0" w:line="14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success in acquiring, integrating and expanding into new EHR/eRx platforms, as well as other direct to patient partners, continues to grow as well. For the remainder of 2020, we expect to expand our reach to physicians, pharmacies and patients, and also increase the utilization of our existing partners as they improve their workflow and provider reach. With the growth of both our pharmaceutical products and our distribution network, we expect that our messaging solutions, as well as our patient engagement activities, will continue to increase and show strong growth throughout the year.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total revenue reported for the three months ended September 30, 2020 was $10.5 million, an increase of 110% over the $5.0 million from the same period in 2019. Our total revenue for the nine months ended September 30, 2020 was $26.9 million, an increase of 56% over the $17.2 million from the same period in 2019. The increased revenue in both periods resulted primarily from increases in sales in our messaging products and patient engagement products, including from our acquisition of RMDY Health in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cost of revenue percentage, comprised primarily of revenue share expense, increased as a percentage of revenues in both the three and nine month periods ended September 30, 2020, as compared to the same periods in 2019, as set forth in the table below. This increase was a result of product mix. The 2019 nine-month period contained an unusually high percentage of launch assistance services and other nonrecurring revenue that was not subject to revenue share expense. As we have previously discussed, we expect our cost of revenues to decrease slightly in the fourth quarter.</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140" w:type="dxa"/>
            <w:vAlign w:val="bottom"/>
            <w:gridSpan w:val="4"/>
          </w:tcPr>
          <w:p>
            <w:pPr>
              <w:ind w:left="400"/>
              <w:spacing w:after="0"/>
              <w:rPr>
                <w:sz w:val="20"/>
                <w:szCs w:val="20"/>
                <w:color w:val="auto"/>
              </w:rPr>
            </w:pPr>
            <w:r>
              <w:rPr>
                <w:rFonts w:ascii="Arial" w:cs="Arial" w:eastAsia="Arial" w:hAnsi="Arial"/>
                <w:sz w:val="18"/>
                <w:szCs w:val="18"/>
                <w:b w:val="1"/>
                <w:bCs w:val="1"/>
                <w:color w:val="auto"/>
                <w:w w:val="96"/>
              </w:rPr>
              <w:t>Three Months Ended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4"/>
          </w:tcPr>
          <w:p>
            <w:pPr>
              <w:jc w:val="center"/>
              <w:ind w:left="190"/>
              <w:spacing w:after="0"/>
              <w:rPr>
                <w:sz w:val="20"/>
                <w:szCs w:val="20"/>
                <w:color w:val="auto"/>
              </w:rPr>
            </w:pPr>
            <w:r>
              <w:rPr>
                <w:rFonts w:ascii="Arial" w:cs="Arial" w:eastAsia="Arial" w:hAnsi="Arial"/>
                <w:sz w:val="18"/>
                <w:szCs w:val="18"/>
                <w:b w:val="1"/>
                <w:bCs w:val="1"/>
                <w:color w:val="auto"/>
                <w:w w:val="91"/>
              </w:rPr>
              <w:t>Nine Months Ended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5840" w:type="dxa"/>
            <w:vAlign w:val="bottom"/>
          </w:tcPr>
          <w:p>
            <w:pPr>
              <w:spacing w:after="0"/>
              <w:rPr>
                <w:sz w:val="20"/>
                <w:szCs w:val="20"/>
                <w:color w:val="auto"/>
              </w:rPr>
            </w:pPr>
          </w:p>
        </w:tc>
        <w:tc>
          <w:tcPr>
            <w:tcW w:w="214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140" w:type="dxa"/>
            <w:vAlign w:val="bottom"/>
            <w:tcBorders>
              <w:bottom w:val="single" w:sz="8" w:color="auto"/>
            </w:tcBorders>
            <w:gridSpan w:val="4"/>
          </w:tcPr>
          <w:p>
            <w:pPr>
              <w:jc w:val="center"/>
              <w:ind w:left="23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37"/>
        </w:trPr>
        <w:tc>
          <w:tcPr>
            <w:tcW w:w="5840" w:type="dxa"/>
            <w:vAlign w:val="bottom"/>
          </w:tcPr>
          <w:p>
            <w:pPr>
              <w:spacing w:after="0"/>
              <w:rPr>
                <w:sz w:val="20"/>
                <w:szCs w:val="20"/>
                <w:color w:val="auto"/>
              </w:rPr>
            </w:pPr>
          </w:p>
        </w:tc>
        <w:tc>
          <w:tcPr>
            <w:tcW w:w="76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rPr>
              <w:t>Cost of Revenues %</w:t>
            </w:r>
          </w:p>
        </w:tc>
        <w:tc>
          <w:tcPr>
            <w:tcW w:w="76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3"/>
              </w:rPr>
              <w:t>42.9%</w:t>
            </w:r>
          </w:p>
        </w:tc>
        <w:tc>
          <w:tcPr>
            <w:tcW w:w="76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3"/>
              </w:rPr>
              <w:t>39.6%</w:t>
            </w:r>
          </w:p>
        </w:tc>
        <w:tc>
          <w:tcPr>
            <w:tcW w:w="760" w:type="dxa"/>
            <w:vAlign w:val="bottom"/>
          </w:tcPr>
          <w:p>
            <w:pPr>
              <w:spacing w:after="0"/>
              <w:rPr>
                <w:sz w:val="17"/>
                <w:szCs w:val="17"/>
                <w:color w:val="auto"/>
              </w:rPr>
            </w:pPr>
          </w:p>
        </w:tc>
        <w:tc>
          <w:tcPr>
            <w:tcW w:w="6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3"/>
              </w:rPr>
              <w:t>42.3%</w:t>
            </w:r>
          </w:p>
        </w:tc>
        <w:tc>
          <w:tcPr>
            <w:tcW w:w="760" w:type="dxa"/>
            <w:vAlign w:val="bottom"/>
          </w:tcPr>
          <w:p>
            <w:pPr>
              <w:spacing w:after="0"/>
              <w:rPr>
                <w:sz w:val="17"/>
                <w:szCs w:val="17"/>
                <w:color w:val="auto"/>
              </w:rPr>
            </w:pPr>
          </w:p>
        </w:tc>
        <w:tc>
          <w:tcPr>
            <w:tcW w:w="48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90"/>
              </w:rPr>
              <w:t>36.3%</w:t>
            </w:r>
          </w:p>
        </w:tc>
      </w:tr>
      <w:tr>
        <w:trPr>
          <w:trHeight w:val="230"/>
        </w:trPr>
        <w:tc>
          <w:tcPr>
            <w:tcW w:w="6600" w:type="dxa"/>
            <w:vAlign w:val="bottom"/>
            <w:gridSpan w:val="2"/>
          </w:tcPr>
          <w:p>
            <w:pPr>
              <w:spacing w:after="0"/>
              <w:rPr>
                <w:sz w:val="20"/>
                <w:szCs w:val="20"/>
                <w:color w:val="auto"/>
              </w:rPr>
            </w:pPr>
            <w:r>
              <w:rPr>
                <w:rFonts w:ascii="Arial" w:cs="Arial" w:eastAsia="Arial" w:hAnsi="Arial"/>
                <w:sz w:val="18"/>
                <w:szCs w:val="18"/>
                <w:color w:val="auto"/>
              </w:rPr>
              <w:t>Gross Margin %</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57.1%</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60.4%</w:t>
            </w:r>
          </w:p>
        </w:tc>
        <w:tc>
          <w:tcPr>
            <w:tcW w:w="7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57.7%</w:t>
            </w:r>
          </w:p>
        </w:tc>
        <w:tc>
          <w:tcPr>
            <w:tcW w:w="7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0"/>
              </w:rPr>
              <w:t>63.7%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reflected in the table above, our gross margin decreased in both 2020 periods from the prior year periods. As discussed under cost of revenues above, we had an unusually favorable product mix in the nine-month 2019 period that had a positive impact on our margin in 2019. Our gross margin for the full year of 2019 was 62.7%. Our gross margin was 57.3% in the first quarter of 2020, improved to 58.0% in the second quarter, and declined to 57.1% in the third quarter. We expect our gross margin to improve in the fourth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increased from $5.0 million for the three months ended September 30, 2019 to $6.2 million for the same period in 2020. Operating expenses increased from $12.3 million for the nine months ended September 30, 2019 to $19.0 million for the same period in 2020. Overall, the increase resulted from our efforts to expand our product line and build out our organization to establish a strong base for current and future growth. The detail by major category is reflected in the table below.</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2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0"/>
                <w:szCs w:val="20"/>
                <w:color w:val="auto"/>
              </w:rPr>
            </w:pPr>
          </w:p>
        </w:tc>
        <w:tc>
          <w:tcPr>
            <w:tcW w:w="224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Salaries, Wages, &amp; Benefits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ind w:left="160"/>
              <w:spacing w:after="0" w:line="201" w:lineRule="exact"/>
              <w:rPr>
                <w:sz w:val="20"/>
                <w:szCs w:val="20"/>
                <w:color w:val="auto"/>
              </w:rPr>
            </w:pPr>
            <w:r>
              <w:rPr>
                <w:rFonts w:ascii="Arial" w:cs="Arial" w:eastAsia="Arial" w:hAnsi="Arial"/>
                <w:sz w:val="18"/>
                <w:szCs w:val="18"/>
                <w:color w:val="auto"/>
                <w:w w:val="87"/>
              </w:rPr>
              <w:t>3,304,388</w:t>
            </w:r>
          </w:p>
        </w:tc>
        <w:tc>
          <w:tcPr>
            <w:tcW w:w="26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1,882,433</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ind w:left="180"/>
              <w:spacing w:after="0" w:line="201" w:lineRule="exact"/>
              <w:rPr>
                <w:sz w:val="20"/>
                <w:szCs w:val="20"/>
                <w:color w:val="auto"/>
              </w:rPr>
            </w:pPr>
            <w:r>
              <w:rPr>
                <w:rFonts w:ascii="Arial" w:cs="Arial" w:eastAsia="Arial" w:hAnsi="Arial"/>
                <w:sz w:val="18"/>
                <w:szCs w:val="18"/>
                <w:color w:val="auto"/>
                <w:w w:val="87"/>
              </w:rPr>
              <w:t>9,686,985</w:t>
            </w:r>
          </w:p>
        </w:tc>
        <w:tc>
          <w:tcPr>
            <w:tcW w:w="220" w:type="dxa"/>
            <w:vAlign w:val="bottom"/>
          </w:tcPr>
          <w:p>
            <w:pPr>
              <w:spacing w:after="0"/>
              <w:rPr>
                <w:sz w:val="17"/>
                <w:szCs w:val="17"/>
                <w:color w:val="auto"/>
              </w:rPr>
            </w:pPr>
          </w:p>
        </w:tc>
        <w:tc>
          <w:tcPr>
            <w:tcW w:w="200" w:type="dxa"/>
            <w:vAlign w:val="bottom"/>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5,672,775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756,437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590,244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2,391,620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1,769,720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199,262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525,284</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871,564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899,915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Board Fees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61,250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34,250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164,000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102,750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Investor Relations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28,356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19,258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76,483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63,075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Consultants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196,396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81,411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492,116</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176,911</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101,295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137,276</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511,605</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491,989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Depreciation, Amortization, and Non-cash Lease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523,420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320,055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1,563,883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745,928</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578,054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1,034,281</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1,707,670</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1,432,390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Integration Incentives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208,807</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47,032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624,753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136,825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211,602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108,640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593,084</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339,607</w:t>
            </w:r>
          </w:p>
        </w:tc>
        <w:tc>
          <w:tcPr>
            <w:tcW w:w="0" w:type="dxa"/>
            <w:vAlign w:val="bottom"/>
          </w:tcPr>
          <w:p>
            <w:pPr>
              <w:spacing w:after="0"/>
              <w:rPr>
                <w:sz w:val="1"/>
                <w:szCs w:val="1"/>
                <w:color w:val="auto"/>
              </w:rPr>
            </w:pPr>
          </w:p>
        </w:tc>
      </w:tr>
      <w:tr>
        <w:trPr>
          <w:trHeight w:val="244"/>
        </w:trPr>
        <w:tc>
          <w:tcPr>
            <w:tcW w:w="5980" w:type="dxa"/>
            <w:vAlign w:val="bottom"/>
          </w:tcPr>
          <w:p>
            <w:pPr>
              <w:spacing w:after="0"/>
              <w:rPr>
                <w:sz w:val="20"/>
                <w:szCs w:val="20"/>
                <w:color w:val="auto"/>
              </w:rPr>
            </w:pPr>
            <w:r>
              <w:rPr>
                <w:rFonts w:ascii="Arial" w:cs="Arial" w:eastAsia="Arial" w:hAnsi="Arial"/>
                <w:sz w:val="18"/>
                <w:szCs w:val="18"/>
                <w:color w:val="auto"/>
              </w:rPr>
              <w:t>Travel and Entertainment</w:t>
            </w:r>
          </w:p>
        </w:tc>
        <w:tc>
          <w:tcPr>
            <w:tcW w:w="24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21,802</w:t>
            </w:r>
          </w:p>
        </w:tc>
        <w:tc>
          <w:tcPr>
            <w:tcW w:w="2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228,770</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309,424</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509,942</w:t>
            </w:r>
          </w:p>
        </w:tc>
        <w:tc>
          <w:tcPr>
            <w:tcW w:w="0" w:type="dxa"/>
            <w:vAlign w:val="bottom"/>
          </w:tcPr>
          <w:p>
            <w:pPr>
              <w:spacing w:after="0"/>
              <w:rPr>
                <w:sz w:val="1"/>
                <w:szCs w:val="1"/>
                <w:color w:val="auto"/>
              </w:rPr>
            </w:pPr>
          </w:p>
        </w:tc>
      </w:tr>
      <w:tr>
        <w:trPr>
          <w:trHeight w:val="27"/>
        </w:trPr>
        <w:tc>
          <w:tcPr>
            <w:tcW w:w="598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tcPr>
          <w:p>
            <w:pPr>
              <w:spacing w:after="0"/>
              <w:rPr>
                <w:sz w:val="21"/>
                <w:szCs w:val="21"/>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6,191,069</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5,008,934</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18,993,187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12,341,827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largest increases in operating expenses are related to salaries, wages, and benefits and other human resource related costs. Since the beginning of the first quarter of 2019, we have significantly expanded our sales force, made an acquisition to expand our product portfolio, and added to our product development, data, and finance teams. These new hires have established a strong basis for significant future growth and have also resulted in increases in benefits, payroll taxes, and related travel. The increased stock-based compensation results from the grant of new options and the increased number of team members. We expect salaries, wages, &amp; benefits, as well as stock-based compensation to remain at similar levels, or only increase slightly, for the balance of the year. We expect travel expense to remain low for the balance of the year as a result of the COVID-19 pandemic.</w:t>
      </w:r>
    </w:p>
    <w:p>
      <w:pPr>
        <w:spacing w:after="0" w:line="16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Professional fees in 2020 are similar to 2019 levels for the nine-month periods ended September 30. Professional fees in the quarter ended September 30, 2020 were much less than the same period in 2019. The 2019 quarter included costs related to our acquisition of RMDY Health.</w:t>
      </w:r>
    </w:p>
    <w:p>
      <w:pPr>
        <w:spacing w:after="0" w:line="2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jc w:val="both"/>
        <w:spacing w:after="0" w:line="263" w:lineRule="auto"/>
        <w:rPr>
          <w:sz w:val="20"/>
          <w:szCs w:val="20"/>
          <w:color w:val="auto"/>
        </w:rPr>
      </w:pPr>
      <w:r>
        <w:rPr>
          <w:rFonts w:ascii="Arial" w:cs="Arial" w:eastAsia="Arial" w:hAnsi="Arial"/>
          <w:sz w:val="18"/>
          <w:szCs w:val="18"/>
          <w:color w:val="auto"/>
        </w:rPr>
        <w:t>Depreciation and amortization increased because of the amortizable assets acquired in connection with our acquisition of RMDY in the fourth quarter of 2019. Office, facility, and other expenses also increased as a result of the acquisition, which resulted in an additional office location for us, as well as the normal increased costs associated with increased business activity.</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development, and maintenance costs increased primarily because our efforts to expand and enhance our patient engagement platforms and products, as well as integration costs related to the combination, improvement and optimization of IT systems.</w:t>
      </w:r>
    </w:p>
    <w:p>
      <w:pPr>
        <w:spacing w:after="0" w:line="17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Integration and exclusivity costs represent payments to partners for access and/or exclusivity. These payments are usually made in lump sums and expensed over the term of the contracts. These expenses are an important part of our ability to expand our network and increased in 2020 as a result of new agreements signed.</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price allocations for both of our recent acquisitions included potential additional consideration to be paid if certain revenue levels are achieved in 2019, 2020, and 2021. That liability is required to be adjusted to fair value each quarter. The increase or decrease in the fair value of contingent consideration in 2019 related to our acquisition of CareSpeak Communications in 2018. The maximum amount of potential contingent consideration related to CareSpeak was recorded as of December 31, 2019 and we still expect the maximum amount to be paid. The increase in contingent consideration in 2020 relates to our acquisition of RMDY Health, Inc. in 2019. The amount due under the RMDY agreement was finalized and paid in 2020, so there will be no future adjustments to the contingent purchase payable.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All other variances in the table above are the result of normal fluctuations in activity.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overall operating expenses to continue at approximately the third quarter of 2020 level as we further implement our business plan and expand our operations to grow the business in a very dynamic and active marketplace. However, we have established a strong team as a base to support growth and we are seeing the results of the investment in our team last year in our strong revenue growth this year. We do not expect human resource costs to increase as quickly as revenues.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had a net loss of $0.3 million for the three months ended September 30, 2020, as compared to net loss of $1.6 million during the same period in 2019, and down from the $2.2 million loss in the three months ended March 31, 2020 and the $1.1 million loss in the three months ended June 30, 2020. We had a loss of approximately $3.6 million for the nine months ended September 30, 2020, as compared to a net loss of approximately $1.2 million during the same period in 2019. The reasons and specific components associated with the change are discussed above. Overall, the increased loss in the nine month period resulted from increased operating expenses to support strong revenue growth throughout 2020 and beyond. That strong revenue growth resulted in a reduced loss in the three months ended September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September 30, 2020, we had total current assets of $27.2 million, compared with current liabilities of $8.1 million, resulting in working capital of approximately $19.1 million and a current ratio of 3.4 to 1. This represents a slight decrease from our working capital of approximately $21.0 million and current ratio of 4.4 to 1 at December 31, 2019.</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operating activities used approximately $3.7 in cash flow during the nine months ended September 30, 2020, compared with cash used of approximately $0.2 million in the same period in 2019. This use of cash was primarily all in the first quarter. In the 2020 period, operating activities used $3.7 million in the first quarter, provided approximately $0.1 million in the quarter ended June 30, 2020 and used approximately $0.1 million in the quarter ended September 30, 2020. The cash used in the 2020 period was primarily the result of increased investment in working capital; in particular, we made a prepayment to a partner that accounts for the bulk of the increase in prepaid expenses and will be expensed over the balance of the year as revenue is generated through that channel. In addition, as a result of our strong revenue growth of 110% in the third quarter, our trade receivables increased by $6.0 million, which was partially offset by increased revenue share of $2.0 million owed to our channel partners. Only a portion of our revenue is subject to revenue share and the payment terms to our partners are different than the terms that we receive from customers. While there is an indirect relationship between changes in accounts receivable and revenue share payable, they are both dependent on product and customer mix and relative changes in a particular period are impacted by such factors.</w:t>
      </w:r>
    </w:p>
    <w:p>
      <w:pPr>
        <w:spacing w:after="0" w:line="2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8" w:name="page19"/>
    <w:bookmarkEnd w:id="18"/>
    <w:p>
      <w:pPr>
        <w:jc w:val="both"/>
        <w:spacing w:after="0" w:line="259" w:lineRule="auto"/>
        <w:rPr>
          <w:sz w:val="20"/>
          <w:szCs w:val="20"/>
          <w:color w:val="auto"/>
        </w:rPr>
      </w:pPr>
      <w:r>
        <w:rPr>
          <w:rFonts w:ascii="Arial" w:cs="Arial" w:eastAsia="Arial" w:hAnsi="Arial"/>
          <w:sz w:val="18"/>
          <w:szCs w:val="18"/>
          <w:color w:val="auto"/>
        </w:rPr>
        <w:t>This increase in accounts receivable does not reflect on our customers’ ability to pay. Our customers are large multinational companies and many dictate extended payment terms, but also offer discounts for quick payment. Since we have sufficient cash reserves, we do not take advantage of the discounts, which translate to extremely high implied rates of interest. The cash used in the 2019 period was the result of our net loss during the period, offset by non-cash expenses.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used approximately $45,000 and $1.1 million in investing activities for the nine months ended September 30, 2020, and 2019, respectively. These investments related to purchases of equipment, as well as investments in software to expand our network capabilities.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a net use of cash in financing activities in the nine months ended September 30, 2020. This included proceeds from financing activities of approximately $1.3 million related to the exercise of stock options offset by approximately $4.4 million in payments related to contingent consideration. We had net proceeds of $22.1 million from financing activities during the nine months ended September 30, 2019, primarily from a secondary offering of common stock in June 2019. There have been no proceeds from investment offerings in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anticipate the need to raise additional capital in the short or long term for operating purposes or to fund our growth plans. We are focused on growing our revenue, channel and partner network. However, as a company in a market that is active with merger and acquisition activity, we may have opportunities, such as for acquisitions or strategic partner relationships, which may require additional capital. We will assess these opportunities as they arise with the view of maximizing shareholder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2019;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impairment of assets, and the fair value of liabilities.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June 2016, the Financial Accounting Standards Board (the “FASB”) issued ASU 2016-13, Financial Instruments-Credit Losses (Topic 326): Measurement of Credit Losses on Financial Instruments. ASU 2016-13 provides for a new impairment model that requires measurement and recognition of expected credit losses for most financial assets and certain other instruments, including but not limited to accounts receivable and available for sale debt securities. ASU 2016-13 was effective for the Company on January 1, 2020. The adoption of this standard did not have a material effect on our financial position, results of operations, or cash flows.</w:t>
      </w:r>
    </w:p>
    <w:p>
      <w:pPr>
        <w:spacing w:after="0" w:line="18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August 2019, the FASB issued ASU 2019-13, Fair Value Measurement (Topic 820): Disclosure Framework-Changes to the Disclosure Requirements for Fair Value Measurement. ASU 2019-13 modifies the disclosure requirements on fair value measurements and became effective for the Company on January 1, 2020. The adoption of this standard did not have a material effect on our financial position, results of operations, or cash flows.</w:t>
      </w:r>
    </w:p>
    <w:p>
      <w:pPr>
        <w:spacing w:after="0" w:line="14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is intended to improve consistent application and simplify the accounting for income taxes. ASU 2019-12 removes certain exceptions to the general principles in Topic 740 and clarifies and amends existing guidance. ASU 2019-12 is effective for annual and interim reporting periods beginning after December 12, 2020, with early adoption permitted. The adoption of this standard is not expected to have a material effect on our financial position, results of operations, or cash flows.</w:t>
      </w: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19" w:name="page20"/>
    <w:bookmarkEnd w:id="19"/>
    <w:p>
      <w:pPr>
        <w:jc w:val="both"/>
        <w:spacing w:after="0" w:line="272" w:lineRule="auto"/>
        <w:rPr>
          <w:sz w:val="20"/>
          <w:szCs w:val="20"/>
          <w:color w:val="auto"/>
        </w:rPr>
      </w:pPr>
      <w:r>
        <w:rPr>
          <w:rFonts w:ascii="Arial" w:cs="Arial" w:eastAsia="Arial" w:hAnsi="Arial"/>
          <w:sz w:val="17"/>
          <w:szCs w:val="17"/>
          <w:color w:val="auto"/>
        </w:rPr>
        <w:t>In January 2017, the FASB issued ASU 2017-04, Intangibles-Goodwill and Other (Topic 350): Simplifying the Test for Goodwill Impairment. ASU 2017-04 simplifies the subsequent measurement of goodwill by eliminating the second step of the goodwill impairment test. The second step measures a goodwill impairment loss by comparing the implied fair value of a reporting unit’s goodwill with the carrying amount of that goodwill. Under ASU 2017-04, a company will record an impairment charge based on the excess of a reporting unit’s carrying amount over its fair value. ASU 2017-04 will be applied prospectively and is effective for annual or interim goodwill impairment tests in fiscal years beginning after December 15, 2019. Early adoption is permitted for interim or annual goodwill impairment tests performed on testing dates after January 1, 2017. The adoption of this standard did not have a material effect on our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Chief Financial Officer, we conducted an evaluation of the effectiveness of the design and operation of our disclosure controls and procedures, as defined in Rules 13a-15(e) and 15d-15(e) under the Securities Exchange Act of 1934 (the “Exchange Act”), as of the end of the period covered by this report (the “Evaluation Date”). Based upon this evaluation, our Chief Executive Officer and Chief Financial Officer concluded as of the Evaluation Date that our disclosure controls and procedures were effective such that the material information required to be included in our SEC reports is recorded, processed, summarized, and reported within the time periods specified in SEC rules and forms relating to the our company, including, our consolidated subsidiary, and was made known to them by others within those entities, particularly during the period when this report was being prepared.</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described in more detail in our annual report on Form 10-K for the year ended December 31, 2019, management identified the following material weaknesses which have caused management to conclude that our disclosure controls and procedures were not effective: (i) inadequate information technology general controls (ITGCs) in the areas of user access security, change management, IT operations and third-party management over its key financial information technology (IT) systems; and (ii) inadequate controls to ensure that data received from third parties is complete and accurate. Those weaknesses have been remediated as of September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nine months ended September 30, 2020, we implemented additional user access security controls and other controls of IT security, as well as implemented additional change management controls to remediate the previously identified material weakness. We have also implemented and documented additional controls over data received from third parties to remediate the material weakness related to this data.</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While we made other routine ongoing improvements in our internal control and processes, no other material changes were made during the period.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Effectiveness of Controls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our company have been detected.</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our Annual Report on Form 10-K for 2019.</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Our business, results of operations, and our financial condition may be further impacted by the outbreak of COVID-19 and such impact could be materially adverse.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global spread of COVID-19 has created significant volatility, uncertainty and economic disruption. The extent to which the coronavirus pandemic impacts our business, operations, and financial results is uncertain and will depend on numerous evolving factors that we may not be able to accurately predict, including:</w:t>
      </w:r>
    </w:p>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duration and scope of the pandemic;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governmental, business and individual actions taken in response to the pandemic and the impact of those actions on global economic activity;</w:t>
      </w:r>
    </w:p>
    <w:p>
      <w:pPr>
        <w:spacing w:after="0" w:line="275" w:lineRule="exact"/>
        <w:rPr>
          <w:rFonts w:ascii="Arial" w:cs="Arial" w:eastAsia="Arial" w:hAnsi="Arial"/>
          <w:sz w:val="16"/>
          <w:szCs w:val="16"/>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actions taken in response to economic disruption;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business disruptions;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increase in business failures that we may utilize as industry partners and the customers we serve;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uncertainty as to the impact or staff availability during and post the pandemic; and</w:t>
      </w:r>
    </w:p>
    <w:p>
      <w:pPr>
        <w:spacing w:after="0" w:line="25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provide our services, including as a result of our employees or our customers and suppliers working remotely and/or closures of offices and facilities.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September 2020, we issued 5,915 shares of common stock to our independent directors in connection with our Director Compensation Plan. We also issued a total 198,024 shares of common stock during the three months ended September 30, 2020, in connection with the exercise of options under our 2013 incentive plan and an additional 21,186 shares under the same plan in connection with restricted stock awards.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to the reporting period, in October, 2020, we received proceeds of $201,855 and issued 36,420 shares of common stock in conjunction with the exercise of stock options.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12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176"/>
        </w:trPr>
        <w:tc>
          <w:tcPr>
            <w:tcW w:w="102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31.1</w:t>
            </w:r>
          </w:p>
        </w:tc>
        <w:tc>
          <w:tcPr>
            <w:tcW w:w="120" w:type="dxa"/>
            <w:vAlign w:val="bottom"/>
          </w:tcPr>
          <w:p>
            <w:pPr>
              <w:spacing w:after="0"/>
              <w:rPr>
                <w:sz w:val="15"/>
                <w:szCs w:val="15"/>
                <w:color w:val="auto"/>
              </w:rPr>
            </w:pPr>
          </w:p>
        </w:tc>
        <w:tc>
          <w:tcPr>
            <w:tcW w:w="10100" w:type="dxa"/>
            <w:vAlign w:val="bottom"/>
            <w:tcBorders>
              <w:top w:val="single" w:sz="8" w:color="auto"/>
              <w:bottom w:val="single" w:sz="8" w:color="0000EE"/>
            </w:tcBorders>
            <w:gridSpan w:val="3"/>
          </w:tcPr>
          <w:p>
            <w:pPr>
              <w:spacing w:after="0" w:line="176" w:lineRule="exact"/>
              <w:rPr>
                <w:rFonts w:ascii="Arial" w:cs="Arial" w:eastAsia="Arial" w:hAnsi="Arial"/>
                <w:sz w:val="18"/>
                <w:szCs w:val="18"/>
                <w:color w:val="0000EE"/>
                <w:w w:val="91"/>
              </w:rPr>
            </w:pPr>
            <w:hyperlink w:anchor="page24">
              <w:r>
                <w:rPr>
                  <w:rFonts w:ascii="Arial" w:cs="Arial" w:eastAsia="Arial" w:hAnsi="Arial"/>
                  <w:sz w:val="18"/>
                  <w:szCs w:val="18"/>
                  <w:color w:val="0000EE"/>
                  <w:w w:val="91"/>
                </w:rPr>
                <w:t>Certification of Chief Executive Officer pursuant to 18 U.S.C. Section 1350, as adopted pursuant to Section 302 of the Sarbanes-Oxley Act</w:t>
              </w:r>
            </w:hyperlink>
          </w:p>
        </w:tc>
        <w:tc>
          <w:tcPr>
            <w:tcW w:w="20" w:type="dxa"/>
            <w:vAlign w:val="bottom"/>
            <w:tcBorders>
              <w:bottom w:val="single" w:sz="8" w:color="0000EE"/>
            </w:tcBorders>
          </w:tcPr>
          <w:p>
            <w:pPr>
              <w:spacing w:after="0"/>
              <w:rPr>
                <w:sz w:val="15"/>
                <w:szCs w:val="15"/>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of 2002</w:t>
              </w:r>
            </w:hyperlink>
          </w:p>
        </w:tc>
        <w:tc>
          <w:tcPr>
            <w:tcW w:w="956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120" w:type="dxa"/>
            <w:vAlign w:val="bottom"/>
          </w:tcPr>
          <w:p>
            <w:pPr>
              <w:spacing w:after="0"/>
              <w:rPr>
                <w:sz w:val="17"/>
                <w:szCs w:val="17"/>
                <w:color w:val="auto"/>
              </w:rPr>
            </w:pPr>
          </w:p>
        </w:tc>
        <w:tc>
          <w:tcPr>
            <w:tcW w:w="101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25">
              <w:r>
                <w:rPr>
                  <w:rFonts w:ascii="Arial" w:cs="Arial" w:eastAsia="Arial" w:hAnsi="Arial"/>
                  <w:sz w:val="18"/>
                  <w:szCs w:val="18"/>
                  <w:color w:val="0000EE"/>
                  <w:w w:val="92"/>
                </w:rPr>
                <w:t>Certification of Chief Financial Officer pursuant to 18 U.S.C. Section 1350, as adopted pursuant to Section 302 of the Sarbanes-Oxley Act</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of 2002</w:t>
              </w:r>
            </w:hyperlink>
          </w:p>
        </w:tc>
        <w:tc>
          <w:tcPr>
            <w:tcW w:w="9560" w:type="dxa"/>
            <w:vAlign w:val="bottom"/>
            <w:gridSpan w:val="3"/>
          </w:tcPr>
          <w:p>
            <w:pPr>
              <w:spacing w:after="0"/>
              <w:rPr>
                <w:sz w:val="17"/>
                <w:szCs w:val="17"/>
                <w:color w:val="auto"/>
              </w:rPr>
            </w:pPr>
          </w:p>
        </w:tc>
      </w:tr>
      <w:tr>
        <w:trPr>
          <w:trHeight w:val="196"/>
        </w:trPr>
        <w:tc>
          <w:tcPr>
            <w:tcW w:w="10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20" w:type="dxa"/>
            <w:vAlign w:val="bottom"/>
          </w:tcPr>
          <w:p>
            <w:pPr>
              <w:spacing w:after="0"/>
              <w:rPr>
                <w:sz w:val="17"/>
                <w:szCs w:val="17"/>
                <w:color w:val="auto"/>
              </w:rPr>
            </w:pPr>
          </w:p>
        </w:tc>
        <w:tc>
          <w:tcPr>
            <w:tcW w:w="1012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Chief Executive Officer and Chief Financial Officer pursuant to 18 U.S.C. Section 1350, as adopted pursuant to Section 906</w:t>
              </w:r>
            </w:hyperlink>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of the Sarbanes-Oxley Act of 2002</w:t>
              </w:r>
            </w:hyperlink>
          </w:p>
        </w:tc>
        <w:tc>
          <w:tcPr>
            <w:tcW w:w="7600" w:type="dxa"/>
            <w:vAlign w:val="bottom"/>
            <w:gridSpan w:val="2"/>
          </w:tcPr>
          <w:p>
            <w:pPr>
              <w:spacing w:after="0"/>
              <w:rPr>
                <w:sz w:val="17"/>
                <w:szCs w:val="17"/>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w w:val="96"/>
              </w:rPr>
              <w:t>The following materials from the Company’s Quarterly Report on Form 10-Q for the quarter ended September 30, 2020 formatted in</w:t>
            </w:r>
          </w:p>
        </w:tc>
      </w:tr>
    </w:tbl>
    <w:p>
      <w:pPr>
        <w:ind w:left="1140"/>
        <w:spacing w:after="0"/>
        <w:rPr>
          <w:sz w:val="20"/>
          <w:szCs w:val="20"/>
          <w:color w:val="auto"/>
        </w:rPr>
      </w:pPr>
      <w:r>
        <w:rPr>
          <w:rFonts w:ascii="Arial" w:cs="Arial" w:eastAsia="Arial" w:hAnsi="Arial"/>
          <w:sz w:val="18"/>
          <w:szCs w:val="18"/>
          <w:color w:val="auto"/>
        </w:rPr>
        <w:t>Extensible Business Reporting Language (XBRL).</w:t>
      </w: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Provided herewith</w:t>
      </w: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November 9, 2020</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William J. Febbo</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Executive Officer,</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Executive Officer, and Director</w:t>
            </w:r>
          </w:p>
        </w:tc>
      </w:tr>
      <w:tr>
        <w:trPr>
          <w:trHeight w:val="418"/>
        </w:trPr>
        <w:tc>
          <w:tcPr>
            <w:tcW w:w="11240" w:type="dxa"/>
            <w:vAlign w:val="bottom"/>
            <w:gridSpan w:val="2"/>
          </w:tcPr>
          <w:p>
            <w:pPr>
              <w:ind w:left="6760"/>
              <w:spacing w:after="0"/>
              <w:rPr>
                <w:sz w:val="20"/>
                <w:szCs w:val="20"/>
                <w:color w:val="auto"/>
              </w:rPr>
            </w:pPr>
            <w:r>
              <w:rPr>
                <w:rFonts w:ascii="Arial" w:cs="Arial" w:eastAsia="Arial" w:hAnsi="Arial"/>
                <w:sz w:val="18"/>
                <w:szCs w:val="18"/>
                <w:b w:val="1"/>
                <w:bCs w:val="1"/>
                <w:color w:val="auto"/>
              </w:rPr>
              <w:t>OptimizeRx Corporation</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Date: November 9, 2020</w:t>
            </w:r>
          </w:p>
        </w:tc>
        <w:tc>
          <w:tcPr>
            <w:tcW w:w="3920" w:type="dxa"/>
            <w:vAlign w:val="bottom"/>
          </w:tcPr>
          <w:p>
            <w:pPr>
              <w:spacing w:after="0"/>
              <w:rPr>
                <w:sz w:val="18"/>
                <w:szCs w:val="18"/>
                <w:color w:val="auto"/>
              </w:rPr>
            </w:pPr>
          </w:p>
        </w:tc>
      </w:tr>
      <w:tr>
        <w:trPr>
          <w:trHeight w:val="237"/>
        </w:trPr>
        <w:tc>
          <w:tcPr>
            <w:tcW w:w="7320" w:type="dxa"/>
            <w:vAlign w:val="bottom"/>
          </w:tcPr>
          <w:p>
            <w:pPr>
              <w:ind w:left="6760"/>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198"/>
        </w:trPr>
        <w:tc>
          <w:tcPr>
            <w:tcW w:w="7320" w:type="dxa"/>
            <w:vAlign w:val="bottom"/>
          </w:tcPr>
          <w:p>
            <w:pPr>
              <w:spacing w:after="0"/>
              <w:rPr>
                <w:sz w:val="17"/>
                <w:szCs w:val="17"/>
                <w:color w:val="auto"/>
              </w:rPr>
            </w:pPr>
          </w:p>
        </w:tc>
        <w:tc>
          <w:tcPr>
            <w:tcW w:w="3920" w:type="dxa"/>
            <w:vAlign w:val="bottom"/>
          </w:tcPr>
          <w:p>
            <w:pPr>
              <w:spacing w:after="0" w:line="198" w:lineRule="exact"/>
              <w:rPr>
                <w:sz w:val="20"/>
                <w:szCs w:val="20"/>
                <w:color w:val="auto"/>
              </w:rPr>
            </w:pPr>
            <w:r>
              <w:rPr>
                <w:rFonts w:ascii="Arial" w:cs="Arial" w:eastAsia="Arial" w:hAnsi="Arial"/>
                <w:sz w:val="18"/>
                <w:szCs w:val="18"/>
                <w:color w:val="auto"/>
              </w:rPr>
              <w:t>Douglas P. Baker</w:t>
            </w:r>
          </w:p>
        </w:tc>
      </w:tr>
      <w:tr>
        <w:trPr>
          <w:trHeight w:val="216"/>
        </w:trPr>
        <w:tc>
          <w:tcPr>
            <w:tcW w:w="7320" w:type="dxa"/>
            <w:vAlign w:val="bottom"/>
          </w:tcPr>
          <w:p>
            <w:pPr>
              <w:ind w:left="6760"/>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b w:val="1"/>
                <w:bCs w:val="1"/>
                <w:color w:val="auto"/>
              </w:rPr>
              <w:t>Chief Financial Officer,</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Financial Officer and</w:t>
            </w:r>
          </w:p>
        </w:tc>
      </w:tr>
      <w:tr>
        <w:trPr>
          <w:trHeight w:val="234"/>
        </w:trPr>
        <w:tc>
          <w:tcPr>
            <w:tcW w:w="73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b w:val="1"/>
                <w:bCs w:val="1"/>
                <w:color w:val="auto"/>
              </w:rPr>
              <w:t>Principal Accounting Officer</w:t>
            </w:r>
          </w:p>
        </w:tc>
      </w:tr>
      <w:tr>
        <w:trPr>
          <w:trHeight w:val="574"/>
        </w:trPr>
        <w:tc>
          <w:tcPr>
            <w:tcW w:w="7320" w:type="dxa"/>
            <w:vAlign w:val="bottom"/>
            <w:tcBorders>
              <w:bottom w:val="single" w:sz="8" w:color="auto"/>
            </w:tcBorders>
          </w:tcPr>
          <w:p>
            <w:pPr>
              <w:ind w:left="5560"/>
              <w:spacing w:after="0"/>
              <w:rPr>
                <w:sz w:val="20"/>
                <w:szCs w:val="20"/>
                <w:color w:val="auto"/>
              </w:rPr>
            </w:pPr>
            <w:r>
              <w:rPr>
                <w:rFonts w:ascii="Arial" w:cs="Arial" w:eastAsia="Arial" w:hAnsi="Arial"/>
                <w:sz w:val="18"/>
                <w:szCs w:val="18"/>
                <w:color w:val="auto"/>
              </w:rPr>
              <w:t>21</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Exhibit 31.1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240"/>
          </w:cols>
          <w:pgMar w:left="320" w:top="111"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2020 of OptimizeRx Corp (the “registrant”);</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2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hanging="328"/>
        <w:spacing w:after="0" w:line="263"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OptimizeRx Corp (the “Company”) on Form 10-Q for the quarter ended September 30, 2020 filed with the Securities and Exchange Commission (the “Report”), I, Will Febbo, Chief Executive Officer and I, Douglas Baker,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500" w:hanging="492"/>
        <w:spacing w:after="0"/>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Willian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November 9, 2020</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P.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920" w:type="dxa"/>
            <w:vAlign w:val="bottom"/>
          </w:tcPr>
          <w:p>
            <w:pPr>
              <w:spacing w:after="0"/>
              <w:rPr>
                <w:sz w:val="20"/>
                <w:szCs w:val="20"/>
                <w:color w:val="auto"/>
              </w:rPr>
            </w:pPr>
            <w:r>
              <w:rPr>
                <w:rFonts w:ascii="Arial" w:cs="Arial" w:eastAsia="Arial" w:hAnsi="Arial"/>
                <w:sz w:val="18"/>
                <w:szCs w:val="18"/>
                <w:color w:val="auto"/>
              </w:rPr>
              <w:t>November 9, 2020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lvl w:ilvl="1">
      <w:lvlJc w:val="left"/>
      <w:lvlText w:val="☐"/>
      <w:numFmt w:val="bullet"/>
      <w:start w:val="1"/>
    </w:lvl>
  </w:abstractNum>
  <w:abstractNum w:abstractNumId="1">
    <w:nsid w:val="1190CDE7"/>
    <w:multiLevelType w:val="hybridMultilevel"/>
    <w:lvl w:ilvl="0">
      <w:lvlJc w:val="left"/>
      <w:lvlText w:val="2"/>
      <w:numFmt w:val="bullet"/>
      <w:start w:val="1"/>
    </w:lvl>
  </w:abstractNum>
  <w:abstractNum w:abstractNumId="2">
    <w:nsid w:val="66EF438D"/>
    <w:multiLevelType w:val="hybridMultilevel"/>
    <w:lvl w:ilvl="0">
      <w:lvlJc w:val="left"/>
      <w:lvlText w:val="3"/>
      <w:numFmt w:val="bullet"/>
      <w:start w:val="1"/>
    </w:lvl>
  </w:abstractNum>
  <w:abstractNum w:abstractNumId="3">
    <w:nsid w:val="140E0F76"/>
    <w:multiLevelType w:val="hybridMultilevel"/>
    <w:lvl w:ilvl="0">
      <w:lvlJc w:val="left"/>
      <w:lvlText w:val="4"/>
      <w:numFmt w:val="bullet"/>
      <w:start w:val="1"/>
    </w:lvl>
  </w:abstractNum>
  <w:abstractNum w:abstractNumId="4">
    <w:nsid w:val="3352255A"/>
    <w:multiLevelType w:val="hybridMultilevel"/>
    <w:lvl w:ilvl="0">
      <w:lvlJc w:val="left"/>
      <w:lvlText w:val="5"/>
      <w:numFmt w:val="bullet"/>
      <w:start w:val="1"/>
    </w:lvl>
  </w:abstractNum>
  <w:abstractNum w:abstractNumId="5">
    <w:nsid w:val="109CF92E"/>
    <w:multiLevelType w:val="hybridMultilevel"/>
    <w:lvl w:ilvl="0">
      <w:lvlJc w:val="left"/>
      <w:lvlText w:val="6"/>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2020-11-09T15:48:50Z</dcterms:created>
  <dcterms:modified xsi:type="dcterms:W3CDTF">2020-11-09T15:48:50Z</dcterms:modified>
</cp:coreProperties>
</file>