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24, 2019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Nevada</w:t>
            </w:r>
          </w:p>
        </w:tc>
        <w:tc>
          <w:tcPr>
            <w:tcW w:w="3640" w:type="dxa"/>
            <w:vAlign w:val="bottom"/>
          </w:tcPr>
          <w:p>
            <w:pPr>
              <w:jc w:val="right"/>
              <w:ind w:right="1330"/>
              <w:spacing w:after="0"/>
              <w:rPr>
                <w:sz w:val="20"/>
                <w:szCs w:val="20"/>
                <w:color w:val="auto"/>
              </w:rPr>
            </w:pPr>
            <w:r>
              <w:rPr>
                <w:rFonts w:ascii="Arial" w:cs="Arial" w:eastAsia="Arial" w:hAnsi="Arial"/>
                <w:sz w:val="18"/>
                <w:szCs w:val="18"/>
                <w:color w:val="auto"/>
              </w:rPr>
              <w:t>000-53605</w:t>
            </w:r>
          </w:p>
        </w:tc>
        <w:tc>
          <w:tcPr>
            <w:tcW w:w="24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color w:val="auto"/>
              </w:rPr>
              <w:t>26-1265381</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7"/>
                <w:szCs w:val="17"/>
                <w:color w:val="auto"/>
              </w:rPr>
            </w:pPr>
          </w:p>
        </w:tc>
        <w:tc>
          <w:tcPr>
            <w:tcW w:w="388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92"/>
              </w:rPr>
              <w:t>(Commission File Number)</w:t>
            </w: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incorporation)</w:t>
            </w:r>
          </w:p>
        </w:tc>
        <w:tc>
          <w:tcPr>
            <w:tcW w:w="3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39"/>
        </w:trPr>
        <w:tc>
          <w:tcPr>
            <w:tcW w:w="7780" w:type="dxa"/>
            <w:vAlign w:val="bottom"/>
            <w:gridSpan w:val="4"/>
          </w:tcPr>
          <w:p>
            <w:pPr>
              <w:jc w:val="center"/>
              <w:ind w:right="240"/>
              <w:spacing w:after="0"/>
              <w:rPr>
                <w:sz w:val="20"/>
                <w:szCs w:val="20"/>
                <w:color w:val="auto"/>
              </w:rPr>
            </w:pPr>
            <w:r>
              <w:rPr>
                <w:rFonts w:ascii="Arial" w:cs="Arial" w:eastAsia="Arial" w:hAnsi="Arial"/>
                <w:sz w:val="18"/>
                <w:szCs w:val="18"/>
                <w:color w:val="auto"/>
                <w:w w:val="90"/>
              </w:rPr>
              <w:t>400 Water Street, Suite 200, Rochester, MI</w:t>
            </w:r>
          </w:p>
        </w:tc>
        <w:tc>
          <w:tcPr>
            <w:tcW w:w="3640" w:type="dxa"/>
            <w:vAlign w:val="bottom"/>
          </w:tcPr>
          <w:p>
            <w:pPr>
              <w:jc w:val="right"/>
              <w:ind w:right="1510"/>
              <w:spacing w:after="0"/>
              <w:rPr>
                <w:sz w:val="20"/>
                <w:szCs w:val="20"/>
                <w:color w:val="auto"/>
              </w:rPr>
            </w:pPr>
            <w:r>
              <w:rPr>
                <w:rFonts w:ascii="Arial" w:cs="Arial" w:eastAsia="Arial" w:hAnsi="Arial"/>
                <w:sz w:val="18"/>
                <w:szCs w:val="18"/>
                <w:color w:val="auto"/>
              </w:rPr>
              <w:t>48307</w:t>
            </w:r>
          </w:p>
        </w:tc>
      </w:tr>
      <w:tr>
        <w:trPr>
          <w:trHeight w:val="230"/>
        </w:trPr>
        <w:tc>
          <w:tcPr>
            <w:tcW w:w="75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289560</wp:posOffset>
            </wp:positionV>
            <wp:extent cx="361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59"/>
        </w:trPr>
        <w:tc>
          <w:tcPr>
            <w:tcW w:w="464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31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Trading symbol</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0"/>
        </w:trPr>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Nasdaq Capital Market</w:t>
            </w:r>
          </w:p>
        </w:tc>
      </w:tr>
      <w:tr>
        <w:trPr>
          <w:trHeight w:val="486"/>
        </w:trPr>
        <w:tc>
          <w:tcPr>
            <w:tcW w:w="3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r>
        <w:trPr>
          <w:trHeight w:val="28"/>
        </w:trPr>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790"/>
        </w:trPr>
        <w:tc>
          <w:tcPr>
            <w:tcW w:w="3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7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July 24, 2019, we issued a press release announcing the details of our earnings conference call, to be held on Wednesday, August 7, 2019 at 4:30 p.m.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Eastern time.</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2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July 24, 2019</w:t>
        </w:r>
      </w:hyperlink>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2019</w:t>
      </w:r>
    </w:p>
    <w:p>
      <w:pPr>
        <w:spacing w:after="0" w:line="200" w:lineRule="exact"/>
        <w:rPr>
          <w:sz w:val="20"/>
          <w:szCs w:val="20"/>
          <w:color w:val="auto"/>
        </w:rPr>
      </w:pPr>
    </w:p>
    <w:p>
      <w:pPr>
        <w:spacing w:after="0" w:line="34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226060</wp:posOffset>
            </wp:positionV>
            <wp:extent cx="2280920" cy="540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092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line="272" w:lineRule="auto"/>
        <w:rPr>
          <w:sz w:val="20"/>
          <w:szCs w:val="20"/>
          <w:color w:val="auto"/>
        </w:rPr>
      </w:pPr>
      <w:r>
        <w:rPr>
          <w:rFonts w:ascii="Arial" w:cs="Arial" w:eastAsia="Arial" w:hAnsi="Arial"/>
          <w:sz w:val="32"/>
          <w:szCs w:val="32"/>
          <w:b w:val="1"/>
          <w:bCs w:val="1"/>
          <w:color w:val="auto"/>
        </w:rPr>
        <w:t>OptimizeRx Sets Second Quarter 2019 Conference Call for Wednesday, August 7, 2019 at 4:30 p.m. ET</w:t>
      </w:r>
    </w:p>
    <w:p>
      <w:pPr>
        <w:spacing w:after="0" w:line="17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ROCHESTER, Mich. – July 24, 2019 – </w:t>
      </w:r>
      <w:r>
        <w:rPr>
          <w:rFonts w:ascii="Arial" w:cs="Arial" w:eastAsia="Arial" w:hAnsi="Arial"/>
          <w:sz w:val="18"/>
          <w:szCs w:val="18"/>
          <w:color w:val="auto"/>
        </w:rPr>
        <w:t>OptimizeRx Corp. (Nasdaq: OPRX), a leading platform for digital health messaging in the pharmaceutical industry,</w:t>
      </w:r>
      <w:r>
        <w:rPr>
          <w:rFonts w:ascii="Arial" w:cs="Arial" w:eastAsia="Arial" w:hAnsi="Arial"/>
          <w:sz w:val="18"/>
          <w:szCs w:val="18"/>
          <w:b w:val="1"/>
          <w:bCs w:val="1"/>
          <w:color w:val="auto"/>
        </w:rPr>
        <w:t xml:space="preserve"> </w:t>
      </w:r>
      <w:r>
        <w:rPr>
          <w:rFonts w:ascii="Arial" w:cs="Arial" w:eastAsia="Arial" w:hAnsi="Arial"/>
          <w:sz w:val="18"/>
          <w:szCs w:val="18"/>
          <w:color w:val="auto"/>
        </w:rPr>
        <w:t>will hold a conference call on Wednesday, August 7, 2019 at 4:30 p.m. Eastern time to discuss results for the second quarter ended June 30, 2019. The financial results will be issued in a press release prior to the call.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call, followed by a question and answer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Wednesday, August 7,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1-800-458-4121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1-323-794-2597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1609655</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replay of the call will be available after 7:30 p.m. Eastern time on the same day through August 28, 2019, as well as available for replay via the Investors section of the OptimizeRx website at investors.optimizerx.com.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1-844-512-2921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1609655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6282A"/>
        </w:rPr>
        <w:t>About OptimizeRx</w:t>
      </w:r>
    </w:p>
    <w:p>
      <w:pPr>
        <w:spacing w:after="0" w:line="189" w:lineRule="exact"/>
        <w:rPr>
          <w:sz w:val="20"/>
          <w:szCs w:val="20"/>
          <w:color w:val="auto"/>
        </w:rPr>
      </w:pPr>
    </w:p>
    <w:p>
      <w:pPr>
        <w:ind w:right="580"/>
        <w:spacing w:after="0" w:line="312" w:lineRule="auto"/>
        <w:rPr>
          <w:sz w:val="20"/>
          <w:szCs w:val="20"/>
          <w:color w:val="auto"/>
        </w:rPr>
      </w:pPr>
      <w:r>
        <w:rPr>
          <w:rFonts w:ascii="Arial" w:cs="Arial" w:eastAsia="Arial" w:hAnsi="Arial"/>
          <w:sz w:val="16"/>
          <w:szCs w:val="16"/>
          <w:color w:val="26282A"/>
        </w:rPr>
        <w:t>OptimizeRx® (Nasdaq: OPRX), a digital health company, connects pharmaceutical companies to patients and providers, offering greater affordability, adherence and brand awareness at the point-of-care. As the nation’s largest point-of-prescribe promotional platform for the pharmaceutical industry, OptimizeRx provides a direct channel for pharma companies to communicate with healthcare providers right within their workflow.</w:t>
      </w:r>
    </w:p>
    <w:p>
      <w:pPr>
        <w:spacing w:after="0" w:line="12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26282A"/>
        </w:rPr>
        <w:t>The cloud-based solution supports patient adherence to medications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26282A"/>
        </w:rPr>
        <w:t>Important Cautions Regarding Forward Looking Statements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 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nicolebrooks@innsena.com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20"/>
      </w:cols>
      <w:pgMar w:left="24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2019-12-28T10:00:39Z</dcterms:created>
  <dcterms:modified xsi:type="dcterms:W3CDTF">2019-12-28T10:00:39Z</dcterms:modified>
</cp:coreProperties>
</file>