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247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476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Lang James Paul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06/05/2024</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06/05/2024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ind w:right="1"/>
              <w:spacing w:after="0"/>
              <w:rPr>
                <w:sz w:val="20"/>
                <w:szCs w:val="20"/>
                <w:color w:val="auto"/>
              </w:rPr>
            </w:pPr>
            <w:r>
              <w:rPr>
                <w:rFonts w:ascii="Times New Roman" w:cs="Times New Roman" w:eastAsia="Times New Roman" w:hAnsi="Times New Roman"/>
                <w:sz w:val="17"/>
                <w:szCs w:val="17"/>
                <w:color w:val="0000FF"/>
              </w:rPr>
              <w:t>10,061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54,758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06/07/2024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13,286</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68,044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10,061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06/05/2024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10,061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grant or the date of the Company's next annual meeting of shareholders.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7, 2023 the reporting person was granted 10,061 restricted stock units which vested in full on June 5,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Marion Odence-Ford, by</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2024-06-11T16:48:49Z</dcterms:created>
  <dcterms:modified xsi:type="dcterms:W3CDTF">2024-06-11T16:48:49Z</dcterms:modified>
</cp:coreProperties>
</file>