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THE 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68401U1051</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13G is filed:</w:t>
      </w:r>
    </w:p>
    <w:p>
      <w:pPr>
        <w:spacing w:after="0" w:line="207" w:lineRule="exact"/>
        <w:rPr>
          <w:sz w:val="24"/>
          <w:szCs w:val="24"/>
          <w:color w:val="auto"/>
        </w:rPr>
      </w:pPr>
    </w:p>
    <w:p>
      <w:pPr>
        <w:jc w:val="both"/>
        <w:ind w:right="8399" w:firstLine="8"/>
        <w:spacing w:after="0" w:line="279" w:lineRule="auto"/>
        <w:tabs>
          <w:tab w:leader="none" w:pos="52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25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1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68401U1051</w:t>
      </w:r>
    </w:p>
    <w:p>
      <w:pPr>
        <w:spacing w:after="0" w:line="4" w:lineRule="exact"/>
        <w:rPr>
          <w:sz w:val="24"/>
          <w:szCs w:val="24"/>
          <w:color w:val="auto"/>
        </w:rPr>
      </w:pPr>
    </w:p>
    <w:p>
      <w:pPr>
        <w:ind w:right="271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AWM Investment Company, Inc.</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(b)___</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right="291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 United States Number of Shares Beneficially</w:t>
      </w:r>
    </w:p>
    <w:p>
      <w:pPr>
        <w:spacing w:after="0" w:line="5" w:lineRule="exact"/>
        <w:rPr>
          <w:rFonts w:ascii="Courier New" w:cs="Courier New" w:eastAsia="Courier New" w:hAnsi="Courier New"/>
          <w:sz w:val="18"/>
          <w:szCs w:val="18"/>
          <w:color w:val="auto"/>
        </w:rPr>
      </w:pPr>
    </w:p>
    <w:p>
      <w:pPr>
        <w:ind w:right="7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r>
        <w:rPr>
          <w:rFonts w:ascii="Courier New" w:cs="Courier New" w:eastAsia="Courier New" w:hAnsi="Courier New"/>
          <w:sz w:val="16"/>
          <w:szCs w:val="16"/>
          <w:color w:val="auto"/>
        </w:rPr>
        <w:t>1,367,925**</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(6) Shared Voting Power: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1,367,925**</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38" w:lineRule="auto"/>
        <w:rPr>
          <w:sz w:val="20"/>
          <w:szCs w:val="20"/>
          <w:color w:val="auto"/>
        </w:rPr>
      </w:pPr>
      <w:r>
        <w:rPr>
          <w:rFonts w:ascii="Courier New" w:cs="Courier New" w:eastAsia="Courier New" w:hAnsi="Courier New"/>
          <w:sz w:val="18"/>
          <w:szCs w:val="18"/>
          <w:color w:val="auto"/>
        </w:rPr>
        <w:t>0</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7" w:lineRule="exact"/>
        <w:rPr>
          <w:sz w:val="24"/>
          <w:szCs w:val="24"/>
          <w:color w:val="auto"/>
        </w:rPr>
      </w:pPr>
    </w:p>
    <w:p>
      <w:pPr>
        <w:ind w:right="217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Percent</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w w:val="96"/>
              </w:rPr>
              <w:t>of Class Represented by Amount in Row (9):</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11.4%**</w:t>
            </w:r>
          </w:p>
        </w:tc>
      </w:tr>
      <w:tr>
        <w:trPr>
          <w:trHeight w:val="203"/>
        </w:trPr>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Type of</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 (See Instructions):</w:t>
            </w:r>
          </w:p>
        </w:tc>
        <w:tc>
          <w:tcPr>
            <w:tcW w:w="1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83"/>
              </w:rPr>
              <w:t>IA</w:t>
            </w:r>
          </w:p>
        </w:tc>
      </w:tr>
    </w:tbl>
    <w:p>
      <w:pPr>
        <w:sectPr>
          <w:pgSz w:w="11900" w:h="16838" w:orient="portrait"/>
          <w:cols w:equalWidth="0" w:num="1">
            <w:col w:w="10299"/>
          </w:cols>
          <w:pgMar w:left="160" w:top="164" w:right="1440" w:bottom="0" w:gutter="0" w:footer="0" w:header="0"/>
        </w:sectPr>
      </w:pPr>
    </w:p>
    <w:bookmarkStart w:id="1" w:name="page2"/>
    <w:bookmarkEnd w:id="1"/>
    <w:p>
      <w:pPr>
        <w:spacing w:after="0" w:line="50" w:lineRule="exact"/>
        <w:rPr>
          <w:sz w:val="20"/>
          <w:szCs w:val="20"/>
          <w:color w:val="auto"/>
        </w:rPr>
      </w:pPr>
    </w:p>
    <w:p>
      <w:pPr>
        <w:ind w:right="2279"/>
        <w:spacing w:after="0" w:line="237" w:lineRule="auto"/>
        <w:rPr>
          <w:sz w:val="20"/>
          <w:szCs w:val="20"/>
          <w:color w:val="auto"/>
        </w:rPr>
      </w:pPr>
      <w:r>
        <w:rPr>
          <w:rFonts w:ascii="Courier New" w:cs="Courier New" w:eastAsia="Courier New" w:hAnsi="Courier New"/>
          <w:sz w:val="18"/>
          <w:szCs w:val="18"/>
          <w:color w:val="auto"/>
        </w:rPr>
        <w:t>**AWM Investment Company, Inc., a Delaware corporation (AWM), is the investment 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 303,730 Shares of Common Stock of the Issuer (the Shares) held by CAYMAN, 812,130 Shares of Common Stock held by SSFQP and 252,065 Shares of Common Stock held by SSPE. See Items 2 and 4 of this Schedule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OptimizeRx Corporation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400 Water Street-Suite 200, Rochester, MI 48307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2919"/>
        <w:spacing w:after="0" w:line="237" w:lineRule="auto"/>
        <w:rPr>
          <w:sz w:val="20"/>
          <w:szCs w:val="20"/>
          <w:color w:val="auto"/>
        </w:rPr>
      </w:pPr>
      <w:r>
        <w:rPr>
          <w:rFonts w:ascii="Courier New" w:cs="Courier New" w:eastAsia="Courier New" w:hAnsi="Courier New"/>
          <w:sz w:val="18"/>
          <w:szCs w:val="18"/>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 Fund, L.P., a Delaware limited partnership (SSPE). (CAYMAN, SSFQP and SSPE, will hereafter be referred to as the Funds.) The principal business of each Fund is to invest in equity and equity-related securities and other securities of any kind or nature.</w:t>
      </w:r>
    </w:p>
    <w:p>
      <w:pPr>
        <w:spacing w:after="0" w:line="213" w:lineRule="exact"/>
        <w:rPr>
          <w:sz w:val="20"/>
          <w:szCs w:val="20"/>
          <w:color w:val="auto"/>
        </w:rPr>
      </w:pPr>
    </w:p>
    <w:p>
      <w:pPr>
        <w:ind w:right="3019"/>
        <w:spacing w:after="0" w:line="271" w:lineRule="auto"/>
        <w:rPr>
          <w:sz w:val="20"/>
          <w:szCs w:val="20"/>
          <w:color w:val="auto"/>
        </w:rPr>
      </w:pPr>
      <w:r>
        <w:rPr>
          <w:rFonts w:ascii="Courier New" w:cs="Courier New" w:eastAsia="Courier New" w:hAnsi="Courier New"/>
          <w:sz w:val="16"/>
          <w:szCs w:val="16"/>
          <w:color w:val="auto"/>
        </w:rPr>
        <w:t>Austin W. Marxe (Marxe), David M. Greenhouse (Greenhouse) and Adam C. Stettner (Stettner) are members of: SSCayman, L.L.C., a Delaware limited liability company (SSCAY) the general partner of CAYMAN; MGP Advisers Limited Partnership, a Delaware limited partnership (MGP), the general partner of SSFQP; and MG Advisers, L.L.C., a New York limited liability company (MG), the general partner of SSPE. Marxe, Greenhouse and Stettner are also controlling principals of AWM.</w:t>
      </w:r>
    </w:p>
    <w:p>
      <w:pPr>
        <w:spacing w:after="0" w:line="187"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8"/>
          <w:szCs w:val="18"/>
          <w:color w:val="auto"/>
        </w:rPr>
        <w:t>Item 2(b). Address of Principal Business Office or, if None, Residence: The principal business address for AWM is c/o Special Situations Funds, 527 Madison Avenue, Suite 2600, New York, NY 10022. Item 2(c). Citizenship:</w:t>
      </w:r>
    </w:p>
    <w:p>
      <w:pPr>
        <w:spacing w:after="0" w:line="238" w:lineRule="auto"/>
        <w:rPr>
          <w:sz w:val="20"/>
          <w:szCs w:val="20"/>
          <w:color w:val="auto"/>
        </w:rPr>
      </w:pPr>
      <w:r>
        <w:rPr>
          <w:rFonts w:ascii="Courier New" w:cs="Courier New" w:eastAsia="Courier New" w:hAnsi="Courier New"/>
          <w:sz w:val="18"/>
          <w:szCs w:val="18"/>
          <w:color w:val="auto"/>
        </w:rPr>
        <w:t>AWM is a Delaware corporation.</w:t>
      </w:r>
    </w:p>
    <w:p>
      <w:pPr>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Item 2(d).</w:t>
        <w:tab/>
        <w:t>Title of Class of Securities:</w:t>
      </w:r>
      <w:r>
        <w:rPr>
          <w:sz w:val="20"/>
          <w:szCs w:val="20"/>
          <w:color w:val="auto"/>
        </w:rPr>
        <w:tab/>
      </w:r>
      <w:r>
        <w:rPr>
          <w:rFonts w:ascii="Courier New" w:cs="Courier New" w:eastAsia="Courier New" w:hAnsi="Courier New"/>
          <w:sz w:val="16"/>
          <w:szCs w:val="16"/>
          <w:color w:val="auto"/>
        </w:rPr>
        <w:t>Common Stock, $.001 Par Value</w:t>
      </w: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68401U1051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 240.13d-</w:t>
      </w:r>
    </w:p>
    <w:p>
      <w:pPr>
        <w:spacing w:after="0" w:line="238" w:lineRule="auto"/>
        <w:rPr>
          <w:sz w:val="20"/>
          <w:szCs w:val="20"/>
          <w:color w:val="auto"/>
        </w:rPr>
      </w:pPr>
      <w:r>
        <w:rPr>
          <w:rFonts w:ascii="Courier New" w:cs="Courier New" w:eastAsia="Courier New" w:hAnsi="Courier New"/>
          <w:sz w:val="18"/>
          <w:szCs w:val="18"/>
          <w:color w:val="auto"/>
        </w:rPr>
        <w:t>2(b) or (c), check whether the Person Filing is a:</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1,367,925**</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11.4%**</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(i)sole power to vote or to direct the vote: 1,367,925**</w:t>
      </w:r>
    </w:p>
    <w:p>
      <w:pPr>
        <w:spacing w:after="0" w:line="201" w:lineRule="exact"/>
        <w:rPr>
          <w:rFonts w:ascii="Courier New" w:cs="Courier New" w:eastAsia="Courier New" w:hAnsi="Courier New"/>
          <w:sz w:val="18"/>
          <w:szCs w:val="18"/>
          <w:color w:val="auto"/>
        </w:rPr>
      </w:pPr>
    </w:p>
    <w:p>
      <w:pPr>
        <w:ind w:left="2540" w:hanging="847"/>
        <w:spacing w:after="0"/>
        <w:tabs>
          <w:tab w:leader="none" w:pos="25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vote:0</w:t>
      </w:r>
    </w:p>
    <w:p>
      <w:pPr>
        <w:spacing w:after="0" w:line="201" w:lineRule="exact"/>
        <w:rPr>
          <w:rFonts w:ascii="Courier New" w:cs="Courier New" w:eastAsia="Courier New" w:hAnsi="Courier New"/>
          <w:sz w:val="18"/>
          <w:szCs w:val="18"/>
          <w:color w:val="auto"/>
        </w:rPr>
      </w:pPr>
    </w:p>
    <w:p>
      <w:pPr>
        <w:ind w:left="2540" w:hanging="847"/>
        <w:spacing w:after="0"/>
        <w:tabs>
          <w:tab w:leader="none" w:pos="25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1,367,925**</w:t>
      </w:r>
    </w:p>
    <w:p>
      <w:pPr>
        <w:spacing w:after="0" w:line="207" w:lineRule="exact"/>
        <w:rPr>
          <w:rFonts w:ascii="Courier New" w:cs="Courier New" w:eastAsia="Courier New" w:hAnsi="Courier New"/>
          <w:sz w:val="18"/>
          <w:szCs w:val="18"/>
          <w:color w:val="auto"/>
        </w:rPr>
      </w:pPr>
    </w:p>
    <w:p>
      <w:pPr>
        <w:ind w:left="2540" w:hanging="847"/>
        <w:spacing w:after="0"/>
        <w:tabs>
          <w:tab w:leader="none" w:pos="2540"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_____________________________________________________________________________</w:t>
      </w:r>
    </w:p>
    <w:p>
      <w:pPr>
        <w:spacing w:after="0" w:line="207" w:lineRule="exact"/>
        <w:rPr>
          <w:rFonts w:ascii="Courier New" w:cs="Courier New" w:eastAsia="Courier New" w:hAnsi="Courier New"/>
          <w:sz w:val="16"/>
          <w:szCs w:val="16"/>
          <w:color w:val="auto"/>
        </w:rPr>
      </w:pPr>
    </w:p>
    <w:p>
      <w:pPr>
        <w:ind w:right="2179" w:firstLine="8"/>
        <w:spacing w:after="0" w:line="275"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AWM is the investment adviser to each of the Funds. As the investment adviser to the Funds, AWM holds sole voting and investment power over 303,730 Shares of Common Stock of the Issuer (the Shares) held by CAYMAN, 812,130 Shares of Common Stock held by SSFQP and 252,065 Shares of Common Stock held</w:t>
      </w:r>
    </w:p>
    <w:p>
      <w:pPr>
        <w:sectPr>
          <w:pgSz w:w="11900" w:h="16888" w:orient="portrait"/>
          <w:cols w:equalWidth="0" w:num="1">
            <w:col w:w="10299"/>
          </w:cols>
          <w:pgMar w:left="160" w:top="62" w:right="1440" w:bottom="0" w:gutter="0" w:footer="0" w:header="0"/>
        </w:sectPr>
      </w:pPr>
    </w:p>
    <w:bookmarkStart w:id="2" w:name="page3"/>
    <w:bookmarkEnd w:id="2"/>
    <w:p>
      <w:pPr>
        <w:ind w:right="2399"/>
        <w:spacing w:after="0" w:line="237" w:lineRule="auto"/>
        <w:rPr>
          <w:sz w:val="20"/>
          <w:szCs w:val="20"/>
          <w:color w:val="auto"/>
        </w:rPr>
      </w:pPr>
      <w:r>
        <w:rPr>
          <w:rFonts w:ascii="Courier New" w:cs="Courier New" w:eastAsia="Courier New" w:hAnsi="Courier New"/>
          <w:sz w:val="18"/>
          <w:szCs w:val="18"/>
          <w:color w:val="auto"/>
        </w:rPr>
        <w:t>by SSPE. Marxe, Greenhouse and Stettner are members of: SSCAY, the general partner of CAYMAN; MGP, the general partner of SSFQP; and MG, the general partner of SSPE. Marxe, Greenhouse and Stettner are also controlling principals of AWM.</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7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17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7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11, 2019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AWM INVESTMENT COMPANY,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Adam Stettner</w:t>
      </w:r>
    </w:p>
    <w:p>
      <w:pPr>
        <w:ind w:left="860"/>
        <w:spacing w:after="0" w:line="238" w:lineRule="auto"/>
        <w:rPr>
          <w:sz w:val="20"/>
          <w:szCs w:val="20"/>
          <w:color w:val="auto"/>
        </w:rPr>
      </w:pPr>
      <w:r>
        <w:rPr>
          <w:rFonts w:ascii="Courier New" w:cs="Courier New" w:eastAsia="Courier New" w:hAnsi="Courier New"/>
          <w:sz w:val="18"/>
          <w:szCs w:val="18"/>
          <w:color w:val="auto"/>
        </w:rPr>
        <w:t>Name: Adam Stettner</w:t>
      </w:r>
    </w:p>
    <w:p>
      <w:pPr>
        <w:ind w:left="86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019"/>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 -1-</w:t>
      </w:r>
    </w:p>
    <w:sectPr>
      <w:pgSz w:w="11900" w:h="16838" w:orient="portrait"/>
      <w:cols w:equalWidth="0" w:num="1">
        <w:col w:w="10299"/>
      </w:cols>
      <w:pgMar w:left="160" w:top="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decimal"/>
      <w:start w:val="9"/>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2019-11-24T15:21:02Z</dcterms:created>
  <dcterms:modified xsi:type="dcterms:W3CDTF">2019-11-24T15:21:02Z</dcterms:modified>
</cp:coreProperties>
</file>