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March 28, 2025</w:t>
      </w:r>
    </w:p>
    <w:p>
      <w:pPr>
        <w:spacing w:after="0" w:line="23"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260 Charles Street, Suite 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Waltham, MA 02453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651-6568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Silvestro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260 Charles Street, Suite 302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Waltham, MA 02453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651-6568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Melissa Palat Murawsky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Blank Rome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Logan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(215) 569-5732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(215) 832-5732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market conditions.</w:t>
      </w:r>
    </w:p>
    <w:p>
      <w:pPr>
        <w:spacing w:after="0" w:line="159"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16" w:right="339" w:bottom="0" w:gutter="0" w:footer="0" w:header="0"/>
        </w:sectPr>
      </w:pPr>
    </w:p>
    <w:bookmarkStart w:id="1" w:name="page2"/>
    <w:bookmarkEnd w:id="1"/>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Subject to Completion, dated March 28,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156845</wp:posOffset>
            </wp:positionV>
            <wp:extent cx="221170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OptimizeRx Corporation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offer and sell up to $75,000,000 of any combination of our common stock, par value $0.001 (the “common stock”), preferred stock, par value $0.001 (the “preferred stock”), debt securities, warrants or units described in this prospectus, either individually or in combination with other securities, at prices and on terms described in one or more supplements to this prospectus. We may also offer common stock or preferred stock upon conversion of debt securities, common stock upon conversion of preferred stock, or common stock, preferred stock, or debt securities upon the exercise of warrants.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we may offer. 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Securities may be sold by us to or through underwriters or dealers, directly to purchasers or through agents designated from time to time. For additional information on the methods of sale, you should refer to the section entitled “Plan of Distribution” in this prospectus and in the applicable prospectus supplement.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price to the public of such securities and the net proceeds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“OPRX.” On March 27, 2025, the last reported sale price of our common stock was $8.74 per share. The applicable prospectus supplement will contain information, where applicable, as to any other listing on Nasdaq Capital Market or any securities market or other exchange of the specific security, covered by such prospectus supplement.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5 of this prospectus and contained in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5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6"/>
        </w:trPr>
        <w:tc>
          <w:tcPr>
            <w:tcW w:w="23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ABOUT THIS PROSPECTUS</w:t>
            </w:r>
          </w:p>
        </w:tc>
        <w:tc>
          <w:tcPr>
            <w:tcW w:w="6220" w:type="dxa"/>
            <w:vAlign w:val="bottom"/>
            <w:tcBorders>
              <w:bottom w:val="single" w:sz="8" w:color="CCEEFF"/>
            </w:tcBorders>
            <w:gridSpan w:val="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b w:val="1"/>
                <w:bCs w:val="1"/>
                <w:color w:val="auto"/>
              </w:rPr>
              <w:t>i</w:t>
            </w:r>
          </w:p>
        </w:tc>
      </w:tr>
      <w:tr>
        <w:trPr>
          <w:trHeight w:val="176"/>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7240" w:type="dxa"/>
            <w:vAlign w:val="bottom"/>
            <w:tcBorders>
              <w:bottom w:val="single" w:sz="8" w:color="CCEEFF"/>
            </w:tcBorders>
            <w:gridSpan w:val="1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5</w:t>
            </w:r>
          </w:p>
        </w:tc>
      </w:tr>
      <w:tr>
        <w:trPr>
          <w:trHeight w:val="175"/>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6900" w:type="dxa"/>
            <w:vAlign w:val="bottom"/>
            <w:tcBorders>
              <w:bottom w:val="single" w:sz="8" w:color="CCEEFF"/>
            </w:tcBorders>
            <w:gridSpan w:val="1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7</w:t>
            </w:r>
          </w:p>
        </w:tc>
      </w:tr>
      <w:tr>
        <w:trPr>
          <w:trHeight w:val="176"/>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THE SECURITIES WE MAY OFFER</w:t>
            </w:r>
          </w:p>
        </w:tc>
        <w:tc>
          <w:tcPr>
            <w:tcW w:w="266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6"/>
        </w:trPr>
        <w:tc>
          <w:tcPr>
            <w:tcW w:w="8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CAPITAL STOCK</w:t>
            </w:r>
          </w:p>
        </w:tc>
        <w:tc>
          <w:tcPr>
            <w:tcW w:w="266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266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19</w:t>
            </w:r>
          </w:p>
        </w:tc>
      </w:tr>
      <w:tr>
        <w:trPr>
          <w:trHeight w:val="175"/>
        </w:trPr>
        <w:tc>
          <w:tcPr>
            <w:tcW w:w="26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5960" w:type="dxa"/>
            <w:vAlign w:val="bottom"/>
            <w:tcBorders>
              <w:top w:val="single" w:sz="8" w:color="CCEEFF"/>
            </w:tcBorders>
            <w:gridSpan w:val="8"/>
          </w:tcPr>
          <w:p>
            <w:pPr>
              <w:spacing w:after="0"/>
              <w:rPr>
                <w:sz w:val="15"/>
                <w:szCs w:val="15"/>
                <w:color w:val="auto"/>
              </w:rPr>
            </w:pPr>
          </w:p>
        </w:tc>
        <w:tc>
          <w:tcPr>
            <w:tcW w:w="266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LEGAL OWNERSHIP OF SECURITIES</w:t>
            </w:r>
          </w:p>
        </w:tc>
        <w:tc>
          <w:tcPr>
            <w:tcW w:w="5340" w:type="dxa"/>
            <w:vAlign w:val="bottom"/>
            <w:tcBorders>
              <w:bottom w:val="single" w:sz="8" w:color="CCEEFF"/>
            </w:tcBorders>
            <w:gridSpan w:val="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22</w:t>
            </w:r>
          </w:p>
        </w:tc>
      </w:tr>
      <w:tr>
        <w:trPr>
          <w:trHeight w:val="176"/>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7020" w:type="dxa"/>
            <w:vAlign w:val="bottom"/>
            <w:tcBorders>
              <w:bottom w:val="single" w:sz="8" w:color="CCEEFF"/>
            </w:tcBorders>
            <w:gridSpan w:val="1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27</w:t>
            </w:r>
          </w:p>
        </w:tc>
      </w:tr>
      <w:tr>
        <w:trPr>
          <w:trHeight w:val="175"/>
        </w:trPr>
        <w:tc>
          <w:tcPr>
            <w:tcW w:w="8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4540" w:type="dxa"/>
            <w:vAlign w:val="bottom"/>
            <w:tcBorders>
              <w:bottom w:val="single" w:sz="8" w:color="CCEEFF"/>
            </w:tcBorders>
            <w:gridSpan w:val="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27</w:t>
            </w:r>
          </w:p>
        </w:tc>
      </w:tr>
      <w:tr>
        <w:trPr>
          <w:trHeight w:val="176"/>
        </w:trPr>
        <w:tc>
          <w:tcPr>
            <w:tcW w:w="554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3040" w:type="dxa"/>
            <w:vAlign w:val="bottom"/>
            <w:gridSpan w:val="2"/>
          </w:tcPr>
          <w:p>
            <w:pPr>
              <w:spacing w:after="0"/>
              <w:rPr>
                <w:sz w:val="15"/>
                <w:szCs w:val="15"/>
                <w:color w:val="auto"/>
              </w:rPr>
            </w:pPr>
          </w:p>
        </w:tc>
        <w:tc>
          <w:tcPr>
            <w:tcW w:w="266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statement, we may sell from time to time in one or more offerings up to a total dollar amount of $75,000,000 of shares of common stock, preferred stock, various series of debt securities and/or warrants to purchase any of such securities, either individually or as units in combination with other securities as described in this prospectus. 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all references in this prospectus to “us,” “our,” “OPRX,” “OptimizeRx,” “we,” the “Company” and similar references refer to OptimizeRx Corporation, an entity incorporated under the laws of the State of Nevada, and where appropriate, our consolidated subsidiaries.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007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700786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herein and does not contain all the information that may be important to purchasers of our securities. Prospective purchasers of our securities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Prospective purchasers of our securities should also carefully read the information incorporated by reference into this prospectus, including our financial statements, and the exhibits to the registration statement of which this prospectus is a part.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OptimizeRx is a leading healthcare technology company that is redefining how life sciences brands connect with patients and healthcare providers. OptimizeRx was founded in 2006 as a healthcare technology company delivering various types of messages, including coupons and co-pays directly to physicians and pharmacists though electronic health record (EHR) networks and ePrescribing (eRx) platforms. Over time, the demand for different types of communication and marketing solutions among life sciences organizations, healthcare professionals (HCPs), and patients led us to expand upon our initial solution to increase the variety of health-related information we deliver, as well as the platforms, technology, and audiences through, and to which we deliver.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combining artificial intelligence (AI)-driven tools with our original financial messaging solution, we progressively enhanced our original financial messaging solution. Our current AI-enabled Dynamic Audience Activation Platform (DAAP) not only identifies precise HCP audiences but also estimates which HCPs will see brand eligible patients, and when such brand eligible patients will be seen.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acquiring Healthy Offers, Inc. (d/b/a “Medicx” or “Medicx Health”) in 2023, we expanded our capabilities to include direct-to-consumer (DTC) marketing using our patent-protected Micro-Neighborhood Targeting (MNT) solution. MNT uses de-identified claims data to target not individual patients, but geographies in which eligible patients live, to better target audiences for brand manufacturers - a privacy-centric approach to audience creation. With the integration of DTC marketing, our life sciences brand customers can now access across our omnichannel network to reach both HCP and patient audiences. Today, we offer diverse tech-enabled marketing solutions using sophisticated machine-learning algorithms to find the best audience in the correct channels at the right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able to execute traditional marketing campaigns on our proprietary digital point-of-care network, as well as dynamic DTC marketing campaigns that optimize audiences in real time to increase the value of treatment information for HCPs and patients. Connecting over two million U.S. healthcare providers and millions of their patients through an intelligent technology platform embedded within a proprietary omnichannel network, OptimizeRx helps life sciences organizations engage and support their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2006, Optimizer Systems, L.L.C. was formed in the State of Michigan and, on October 16, 2007, OptimizeRx Corporation was separately incorporated in Michigan. On October 22, 2007, Optimizer Systems, LLC merged into OptimizeRx Corporation, a Michigan corporation, and the name OptimizeRx Corporation remained unchanged following the merger.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14, 2008, RFID Ltd., an alternative reporting company with the OTC Market Group, Inc. and formed in the State of Colorado, entered into a share exchange agreement with the stockholders of OptimizeRx Corporation, pursuant to which the stockholders of OptimizeRx Corporation exchanged all of the issued and outstanding capital stock of OptimizeRx Corporation for shares of common stock of RFID Ltd. On April 15, 2008, RFID Ltd’s corporate name was changed to OptimizeRx Corporation, a Colorado corporation. On September 4, 2008, the Company then completed a migratory merger, changing its state of incorporation from Colorado to Nevada, resulting in OptimizeRx Corporation, a Nevada corporation becoming the parent corporation of OptimizeRx Corporation, a Michigan corporation. On April 11, 2023, OptimizeRx Corporation, a Michigan corporation, was merged with and into OptimizeRx Corporation, a Nevada corporation.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238" w:right="45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156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8156575"/>
                    </a:xfrm>
                    <a:prstGeom prst="rect">
                      <a:avLst/>
                    </a:prstGeom>
                    <a:noFill/>
                  </pic:spPr>
                </pic:pic>
              </a:graphicData>
            </a:graphic>
          </wp:anchor>
        </w:drawing>
        <w:t>We conduct our operations as OptimizeRx Corporation, a Nevada corporation, and through our wholly-owned subsidiaries, Healthy Offers, Inc. (d/b/a Medicx Health or “Medicx Health”), a Nevada corporation, and CareSpeak Communications, d.o.o., a controlled foreign corporation incorporated in Croatia.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260 Charles Street Suite 302, Waltham, MA 02453 and our telephone number is (248) 651-6568. Our website address is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Information contained on or accessible through this website is not incorporated by reference in, or otherwise a part of, this Annual Report on Form 10-K, and any references to this website are intended to be inactive textual references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As a result, we may take advantage of certain reduced disclosure obligations available to smaller reporting companies, including the exemption from compliance with the auditor attestation requirements pursuant to the Sarbanes-Oxley Act of 2022, reduced disclosure about our executive compensation arrangements and the requirements to provide only two years of audited financial statements in our annual reports and registration statements. We will continue to be a “smaller reporting company” as long as (1) we have a public float (i.e., the market value of our common stock held by non-affiliates) of less than $250 million calculated as of the last business 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SEC filings due to our status as a “smaller reporting company” may make it harder for investors to analyze our results of operations and financial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shares of our common stock, preferred stock, various series of debt securities and/or warrants to purchase any of such securities, either individually or as units in combination with other securities, with a total value of up to $75,000,000 from time to time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52"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52"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and, if applicable, any provisions for changes to or adjustments in the conversion or exchange prices or rates and in the securities or other property receivable upon conversion or exchange; and</w:t>
      </w:r>
    </w:p>
    <w:p>
      <w:pPr>
        <w:spacing w:after="0" w:line="188"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considerations, if 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67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7967980"/>
                    </a:xfrm>
                    <a:prstGeom prst="rect">
                      <a:avLst/>
                    </a:prstGeom>
                    <a:noFill/>
                  </pic:spPr>
                </pic:pic>
              </a:graphicData>
            </a:graphic>
          </wp:anchor>
        </w:drawing>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176" w:lineRule="exact"/>
        <w:rPr>
          <w:sz w:val="20"/>
          <w:szCs w:val="20"/>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securities we may offer with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issue shares of our common stock from time to time. Each holder of our common stock is entitled to one vote for each share on all matters submitted to a vote of the stockholders, including the election of directors. Under our articles of incorporation, as amended (the “articles of incorporation”) and third amended and restated bylaws (the “bylaws”), our stockholders do not have cumulative voting rights. Subject to preferences that may be applicable to any then-outstanding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Holders of shares of our common stock do not have preemptive, subscription, redemption, or conversion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the holder’s option and would be at prescribed conversion rates. 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499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5499100"/>
                    </a:xfrm>
                    <a:prstGeom prst="rect">
                      <a:avLst/>
                    </a:prstGeom>
                    <a:noFill/>
                  </pic:spPr>
                </pic:pic>
              </a:graphicData>
            </a:graphic>
          </wp:anchor>
        </w:drawing>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as units in combination with common stock, preferred stock and/or debt securities, and the warrants may be attached to or separate from these securities. In this prospectus, we have summarized certain general features of the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urge you, however, to read the applicable prospectus supplement (and any free writing prospectus that we may authorize to be provided to you) related to the series of warrants being offered, as well as any warrant agreements and warrant certificates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prospectus, we have summarized certain general features of the units under “Description of Units.” We urge you, however, to read the applicable prospectus supplement (and any related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specific unit agreement that contains the terms of the particular series of units we are offering, before the issuance of such units.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as may be updated by subsequent annual, quarterly and other reports that are incorporated by reference into this prospectus in their entirety.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“Cautionary Note Regarding Forward-Looking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contains, and any applicable prospectus supplement or free writing prospectus including the documents we incorporate by reference therein may contain, forward-looking statements within the meaning of Section 27A of the Securities Act of 1933, as amended (the “Securities Act”) and Section 21E of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Forward-looking statements include statements regarding our intentions, beliefs, projections, outlook, analyses or current expectations.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including our most recent Annual Report on Form 10-K and our Quarterly Reports on Form 10-Q and our Current Reports on Form 8-K, as well as any amendments thereto.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in their entirety, many of these risks and uncertainties under the heading “Risk Factors” contained in the applicable prospectus supplement, in any free writing prospectus we may authorize for use in connection with a specific offering, and in the documents incorporated by reference herein. These statements reflect our current views with respect to future events and are based on assumptions and subject to risks and uncertainties.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prospectus supplement or in any related free writing prospectus that we may authorize to be provided to you, we currently intend to use the net proceeds from the sale of the securities offered by us hereunder primarily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shelf registration statement, we may sell common stock, preferred stock, various series of debt securities, or warrants to purchase any of such securities, either individually or as units in combination with other securities described in this prospectus, in one or more offerings from time to time. This prospectus provides you with a general description of the securities we may offer. Each time we offer a type or series of securities under this prospectus, we will provide a prospectus supplement or free writing prospectus, or both, that will describe the specific amounts, prices and other important terms of the securities.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and does not purport to be complete. It is subject to and qualified in its entirety by reference to our articles of incorporation and bylaws, each of which is incorporated by reference herein. We encourage you to read our articles of incorporation, bylaws and the applicable provisions of the Nevada Revised Statutes (“NRS”)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Authorized Capitalization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provide for authorized capital stock of 166,666,667 shares of common stock, par value $0.001 per share, and 10,000,000 shares of undesignated preferred stock, par value $0.001 per share. The rights, preferences and privileges of the holders of common stock are subject to, and may be adversely affected by, the rights of the holders of shares of any then outstanding preferred stock. As of the date hereof, no shares of preferred stock are outstanding. Our board of directors, subject to the provisions of our articles of incorporation and limitations imposed by law, has the authority to designate, from time to time and without stockholder approval, preferred stock in one or more series, and to prescribe with respect to each such series the voting powers, if any, designations, preferences, and relative, participating, optional, or other special rights, and the qualifications, limitations, or restrictions relating to such series.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our common stock are entitled to receive dividends out of assets legally available at the times and in the amounts as our board may from time to time determine.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record of our common stock is entitled to one vote for each share of our common stock held on all matters submitted to a vote of the stockholders. If a quorum is present, unless our articles of incorporation, our bylaws, the rules or regulations of any stock exchange applicable to us, or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If a quorum is present, unless otherwise provided by our articles of incorporation or bylaws, directors shall be elected by a plurality of the votes cast.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 Preemptive or Other Rights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subscription, cumulative voting or conversion rights and there are no redemption or sinking fund provisions applicable to our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payments to creditors and after satisfaction of the liquidation preference, if any, of the holders of any preferred stock that may at the time be outstanding.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and phone number is: 150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Royall Street, Canton, MA 02021, telephone number: (781) 575-2000.</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“OPRX.”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at any time, and from time to time, to provide for the issuance of shares of preferred stock in one or more series, with such voting power, full or limited, or without voting powers and with such designations, preferences and relative, participating, optional or other special rights, qualifications, limitations or restrictions thereof, as shall be stated and expressed in the resolution or resolutions providing for the issue thereof adopted by our board of directors, including, but not limited to, the following:</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of such series, the conditions and dates upon which such dividends shall be payable, the preference or relation which such dividends shall bear to the dividends payable on any other class or classes or any other series of capital stock, whether such dividends shall be cumulative or non-cumulative, and whether such dividends may be paid in shares of any class or series of capital stock or other securities of the Company;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redemption by the Company, and, if made subject to such redemption, the times, prices and other terms and conditions of such redemption;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any sinking fund provided for the purchase or redemption of the shares of such series;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such series shall be convertible into or exchangeable for shares of any other class or classes or series of capital stock or other securities of the Company, and, if provision be made for conversion or exchange, the times, prices, rates, adjustment and other terms and conditions of such conversion or exchange;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if any, to which the holders of the shares of such series shall be entitled to vote, as a class or otherwise with respect to the election of directors or otherwise, and the number of votes to which the holder of each share of such series shall be entitled;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if any, on the issue or reissue of any additional shares or series of preferred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shares of such series upon dissolution of, or upon the distribution of assets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our Articles of Incorporation and Bylaws and Nevada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provisions of our articles of incorporation and bylaws, and certain provisions of the NRS may have an effect of delaying, deferring or preventing a change in control of the Company.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authorized to approve the issuance of preferred stock without stockholder approval and to determine the number of shares, the designations and the relative preferences, rights, restrictions and qualifications of any series of preferred stock. As a result, our board of directors could, without stockholder approval, authorize the issuance of preferred stock with voting, dividend, redemption, liquidation, sinking fund, conversion and other rights that could proportionately reduce, minimize or otherwise adversely affect the voting power and other rights of holders of the Company’s capital stock or that could have the effect of delaying, deferring or preventing a change in control.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bylaws prohibit stockholders from acting by written consent. Accordingly, stockholder action must take place at an annual or a special meeting of the Company’s stockholders.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any rights of the holders of preferred stock, if any, vacancies on our board of directors, howsoever resulting, may be filled only by a majority of the remaining directors, even if less than a quorum, or by a sole remaining director. Any director elected to fill a vacancy shall hold office for a term expiring at the next annual meeting of stockholders and until such director’s successor is duly elected and qualified.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bylaws provide that, subject to any rights of the holders of preferred stock, if any, and except as otherwise provided in the NRS, any director, or the entire Board, may be removed from office by the affirmative vote of the holders of not less than two-thirds of the voting power of the issued and outstanding stock entitled to vote at an annual or special meeting of the stockholders duly noticed and called in accordance with our bylaws. NRS 78.335 generally requires the vote of stockholders representing not less than two-thirds of the voting power of the issued and outstanding stock entitled to vote in order to remove an incumbent director.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wishing to nominate persons for election to our board of directors at an annual meeting or to propose any business to be considered by our stockholders at an annual or special meeting must comply with certain advance notice and other requirements set forth in our bylaws. Likewise, if our board of directors has determined that directors shall be elected at a special meeting of stockholders, stockholders wishing to nominate persons for election to our board of directors at such special meeting must comply with certain advance notice and other requirements set forth in our bylaws.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i w:val="1"/>
          <w:iCs w:val="1"/>
          <w:color w:val="auto"/>
        </w:rPr>
        <w:t>Nevada Anti-Takeover Statutes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at least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 and any related free writing prospectus related to the debt securities that we may offer under this prospectus, as well as the complete indenture that contains the terms of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will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left="328" w:hanging="328"/>
        <w:spacing w:after="0" w:line="261"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8" w:name="page19"/>
    <w:bookmarkEnd w:id="18"/>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5540" w:right="3380" w:hanging="5208"/>
        <w:spacing w:after="0" w:line="783" w:lineRule="auto"/>
        <w:tabs>
          <w:tab w:leader="none" w:pos="6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such securities will be set forth in the applicable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or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 to the extent applicable: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or warrant certificate representing the warrants to be exercised together with specified information, and paying the required amount to the warrant agent, if applicable, in immediately available funds, as provided in the applicable prospectus supplement. We will set forth on the reverse side of any warrant certificate and in the applicable prospectus supplement the information that the holder of the warrant will be required to deliver to any warrant agent in connection with the exercise of the warrant.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fewer than all of the warrants (or the warrants represented by such warrant certificate) are exercised, a new warrant or a new warrant certificate, as applicable, will be issued for the remaining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related free writing prospectus, summarizes the material terms and provisions of the units that we may offer under this prospectus. We may issue units consisting of any combination of the other types of securities offered under this prospectus in one or more series.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may evidence each series of units by unit certificates that we will issue under a separate agreement. We may enter into unit agreements with a unit agent. Each unit agent will be a bank or trust company that we select. We will indicate the name and address of any unit agent in the applicable prospectus supplement relating to a particular series of units. The summary below and that contained in any prospectus supplement is qualified in its entirety by reference to all of the provisions of the unit agreement and/or unit certificate, and depositary arrangements, if applicable. We urge you to read the applicable prospectus supplements and any related free writing prospectuses related to the units that we may offer under this prospectus, as well as the complete unit agreement and/or unit certificate, and depositary arrangements, as applicable, that contain the terms of the units.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reports that we file with the SEC, the form of unit agreement and/or unit certificate, and depositary arrangements, as applicable, that contain the terms of the particular series of units we are offering, and any supplemental agreements, before the issuance of such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jc w:val="both"/>
        <w:ind w:firstLine="58"/>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225"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 the market”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agents or other purchasers,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to purchase additional shares or other options under which underwriters, dealers, agents or other purchasers may purchase additional securities from 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to be allowed or paid to the agent or underwriters and other items constituting agents’ or underwriters’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option to purchase additional shares or in the open market after the distribution is completed, to cover short positions.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Capital Market may engage in passive market making transactions in our common stock on the Nasdaq Capital Market in accordance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and any supplement thereto, will be passed upon for us by The Doney Law Firm, Nevada. Blank Rome LLP has acted as securities counsel to OptimizeRx Corporation. In connection with particular offerings of securities in the future, and if stated in the applicable prospectus supplement, Blank Rome LLP, New York, New York may pass upon certain legal matters relating to the Debt Securities, Warrants and Units offered thereby on our behalf. Additional legal matters may be passed upon for us or any underwriters, dealers or agents, by counsel that we will name in the applicable prospectus supplement.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OptimizeRx Corporation as of December 31, 2024, and for each of the periods in the two-year period ended December 31, 2024, have been incorporated by reference herein in reliance upon the report of UHY LLP (“UHY”), an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SEC filings are also available on our website,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under the heading “Investors—SEC Filings.” The reference to our website is an inactive textual reference only, the information contained in, and that can be accessed through our website, is not incorporated into and is not a part of this prospectus. We make available on our website our SEC filings as soon as reasonably practicable after those reports are filed with the SEC.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001-38543):</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20,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3">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March 10,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under Item 7.01 and exhibits related thereto);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capital stock contained in the Registration Statement on </w:t>
      </w:r>
      <w:hyperlink r:id="rId5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June 19, 2018 (File No. 001-38543), as supplemented and updated by the description of our common stock contained in the Current Report on </w:t>
      </w:r>
      <w:hyperlink r:id="rId56">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August 31, 2021 (File No. 001-38543), the “Description of Capital Stock” found on page 8 of this base prospectus and any amendments or reports filed for the purpose of updating such description.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(i) on or after the date of the initial filing of the registration statement of which this prospectus forms a part and prior to effectiveness of such registration statement, and (ii) on or after the date of this prospectus but prior to the termination of the offering (i.e., until the earlier of the date on which all of the securities registered hereunder have been sold or the registration statement of which this prospectus forms a part has been withdrawn).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 Charles Street, Suite 302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(248) 651-6568</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The information contained in, or that can be accessed through, our website is not incorporated by reference in, and is not part of, this prospectus or any accompanying prospectus supplement.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into this prospectus. We are not making offers to sell the securities in any jurisdiction in which such an offer or solicitation is not authorized or in which the person making such offer or solicitation is not qualified to do so or to anyone to whom it is unlawful to make such an offer or solicitation.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payable by us, other than underwriting discounts and commissions, in connection with the offering of the securities pursuant to this registration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11,482.50</w:t>
            </w:r>
          </w:p>
        </w:tc>
      </w:tr>
      <w:tr>
        <w:trPr>
          <w:trHeight w:val="257"/>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11,750</w:t>
            </w:r>
          </w:p>
        </w:tc>
      </w:tr>
      <w:tr>
        <w:trPr>
          <w:trHeight w:val="257"/>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expenses</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5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57"/>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57"/>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6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23"/>
        </w:trPr>
        <w:tc>
          <w:tcPr>
            <w:tcW w:w="9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CCEEFF"/>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91"/>
              </w:rPr>
              <w:t>(1)</w:t>
            </w:r>
          </w:p>
        </w:tc>
      </w:tr>
      <w:tr>
        <w:trPr>
          <w:trHeight w:val="34"/>
        </w:trPr>
        <w:tc>
          <w:tcPr>
            <w:tcW w:w="9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180" w:hanging="172"/>
        <w:spacing w:after="0" w:line="208" w:lineRule="auto"/>
        <w:tabs>
          <w:tab w:leader="none" w:pos="228"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Nevada Revised Statutes provide that a corporation may indemnify its officers and directors against expenses, including attorneys’ fees, judgments, fines and amounts paid in settlement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or not opposed to the best interests of the corporation and, with respect to any criminal actions, had no reasonable cause to believe his or her conduct was unlawful. A corporation may indemnify its officers and directors against expenses, including amounts paid in settlement and attorneys’ fees,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or not opposed to the best interests of the corporation. The Nevada Revised Statutes further provide that a corporation generally may not indemnify an officer or director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 The Nevada Revised Statutes require a corporation to indemnify an officer or director against expenses actually and reasonably incurred by the person in connection with defending the action, including, without limitation, attorney’s fees, to the extent he or she is successful on the merits or otherwise successfully defends the action.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Registrant’s bylaws provide that it will indemnify its directors and officers to the fullest extent permitted by Nevada law, including in circumstances in which indemnification otherwise would be discretionary under Nevada law as described above. The Registrant’s bylaws also provide that the Registrant must pay a director’s or officer’s expenses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Registrant. In addition, the Registrant has purchased insurance covering its directors and officers (subject to certain exceptions and deductions) against liabilities which they may incur in their capacity as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immediately precedes the Signature Page and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undertakings set forth in paragraphs (1)(i), (1)(ii) and (1)(iii) above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182" w:lineRule="exact"/>
        <w:rPr>
          <w:sz w:val="20"/>
          <w:szCs w:val="20"/>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6"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left="328" w:hanging="328"/>
        <w:spacing w:after="0" w:line="258"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9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Articles of Incorporation of OptimizeRx Corporation (the “Company”).  Incorporated by reference to Exhibit 3.1 to the Company’s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Registration Statement on Form S-1 (Registration No. 333-155280) filed on November 12, 2008).</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Correction, dated April 30, 2018. Incorporated by reference to Exhibit 3.5 to the Company’s Annual Report on Form 10-K</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filed March 12, 2019.</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Third Amended and Restated Bylaws of the Company. Incorporated by reference to Exhibit 3.3 to the Company’s Annual Report on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10-K for the year ended December 31, 2022.</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Debt Securities</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Certificate of Designations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Opinion of The Doney Law Firm</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Blank Rome LLP</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tcBorders>
          </w:tcPr>
          <w:p>
            <w:pPr>
              <w:spacing w:after="0"/>
              <w:rPr>
                <w:sz w:val="15"/>
                <w:szCs w:val="15"/>
                <w:color w:val="auto"/>
              </w:rPr>
            </w:pPr>
          </w:p>
        </w:tc>
        <w:tc>
          <w:tcPr>
            <w:tcW w:w="21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w:t>
            </w:r>
          </w:p>
        </w:tc>
        <w:tc>
          <w:tcPr>
            <w:tcW w:w="8000" w:type="dxa"/>
            <w:vAlign w:val="bottom"/>
            <w:tcBorders>
              <w:top w:val="single" w:sz="8" w:color="CCEEFF"/>
            </w:tcBorders>
            <w:gridSpan w:val="8"/>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The Doney Law Firm (included in Exhibit 5.1)</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tcBorders>
          </w:tcPr>
          <w:p>
            <w:pPr>
              <w:spacing w:after="0"/>
              <w:rPr>
                <w:sz w:val="15"/>
                <w:szCs w:val="15"/>
                <w:color w:val="auto"/>
              </w:rPr>
            </w:pPr>
          </w:p>
        </w:tc>
        <w:tc>
          <w:tcPr>
            <w:tcW w:w="42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Consent of Blank Rome LLP (included in Exhibit 5.2)</w:t>
            </w:r>
          </w:p>
        </w:tc>
        <w:tc>
          <w:tcPr>
            <w:tcW w:w="590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in signature page)</w:t>
            </w:r>
          </w:p>
        </w:tc>
        <w:tc>
          <w:tcPr>
            <w:tcW w:w="6700" w:type="dxa"/>
            <w:vAlign w:val="bottom"/>
            <w:tcBorders>
              <w:bottom w:val="single" w:sz="8" w:color="CCEEFF"/>
            </w:tcBorders>
            <w:gridSpan w:val="5"/>
            <w:shd w:val="clear" w:color="auto" w:fill="CCEEFF"/>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Statement of Eligibility of Trustee on Form T-1 for Indenture under Trust Indenture Act of 1939</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as an exhibit to a document filed under the Securities Exchange Act of 1934, as amended,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separately pursuant to Section 305(b)(2) of the Trust Indenture Act of 1939, as amended, and the appropriate rules and regulations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Waltham, Commonwealth of Massachusetts on March 28, 2025.</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Stephen Silvestro</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OptimizeRx Corporation, hereby severally constitute and appoint Stephen Silvestro and Edward Stelmakh,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2"/>
                <w:szCs w:val="22"/>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2"/>
                <w:szCs w:val="22"/>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5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Silvestro</w:t>
            </w:r>
          </w:p>
        </w:tc>
        <w:tc>
          <w:tcPr>
            <w:tcW w:w="140" w:type="dxa"/>
            <w:vAlign w:val="bottom"/>
          </w:tcPr>
          <w:p>
            <w:pPr>
              <w:spacing w:after="0"/>
              <w:rPr>
                <w:sz w:val="24"/>
                <w:szCs w:val="24"/>
                <w:color w:val="auto"/>
              </w:rPr>
            </w:pPr>
          </w:p>
        </w:tc>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Silvestro</w:t>
            </w:r>
          </w:p>
        </w:tc>
        <w:tc>
          <w:tcPr>
            <w:tcW w:w="140" w:type="dxa"/>
            <w:vAlign w:val="bottom"/>
          </w:tcPr>
          <w:p>
            <w:pPr>
              <w:spacing w:after="0"/>
              <w:rPr>
                <w:sz w:val="20"/>
                <w:szCs w:val="20"/>
                <w:color w:val="auto"/>
              </w:rPr>
            </w:pPr>
          </w:p>
        </w:tc>
        <w:tc>
          <w:tcPr>
            <w:tcW w:w="4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434"/>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Stelmakh</w:t>
            </w:r>
          </w:p>
        </w:tc>
        <w:tc>
          <w:tcPr>
            <w:tcW w:w="140" w:type="dxa"/>
            <w:vAlign w:val="bottom"/>
          </w:tcPr>
          <w:p>
            <w:pPr>
              <w:spacing w:after="0"/>
              <w:rPr>
                <w:sz w:val="24"/>
                <w:szCs w:val="24"/>
                <w:color w:val="auto"/>
              </w:rPr>
            </w:pPr>
          </w:p>
        </w:tc>
        <w:tc>
          <w:tcPr>
            <w:tcW w:w="4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 and Chief Operations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Stelmakh</w:t>
            </w:r>
          </w:p>
        </w:tc>
        <w:tc>
          <w:tcPr>
            <w:tcW w:w="140" w:type="dxa"/>
            <w:vAlign w:val="bottom"/>
          </w:tcPr>
          <w:p>
            <w:pPr>
              <w:spacing w:after="0"/>
              <w:rPr>
                <w:sz w:val="20"/>
                <w:szCs w:val="20"/>
                <w:color w:val="auto"/>
              </w:rPr>
            </w:pPr>
          </w:p>
        </w:tc>
        <w:tc>
          <w:tcPr>
            <w:tcW w:w="4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580" w:type="dxa"/>
            <w:vAlign w:val="bottom"/>
          </w:tcPr>
          <w:p>
            <w:pPr>
              <w:spacing w:after="0"/>
              <w:rPr>
                <w:sz w:val="20"/>
                <w:szCs w:val="20"/>
                <w:color w:val="auto"/>
              </w:rPr>
            </w:pPr>
          </w:p>
        </w:tc>
      </w:tr>
      <w:tr>
        <w:trPr>
          <w:trHeight w:val="434"/>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 O’Connor Vos</w:t>
            </w:r>
          </w:p>
        </w:tc>
        <w:tc>
          <w:tcPr>
            <w:tcW w:w="140" w:type="dxa"/>
            <w:vAlign w:val="bottom"/>
          </w:tcPr>
          <w:p>
            <w:pPr>
              <w:spacing w:after="0"/>
              <w:rPr>
                <w:sz w:val="24"/>
                <w:szCs w:val="24"/>
                <w:color w:val="auto"/>
              </w:rPr>
            </w:pPr>
          </w:p>
        </w:tc>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 Chairperson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Lynn O’Connor Vos</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4"/>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Lang</w:t>
            </w:r>
          </w:p>
        </w:tc>
        <w:tc>
          <w:tcPr>
            <w:tcW w:w="140" w:type="dxa"/>
            <w:vAlign w:val="bottom"/>
          </w:tcPr>
          <w:p>
            <w:pPr>
              <w:spacing w:after="0"/>
              <w:rPr>
                <w:sz w:val="24"/>
                <w:szCs w:val="24"/>
                <w:color w:val="auto"/>
              </w:rPr>
            </w:pPr>
          </w:p>
        </w:tc>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Lang</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4"/>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Spangler</w:t>
            </w:r>
          </w:p>
        </w:tc>
        <w:tc>
          <w:tcPr>
            <w:tcW w:w="140" w:type="dxa"/>
            <w:vAlign w:val="bottom"/>
          </w:tcPr>
          <w:p>
            <w:pPr>
              <w:spacing w:after="0"/>
              <w:rPr>
                <w:sz w:val="24"/>
                <w:szCs w:val="24"/>
                <w:color w:val="auto"/>
              </w:rPr>
            </w:pPr>
          </w:p>
        </w:tc>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Spangler</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4"/>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Wasson</w:t>
            </w:r>
          </w:p>
        </w:tc>
        <w:tc>
          <w:tcPr>
            <w:tcW w:w="140" w:type="dxa"/>
            <w:vAlign w:val="bottom"/>
          </w:tcPr>
          <w:p>
            <w:pPr>
              <w:spacing w:after="0"/>
              <w:rPr>
                <w:sz w:val="24"/>
                <w:szCs w:val="24"/>
                <w:color w:val="auto"/>
              </w:rPr>
            </w:pPr>
          </w:p>
        </w:tc>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Wasson</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4"/>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Catherine M. Klema</w:t>
            </w:r>
          </w:p>
        </w:tc>
        <w:tc>
          <w:tcPr>
            <w:tcW w:w="140" w:type="dxa"/>
            <w:vAlign w:val="bottom"/>
          </w:tcPr>
          <w:p>
            <w:pPr>
              <w:spacing w:after="0"/>
              <w:rPr>
                <w:sz w:val="24"/>
                <w:szCs w:val="24"/>
                <w:color w:val="auto"/>
              </w:rPr>
            </w:pPr>
          </w:p>
        </w:tc>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Catherine M. Klema</w:t>
            </w: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37"/>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II-5</w:t>
            </w: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OPTIMIZERX CORPORATION</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Dated as of 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892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1540" w:type="dxa"/>
            <w:vAlign w:val="bottom"/>
            <w:tcBorders>
              <w:bottom w:val="single" w:sz="8" w:color="CCEEFF"/>
            </w:tcBorders>
          </w:tcPr>
          <w:p>
            <w:pPr>
              <w:spacing w:after="0"/>
              <w:rPr>
                <w:sz w:val="24"/>
                <w:szCs w:val="24"/>
                <w:color w:val="auto"/>
              </w:rPr>
            </w:pPr>
          </w:p>
        </w:tc>
        <w:tc>
          <w:tcPr>
            <w:tcW w:w="89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1.01</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 of Terms.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 DESCRIPTION, TERMS, EXECUTION, REGISTRATION AND EXCHANGE OF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2.01</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2.02</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2.03</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2.04</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2.05</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2.06</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Temporary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2.07</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2.08</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2.09</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 of Indenture.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2.10</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Authenticating Agent.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2.11</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2.12</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CUSIP Numbers.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3.01</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3.02</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 of Redemption.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3.03</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Upon Redemption.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3.04</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Sinking Fund.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3.05</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5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3.06</w:t>
            </w: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COVENANTS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4.01</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4.02</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4.03</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Paying Agents.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4.04</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5.01</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5.02</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5.03</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Reports by the Company.</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5.04</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Reports by the Trustee.</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6.01</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6.02</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6.03</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6.04</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Limitation on Suits.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6.05</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6.06</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6.07</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CONCERNING THE TRUSTEE</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7.01</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7.02</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7.03</w:t>
            </w: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7.04</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Hold Securities.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7.05</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Moneys Held in Trust.</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7.06</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7.07</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7.08</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7.09</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7.10</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7.11</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7.12</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7.13</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7.14</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 of Default.</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CONCERNING THE SECURITYHOLDERS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8.01</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8.02</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8.03</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 May be Deemed Owners.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8.04</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8.05</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SUPPLEMENTAL INDENTURES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9.01</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9.02</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9.03</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9.04</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9.05</w:t>
            </w: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SUCCESSOR ENTITY</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10.01   Company May Consolidate, Etc.</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10.02   Successor Entity Substituted.</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11.01   Satisfaction and Discharge of Indenture.</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11.02   Discharge of Obligations.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11.03   Deposited Moneys to be Held in Trust.</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11.04   Payment of Moneys Held by Paying Agents.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11.05   Repayment to Company.</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IMMUNITY OF INCORPORATORS, STOCKHOLDERS, OFFICERS AND DIRECTORS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12.01</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Recourse.</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13</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PROVISIONS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13.01   Effect on Successors and Assigns.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13.02   Actions by Successor.</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13.03   Surrender of Company Powers.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13.04</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13.05   Governing Law; Jury Trial Waiver.</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13.06   Treatment of Securities as Debt.</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13.07   Certificates and Opinions as to Conditions Precedent.</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13.08   Payments on Business Days.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13.09   Conflict with Trust Indenture Act.</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13.10</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13.11</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Separability.</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13.12</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Certificates.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13.13   U.S.A. Patriot Act.</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13.14</w:t>
            </w:r>
          </w:p>
        </w:tc>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5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Section 13.15   Table of Contents; Headings.</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 among OptimizeRx Corporation, a Nevada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the Trustee or an authenticating agent with respect to all or any of the series of Securities appointed by the Trustee pursuant to Section 2.10.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OptimizeRx Corporation, a corporation duly organized and existing under the laws of the State of Nevada, and, subject to the provisions of Article Ten, shall also include its successors and assigns.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sent</w:t>
      </w:r>
      <w:r>
        <w:rPr>
          <w:rFonts w:ascii="Times New Roman" w:cs="Times New Roman" w:eastAsia="Times New Roman" w:hAnsi="Times New Roman"/>
          <w:sz w:val="18"/>
          <w:szCs w:val="18"/>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ind w:left="5580" w:right="2140" w:hanging="5572"/>
        <w:spacing w:after="0" w:line="761" w:lineRule="auto"/>
        <w:tabs>
          <w:tab w:leader="none" w:pos="2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such Person and one or more Subsidiaries of such Person; or (iii) one or more Subsidiaries of such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U.S.A. Patriot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Uniting and Strengthening America by Providing Appropriate Tools Required to Intercept and Obstruct Terrorism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2001, Pub. L. 107-56, as amended and signed into law October 26, 2001.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OF SECURITIES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p>
    <w:p>
      <w:pPr>
        <w:spacing w:after="0" w:line="229" w:lineRule="exact"/>
        <w:rPr>
          <w:sz w:val="20"/>
          <w:szCs w:val="20"/>
          <w:color w:val="auto"/>
        </w:rPr>
      </w:pPr>
    </w:p>
    <w:p>
      <w:pPr>
        <w:jc w:val="both"/>
        <w:ind w:firstLine="1304"/>
        <w:spacing w:after="0" w:line="261" w:lineRule="auto"/>
        <w:tabs>
          <w:tab w:leader="none" w:pos="155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9"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or dates on which the principal of the Securities of the series is payable;</w:t>
      </w:r>
    </w:p>
    <w:p>
      <w:pPr>
        <w:spacing w:after="0" w:line="22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the Securities will be secured or unsecured, and the terms of any secured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2200" w:hanging="248"/>
        <w:spacing w:after="0"/>
        <w:tabs>
          <w:tab w:leader="none" w:pos="22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rank as senior debt, senior subordinated debt, subordinated debt or any combination thereof, and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of any subordination;</w:t>
      </w:r>
    </w:p>
    <w:p>
      <w:pPr>
        <w:spacing w:after="0" w:line="206"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19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1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b w:val="1"/>
          <w:bCs w:val="1"/>
          <w:color w:val="auto"/>
        </w:rPr>
      </w:pPr>
    </w:p>
    <w:p>
      <w:pPr>
        <w:ind w:left="2300" w:hanging="348"/>
        <w:spacing w:after="0"/>
        <w:tabs>
          <w:tab w:leader="none" w:pos="2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right, if any, to defer the payment of interest and the maximum length of any such deferral period;</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29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2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7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denominations in which the Securities of the series shall be issuable, if other than denominations of one thousand U.S. dollars ($1,000) or any integral multiple thereof;</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2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30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2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firstLine="1952"/>
        <w:spacing w:after="0" w:line="282" w:lineRule="auto"/>
        <w:tabs>
          <w:tab w:leader="none" w:pos="228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30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series of Securities being issued, including, among others, the consolidation, merger or sale covenant;</w:t>
      </w:r>
    </w:p>
    <w:p>
      <w:pPr>
        <w:spacing w:after="0" w:line="161"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28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61" w:lineRule="exact"/>
        <w:rPr>
          <w:rFonts w:ascii="Times New Roman" w:cs="Times New Roman" w:eastAsia="Times New Roman" w:hAnsi="Times New Roman"/>
          <w:sz w:val="18"/>
          <w:szCs w:val="18"/>
          <w:b w:val="1"/>
          <w:bCs w:val="1"/>
          <w:color w:val="auto"/>
        </w:rPr>
      </w:pPr>
    </w:p>
    <w:p>
      <w:pPr>
        <w:ind w:left="2300" w:hanging="348"/>
        <w:spacing w:after="0"/>
        <w:tabs>
          <w:tab w:leader="none" w:pos="2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5" w:lineRule="exact"/>
        <w:rPr>
          <w:rFonts w:ascii="Times New Roman" w:cs="Times New Roman" w:eastAsia="Times New Roman" w:hAnsi="Times New Roman"/>
          <w:sz w:val="18"/>
          <w:szCs w:val="18"/>
          <w:b w:val="1"/>
          <w:bCs w:val="1"/>
          <w:color w:val="auto"/>
        </w:rPr>
      </w:pPr>
    </w:p>
    <w:p>
      <w:pPr>
        <w:ind w:left="2300" w:hanging="348"/>
        <w:spacing w:after="0"/>
        <w:tabs>
          <w:tab w:leader="none" w:pos="2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this Indenture;</w:t>
      </w:r>
    </w:p>
    <w:p>
      <w:pPr>
        <w:spacing w:after="0" w:line="22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8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this Indenture both with and without the consent of Securityholders of Securities issued under this Indenture;</w:t>
      </w:r>
    </w:p>
    <w:p>
      <w:pPr>
        <w:spacing w:after="0" w:line="161" w:lineRule="exact"/>
        <w:rPr>
          <w:rFonts w:ascii="Times New Roman" w:cs="Times New Roman" w:eastAsia="Times New Roman" w:hAnsi="Times New Roman"/>
          <w:sz w:val="18"/>
          <w:szCs w:val="18"/>
          <w:b w:val="1"/>
          <w:bCs w:val="1"/>
          <w:color w:val="auto"/>
        </w:rPr>
      </w:pPr>
    </w:p>
    <w:p>
      <w:pPr>
        <w:ind w:left="2320" w:hanging="368"/>
        <w:spacing w:after="0"/>
        <w:tabs>
          <w:tab w:leader="none" w:pos="2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of payment of Securities if other than U.S. dollars and the manner of determining the equivalent amount 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dollars;</w:t>
      </w:r>
    </w:p>
    <w:p>
      <w:pPr>
        <w:spacing w:after="0" w:line="206"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30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8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b w:val="1"/>
          <w:bCs w:val="1"/>
          <w:color w:val="auto"/>
        </w:rPr>
      </w:pPr>
    </w:p>
    <w:p>
      <w:pPr>
        <w:ind w:left="2300" w:hanging="348"/>
        <w:spacing w:after="0"/>
        <w:tabs>
          <w:tab w:leader="none" w:pos="2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22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316"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1952"/>
        <w:spacing w:after="0" w:line="253" w:lineRule="auto"/>
        <w:tabs>
          <w:tab w:leader="none" w:pos="219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1952"/>
        <w:spacing w:after="0" w:line="261" w:lineRule="auto"/>
        <w:tabs>
          <w:tab w:leader="none" w:pos="221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p>
    <w:p>
      <w:pPr>
        <w:spacing w:after="0" w:line="229" w:lineRule="exact"/>
        <w:rPr>
          <w:sz w:val="20"/>
          <w:szCs w:val="20"/>
          <w:color w:val="auto"/>
        </w:rPr>
      </w:pPr>
    </w:p>
    <w:p>
      <w:pPr>
        <w:jc w:val="both"/>
        <w:ind w:firstLine="1304"/>
        <w:spacing w:after="0" w:line="258" w:lineRule="auto"/>
        <w:tabs>
          <w:tab w:leader="none" w:pos="156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6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Trustee as initial Security Registrar for each series of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1304"/>
        <w:spacing w:after="0" w:line="258" w:lineRule="auto"/>
        <w:tabs>
          <w:tab w:leader="none" w:pos="1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color w:val="auto"/>
        </w:rPr>
        <w:t>Section 2.08 Cancellation.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p>
    <w:p>
      <w:pPr>
        <w:spacing w:after="0" w:line="229" w:lineRule="exact"/>
        <w:rPr>
          <w:sz w:val="20"/>
          <w:szCs w:val="20"/>
          <w:color w:val="auto"/>
        </w:rPr>
      </w:pPr>
    </w:p>
    <w:p>
      <w:pPr>
        <w:jc w:val="both"/>
        <w:ind w:firstLine="1304"/>
        <w:spacing w:after="0" w:line="255" w:lineRule="auto"/>
        <w:tabs>
          <w:tab w:leader="none" w:pos="155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color w:val="auto"/>
        </w:rPr>
        <w:t>Section 2.12 CUSIP Numbers.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3.01 Redemption.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p>
    <w:p>
      <w:pPr>
        <w:spacing w:after="0" w:line="229" w:lineRule="exact"/>
        <w:rPr>
          <w:sz w:val="20"/>
          <w:szCs w:val="20"/>
          <w:color w:val="auto"/>
        </w:rPr>
      </w:pPr>
    </w:p>
    <w:p>
      <w:pPr>
        <w:jc w:val="both"/>
        <w:ind w:firstLine="1304"/>
        <w:spacing w:after="0" w:line="253" w:lineRule="auto"/>
        <w:tabs>
          <w:tab w:leader="none" w:pos="155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1304"/>
        <w:spacing w:after="0" w:line="253" w:lineRule="auto"/>
        <w:tabs>
          <w:tab w:leader="none" w:pos="157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p>
    <w:p>
      <w:pPr>
        <w:spacing w:after="0" w:line="229" w:lineRule="exact"/>
        <w:rPr>
          <w:sz w:val="20"/>
          <w:szCs w:val="20"/>
          <w:color w:val="auto"/>
        </w:rPr>
      </w:pPr>
    </w:p>
    <w:p>
      <w:pPr>
        <w:jc w:val="both"/>
        <w:ind w:firstLine="1304"/>
        <w:spacing w:after="0" w:line="254" w:lineRule="auto"/>
        <w:tabs>
          <w:tab w:leader="none" w:pos="156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b w:val="1"/>
          <w:bCs w:val="1"/>
          <w:color w:val="auto"/>
        </w:rPr>
        <w:t>Section 3.04 Sinking Fund.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4.03 Paying Agents.</w:t>
      </w:r>
    </w:p>
    <w:p>
      <w:pPr>
        <w:spacing w:after="0" w:line="229" w:lineRule="exact"/>
        <w:rPr>
          <w:sz w:val="20"/>
          <w:szCs w:val="20"/>
          <w:color w:val="auto"/>
        </w:rPr>
      </w:pPr>
    </w:p>
    <w:p>
      <w:pPr>
        <w:jc w:val="both"/>
        <w:ind w:right="20" w:firstLine="1304"/>
        <w:spacing w:after="0" w:line="266" w:lineRule="auto"/>
        <w:tabs>
          <w:tab w:leader="none" w:pos="155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9"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firstLine="1952"/>
        <w:spacing w:after="0" w:line="282" w:lineRule="auto"/>
        <w:tabs>
          <w:tab w:leader="none" w:pos="2199"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199"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6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p>
    <w:p>
      <w:pPr>
        <w:spacing w:after="0" w:line="229" w:lineRule="exact"/>
        <w:rPr>
          <w:sz w:val="20"/>
          <w:szCs w:val="20"/>
          <w:color w:val="auto"/>
        </w:rPr>
      </w:pPr>
    </w:p>
    <w:p>
      <w:pPr>
        <w:jc w:val="both"/>
        <w:ind w:firstLine="1304"/>
        <w:spacing w:after="0" w:line="266" w:lineRule="auto"/>
        <w:tabs>
          <w:tab w:leader="none" w:pos="156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p>
    <w:p>
      <w:pPr>
        <w:spacing w:after="0" w:line="229" w:lineRule="exact"/>
        <w:rPr>
          <w:sz w:val="20"/>
          <w:szCs w:val="20"/>
          <w:color w:val="auto"/>
        </w:rPr>
      </w:pPr>
    </w:p>
    <w:p>
      <w:pPr>
        <w:jc w:val="both"/>
        <w:ind w:firstLine="1304"/>
        <w:spacing w:after="0" w:line="253" w:lineRule="auto"/>
        <w:tabs>
          <w:tab w:leader="none" w:pos="155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304"/>
        <w:spacing w:after="0" w:line="255" w:lineRule="auto"/>
        <w:tabs>
          <w:tab w:leader="none" w:pos="158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p>
    <w:p>
      <w:pPr>
        <w:spacing w:after="0" w:line="229" w:lineRule="exact"/>
        <w:rPr>
          <w:sz w:val="20"/>
          <w:szCs w:val="20"/>
          <w:color w:val="auto"/>
        </w:rPr>
      </w:pPr>
    </w:p>
    <w:p>
      <w:pPr>
        <w:ind w:firstLine="1304"/>
        <w:spacing w:after="0" w:line="282" w:lineRule="auto"/>
        <w:tabs>
          <w:tab w:leader="none" w:pos="156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61"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229" w:lineRule="exact"/>
        <w:rPr>
          <w:sz w:val="20"/>
          <w:szCs w:val="20"/>
          <w:color w:val="auto"/>
        </w:rPr>
      </w:pPr>
    </w:p>
    <w:p>
      <w:pPr>
        <w:ind w:firstLine="1304"/>
        <w:spacing w:after="0" w:line="282" w:lineRule="auto"/>
        <w:tabs>
          <w:tab w:leader="none" w:pos="156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199"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952"/>
        <w:spacing w:after="0" w:line="261" w:lineRule="auto"/>
        <w:tabs>
          <w:tab w:leader="none" w:pos="2199"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6" w:lineRule="auto"/>
        <w:tabs>
          <w:tab w:leader="none" w:pos="2199"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9"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25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6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1304"/>
        <w:spacing w:after="0" w:line="258" w:lineRule="auto"/>
        <w:tabs>
          <w:tab w:leader="none" w:pos="157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p>
    <w:p>
      <w:pPr>
        <w:spacing w:after="0" w:line="229" w:lineRule="exact"/>
        <w:rPr>
          <w:sz w:val="20"/>
          <w:szCs w:val="20"/>
          <w:color w:val="auto"/>
        </w:rPr>
      </w:pPr>
    </w:p>
    <w:p>
      <w:pPr>
        <w:jc w:val="both"/>
        <w:ind w:firstLine="1304"/>
        <w:spacing w:after="0" w:line="254" w:lineRule="auto"/>
        <w:tabs>
          <w:tab w:leader="none" w:pos="156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6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5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58" w:lineRule="auto"/>
        <w:tabs>
          <w:tab w:leader="none" w:pos="157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p>
    <w:p>
      <w:pPr>
        <w:spacing w:after="0" w:line="229" w:lineRule="exact"/>
        <w:rPr>
          <w:sz w:val="20"/>
          <w:szCs w:val="20"/>
          <w:color w:val="auto"/>
        </w:rPr>
      </w:pPr>
    </w:p>
    <w:p>
      <w:pPr>
        <w:jc w:val="both"/>
        <w:ind w:firstLine="1304"/>
        <w:spacing w:after="0" w:line="261" w:lineRule="auto"/>
        <w:tabs>
          <w:tab w:leader="none" w:pos="155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61" w:lineRule="auto"/>
        <w:tabs>
          <w:tab w:leader="none" w:pos="1561"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p>
    <w:p>
      <w:pPr>
        <w:spacing w:after="0" w:line="229" w:lineRule="exact"/>
        <w:rPr>
          <w:sz w:val="20"/>
          <w:szCs w:val="20"/>
          <w:color w:val="auto"/>
        </w:rPr>
      </w:pPr>
    </w:p>
    <w:p>
      <w:pPr>
        <w:jc w:val="both"/>
        <w:ind w:firstLine="1304"/>
        <w:spacing w:after="0" w:line="256" w:lineRule="auto"/>
        <w:tabs>
          <w:tab w:leader="none" w:pos="1551"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87"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firstLine="1304"/>
        <w:spacing w:after="0" w:line="282" w:lineRule="auto"/>
        <w:tabs>
          <w:tab w:leader="none" w:pos="15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25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256"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8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1304"/>
        <w:spacing w:after="0" w:line="261" w:lineRule="auto"/>
        <w:tabs>
          <w:tab w:leader="none" w:pos="16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2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9"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225" w:lineRule="exact"/>
        <w:rPr>
          <w:rFonts w:ascii="Times New Roman" w:cs="Times New Roman" w:eastAsia="Times New Roman" w:hAnsi="Times New Roman"/>
          <w:sz w:val="18"/>
          <w:szCs w:val="18"/>
          <w:b w:val="1"/>
          <w:bCs w:val="1"/>
          <w:color w:val="auto"/>
        </w:rPr>
      </w:pPr>
    </w:p>
    <w:p>
      <w:pPr>
        <w:ind w:left="1600" w:hanging="296"/>
        <w:spacing w:after="0"/>
        <w:tabs>
          <w:tab w:leader="none" w:pos="16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permissive right of the Trustee to do things enumerated in this Indenture shall not be construed as a duty of the Trustee; and</w:t>
      </w:r>
    </w:p>
    <w:p>
      <w:pPr>
        <w:spacing w:after="0" w:line="225" w:lineRule="exact"/>
        <w:rPr>
          <w:rFonts w:ascii="Times New Roman" w:cs="Times New Roman" w:eastAsia="Times New Roman" w:hAnsi="Times New Roman"/>
          <w:sz w:val="18"/>
          <w:szCs w:val="18"/>
          <w:b w:val="1"/>
          <w:bCs w:val="1"/>
          <w:color w:val="auto"/>
        </w:rPr>
      </w:pPr>
    </w:p>
    <w:p>
      <w:pPr>
        <w:ind w:left="1660" w:hanging="356"/>
        <w:spacing w:after="0"/>
        <w:tabs>
          <w:tab w:leader="none" w:pos="1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Trustee shall have any duty or responsibility for any act or omission of any other Trustee appointed with respect to a series of</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hereunder.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firstLine="1304"/>
        <w:spacing w:after="0" w:line="266" w:lineRule="auto"/>
        <w:tabs>
          <w:tab w:leader="none" w:pos="157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right="20" w:firstLine="1304"/>
        <w:spacing w:after="0" w:line="282" w:lineRule="auto"/>
        <w:tabs>
          <w:tab w:leader="none" w:pos="1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3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9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1"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61"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38"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3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304"/>
        <w:spacing w:after="0" w:line="266" w:lineRule="auto"/>
        <w:tabs>
          <w:tab w:leader="none" w:pos="1601"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11"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deemed to have knowledge of any Default or Event of Default (other than an Event of Default constituting the failure to pay the interest on, or the principal of, the Securities if the Trustee also serves the paying agent for such Securities) until the Trustee shall have received written notification in the manner set forth in this Indenture or a Responsible Officer of the Trustee shall have obtained actual knowledge.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p>
    <w:p>
      <w:pPr>
        <w:spacing w:after="0" w:line="229" w:lineRule="exact"/>
        <w:rPr>
          <w:sz w:val="20"/>
          <w:szCs w:val="20"/>
          <w:color w:val="auto"/>
        </w:rPr>
      </w:pPr>
    </w:p>
    <w:p>
      <w:pPr>
        <w:jc w:val="both"/>
        <w:ind w:firstLine="1304"/>
        <w:spacing w:after="0" w:line="261" w:lineRule="auto"/>
        <w:tabs>
          <w:tab w:leader="none" w:pos="156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79"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p>
    <w:p>
      <w:pPr>
        <w:spacing w:after="0" w:line="229" w:lineRule="exact"/>
        <w:rPr>
          <w:sz w:val="20"/>
          <w:szCs w:val="20"/>
          <w:color w:val="auto"/>
        </w:rPr>
      </w:pPr>
    </w:p>
    <w:p>
      <w:pPr>
        <w:jc w:val="both"/>
        <w:ind w:firstLine="1304"/>
        <w:spacing w:after="0" w:line="261" w:lineRule="auto"/>
        <w:tabs>
          <w:tab w:leader="none" w:pos="156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61"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88"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5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7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7.07 Reliance on Officer’s Certificate.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p>
    <w:p>
      <w:pPr>
        <w:spacing w:after="0" w:line="229" w:lineRule="exact"/>
        <w:rPr>
          <w:sz w:val="20"/>
          <w:szCs w:val="20"/>
          <w:color w:val="auto"/>
        </w:rPr>
      </w:pPr>
    </w:p>
    <w:p>
      <w:pPr>
        <w:jc w:val="both"/>
        <w:ind w:firstLine="1304"/>
        <w:spacing w:after="0" w:line="254" w:lineRule="auto"/>
        <w:tabs>
          <w:tab w:leader="none" w:pos="155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1560" w:hanging="256"/>
        <w:spacing w:after="0"/>
        <w:tabs>
          <w:tab w:leader="none" w:pos="15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sz w:val="20"/>
          <w:szCs w:val="20"/>
          <w:color w:val="auto"/>
        </w:rPr>
      </w:pPr>
    </w:p>
    <w:p>
      <w:pPr>
        <w:ind w:firstLine="1304"/>
        <w:spacing w:after="0" w:line="282" w:lineRule="auto"/>
        <w:tabs>
          <w:tab w:leader="none" w:pos="1538"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7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6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jc w:val="both"/>
        <w:ind w:firstLine="1304"/>
        <w:spacing w:after="0" w:line="266" w:lineRule="auto"/>
        <w:tabs>
          <w:tab w:leader="none" w:pos="155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p>
    <w:p>
      <w:pPr>
        <w:spacing w:after="0" w:line="229" w:lineRule="exact"/>
        <w:rPr>
          <w:sz w:val="20"/>
          <w:szCs w:val="20"/>
          <w:color w:val="auto"/>
        </w:rPr>
      </w:pPr>
    </w:p>
    <w:p>
      <w:pPr>
        <w:jc w:val="both"/>
        <w:ind w:firstLine="1304"/>
        <w:spacing w:after="0" w:line="255" w:lineRule="auto"/>
        <w:tabs>
          <w:tab w:leader="none" w:pos="1551"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304"/>
        <w:spacing w:after="0" w:line="252" w:lineRule="auto"/>
        <w:tabs>
          <w:tab w:leader="none" w:pos="157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acceptance of appointment by a successor trustee as provided in this Section, the Company shall send notice of the succession of such trustee hereunder to the Securityholders. If the Company fails to transmit such notice within ten days after acceptance of appointment by the successor trustee, the successor trustee shall cause such notice to be transmitted at the expense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62" w:lineRule="exact"/>
        <w:rPr>
          <w:sz w:val="20"/>
          <w:szCs w:val="20"/>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1560" w:hanging="256"/>
        <w:spacing w:after="0"/>
        <w:tabs>
          <w:tab w:leader="none" w:pos="15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both"/>
        <w:ind w:firstLine="1304"/>
        <w:spacing w:after="0" w:line="258" w:lineRule="auto"/>
        <w:tabs>
          <w:tab w:leader="none" w:pos="156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5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Trust Indenture Act.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p>
    <w:p>
      <w:pPr>
        <w:spacing w:after="0" w:line="229" w:lineRule="exact"/>
        <w:rPr>
          <w:sz w:val="20"/>
          <w:szCs w:val="20"/>
          <w:color w:val="auto"/>
        </w:rPr>
      </w:pPr>
    </w:p>
    <w:p>
      <w:pPr>
        <w:jc w:val="both"/>
        <w:ind w:firstLine="1304"/>
        <w:spacing w:after="0" w:line="258" w:lineRule="auto"/>
        <w:tabs>
          <w:tab w:leader="none" w:pos="1551"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1304"/>
        <w:spacing w:after="0" w:line="282" w:lineRule="auto"/>
        <w:tabs>
          <w:tab w:leader="none" w:pos="1561"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12.01 No Recourse.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13.04 Notices.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13.05 Governing Law; Jury Trial Waiver.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p>
    <w:p>
      <w:pPr>
        <w:spacing w:after="0" w:line="229" w:lineRule="exact"/>
        <w:rPr>
          <w:sz w:val="20"/>
          <w:szCs w:val="20"/>
          <w:color w:val="auto"/>
        </w:rPr>
      </w:pPr>
    </w:p>
    <w:p>
      <w:pPr>
        <w:jc w:val="both"/>
        <w:ind w:firstLine="1304"/>
        <w:spacing w:after="0" w:line="256" w:lineRule="auto"/>
        <w:tabs>
          <w:tab w:leader="none" w:pos="1551"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61"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 318(c) of the Trust Indenture Act, such imposed duties shall control.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13.10 Counterparts.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13.11 Separability.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13.13 U.S.A. Patriot Act.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13.14 Force Majeure.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13.15 Table of Contents; Headings.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[TRUSTEE], as Trustee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0" w:right="8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398"/>
        </w:trPr>
        <w:tc>
          <w:tcPr>
            <w:tcW w:w="414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CROSS-REFERENCE TABLE </w:t>
            </w:r>
            <w:r>
              <w:rPr>
                <w:rFonts w:ascii="Times New Roman" w:cs="Times New Roman" w:eastAsia="Times New Roman" w:hAnsi="Times New Roman"/>
                <w:sz w:val="29"/>
                <w:szCs w:val="29"/>
                <w:b w:val="1"/>
                <w:bCs w:val="1"/>
                <w:color w:val="auto"/>
                <w:vertAlign w:val="superscript"/>
              </w:rPr>
              <w:t>(1)</w:t>
            </w:r>
          </w:p>
        </w:tc>
      </w:tr>
      <w:tr>
        <w:trPr>
          <w:trHeight w:val="330"/>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5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 of Indenture</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310(a)</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4140" w:type="dxa"/>
            <w:vAlign w:val="bottom"/>
            <w:shd w:val="clear" w:color="auto" w:fill="CCEEFF"/>
          </w:tcPr>
          <w:p>
            <w:pPr>
              <w:spacing w:after="0"/>
              <w:rPr>
                <w:sz w:val="18"/>
                <w:szCs w:val="18"/>
                <w:color w:val="auto"/>
              </w:rPr>
            </w:pP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Inapplicable</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311(c)</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Inapplicable</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1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312(c)</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313(b)</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5.04(b)</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41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5.04(b)</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314(a)</w:t>
            </w: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4140" w:type="dxa"/>
            <w:vAlign w:val="bottom"/>
          </w:tcPr>
          <w:p>
            <w:pPr>
              <w:spacing w:after="0"/>
              <w:rPr>
                <w:sz w:val="18"/>
                <w:szCs w:val="18"/>
                <w:color w:val="auto"/>
              </w:rPr>
            </w:pP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w w:val="98"/>
              </w:rPr>
              <w:t>13.12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314(b)</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Inapplicable</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13.07(a)</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314(d)</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Inapplicable</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314(f)</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Inapplicable</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41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7.01(b)</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315(c)</w:t>
            </w: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7.01(b)</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315(e)</w:t>
            </w: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4140" w:type="dxa"/>
            <w:vAlign w:val="bottom"/>
            <w:shd w:val="clear" w:color="auto" w:fill="CCEEFF"/>
          </w:tcPr>
          <w:p>
            <w:pPr>
              <w:spacing w:after="0"/>
              <w:rPr>
                <w:sz w:val="18"/>
                <w:szCs w:val="18"/>
                <w:color w:val="auto"/>
              </w:rPr>
            </w:pP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316(c)</w:t>
            </w: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c>
          <w:tcPr>
            <w:tcW w:w="7100" w:type="dxa"/>
            <w:vAlign w:val="bottom"/>
            <w:gridSpan w:val="3"/>
            <w:shd w:val="clear" w:color="auto" w:fill="CCEEFF"/>
          </w:tcPr>
          <w:p>
            <w:pPr>
              <w:jc w:val="center"/>
              <w:ind w:left="533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100" w:type="dxa"/>
            <w:vAlign w:val="bottom"/>
            <w:gridSpan w:val="3"/>
          </w:tcPr>
          <w:p>
            <w:pPr>
              <w:jc w:val="center"/>
              <w:ind w:left="5330"/>
              <w:spacing w:after="0"/>
              <w:rPr>
                <w:sz w:val="20"/>
                <w:szCs w:val="20"/>
                <w:color w:val="auto"/>
              </w:rPr>
            </w:pPr>
            <w:r>
              <w:rPr>
                <w:rFonts w:ascii="Times New Roman" w:cs="Times New Roman" w:eastAsia="Times New Roman" w:hAnsi="Times New Roman"/>
                <w:sz w:val="18"/>
                <w:szCs w:val="18"/>
                <w:color w:val="auto"/>
                <w:w w:val="98"/>
              </w:rPr>
              <w:t>13.09</w:t>
            </w:r>
          </w:p>
        </w:tc>
      </w:tr>
    </w:tbl>
    <w:p>
      <w:pPr>
        <w:spacing w:after="0" w:line="179" w:lineRule="exact"/>
        <w:rPr>
          <w:sz w:val="20"/>
          <w:szCs w:val="20"/>
          <w:color w:val="auto"/>
        </w:rPr>
      </w:pPr>
    </w:p>
    <w:p>
      <w:pPr>
        <w:ind w:left="340" w:right="20" w:hanging="332"/>
        <w:spacing w:after="0" w:line="195" w:lineRule="auto"/>
        <w:tabs>
          <w:tab w:leader="none" w:pos="340"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429375" cy="1003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42937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 Charles Street, Suite 302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 OptimizeRx Corp. 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counsel to OptimizeRx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“Commission”)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respect to the contemplated issuance from time to time of up to $75,000,000 of any combination of the following securities (the “</w:t>
      </w:r>
      <w:r>
        <w:rPr>
          <w:rFonts w:ascii="Times New Roman" w:cs="Times New Roman" w:eastAsia="Times New Roman" w:hAnsi="Times New Roman"/>
          <w:sz w:val="18"/>
          <w:szCs w:val="18"/>
          <w:u w:val="single" w:color="auto"/>
          <w:color w:val="auto"/>
        </w:rPr>
        <w:t>Registered Securities</w:t>
      </w:r>
      <w:r>
        <w:rPr>
          <w:rFonts w:ascii="Times New Roman" w:cs="Times New Roman" w:eastAsia="Times New Roman" w:hAnsi="Times New Roman"/>
          <w:sz w:val="18"/>
          <w:szCs w:val="18"/>
          <w:color w:val="auto"/>
        </w:rPr>
        <w:t>”): (i) shares of common stock of the 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preferred stock of the Company, par value $0.001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debt securities, in one or more series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the Company, in the form filed as Exhibit 4.1 to the Registration Statement and one or more indentures supplemental thereto with respect to any particular series of Debt Securities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(iv) warrants to purchase Common Stock, Preferred Stock or Debt Securities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which may be issued under one or more warrant agreements, to be dated on or about the date of the first issuance of the Warrants thereunder, by and between a warrant agent which may be selected by the Company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and the Company (each, a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and (v) units consisting of one or more of the other securities described in (i) through (iv) above in any combination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This opinion is being furnished in accordance with the requirements of Item 601(b)(5) of Regulation S-K under the Securities Act.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rendering the opinions set forth herein, we have examined originals or copies, certified or otherwise identified to our satisfaction, of (i) the Registration Statement, (ii) resolutions adopted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(iv) the articles of incorporation of the Company, as amended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(v) the third amended and restated bylaws of the Company, and (vi) such other corporate records, agreements, certificates, including, but not limited to, certificates or comparable documents of public officials and of officers and representatives of the Company, statutes and other instruments and documents as we considered relevant and necessary as a basis for the opinions hereinafter expressed.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assumed, without inquiry, (i) the authenticity of all documents submitted to us as originals; (ii) the conformity to the original documents of all documents submitted to us as facsimile, electronic, certified or photostatic copies, and the authenticity of the originals of such copies; (iii) the legal capacity of all natural persons and the genuineness of all signatures on the Registration Statement and all documents submitted to us; and (iv) that the books and records of the Company are maintained in accordance with proper corporate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spacing w:after="0" w:line="251" w:lineRule="auto"/>
        <w:rPr>
          <w:sz w:val="20"/>
          <w:szCs w:val="20"/>
          <w:color w:val="auto"/>
        </w:rPr>
      </w:pPr>
      <w:r>
        <w:rPr>
          <w:rFonts w:ascii="Times New Roman" w:cs="Times New Roman" w:eastAsia="Times New Roman" w:hAnsi="Times New Roman"/>
          <w:sz w:val="18"/>
          <w:szCs w:val="18"/>
          <w:color w:val="auto"/>
        </w:rPr>
        <w:t>In making our examination of executed documents or documents to be executed, we have assumed that the parties thereto had or will have the power, corporate or other, to enter into and perform all obligations thereunder and we have also assumed the due authorization by all requisite action, corporate or other, and execution and delivery by such parties of such documents and (except to the extent we have opined on such matters below) the validity and binding effect on such parties. In addition, we have assumed that (i) a purchase, underwriting or similar agreement with respect to any Registered Securities will have been duly authorized and validly executed and delivered by the Company and the other parties thereto; (ii) the Registration Statement and any amendments thereto will have become effective and comply with all applicable laws at the time the Registered Securities are offered or issued as contemplated by the Registration Statement and no stop order suspending its effectiveness will have been issued and remain in effect; (iii) all Registered Securities will be issued and sold in compliance with applicable federal and state securities laws and in the manner stated in the Registration Statement and the applicable prospectus supplement; (iv) a prospectus supplement or term sheet will have been prepared and filed with the Commission describing the Registered Securities offered thereby and will comply at all relevant times with all applicable laws; (v) the Company will have obtained any legally required consents, approvals, authorizations and other orders of the Commission and any other regulatory authorities necessary (x) to issue and sell the Registered Securities being offered, and (y) to execute and deliver the applicable purchase, underwriting or similar agreement, or other applicable operative document; (vi) any securities issuable upon conversion, exchange, redemption or exercise of any Registered Securities being offered will be duly authorized, created and, if appropriate, reserved for issuance upon such conversion, exchange, redemption or exercise and, with respect to shares of Common Stock or Preferred Stock offered, there will be sufficient shares of Common Stock or Preferred Stock, as applicable, authorized under the Articles of Incorporation and not otherwise reserved for issuance; (vii) at the time of issuance of the Registered Securities, the Company validly exists and is duly qualified and in good standing under the laws of its jurisdiction of incorporation, and has the necessary corporate power for such issuance; (viii) at the time of issuance of the Registered Securities, the Articles of Incorporation and then-operative bylaws of the Company are in full force and effect and have not been amended, restated, supplemented or otherwise altered, and there has been no authorization of any such amendment, restatement, supplement or other alteration, in either case since the date hereof; and (ix) the terms, execution and delivery of the Registered Securities (x) do not result in breaches of, or defaults under, agreements or instruments to which the Company is bound or violations of applicable statutes, rules, regulations or court or governmental orders, and (y) comply with any applicable requirement or restriction imposed by any court or governmental body having jurisdiction over the Company. As to any facts material to the opinions expressed herein that we have not independently established or verified, we have relied upon, and assumed the accuracy of, statements and representations of officers and other representatives of the Company and others.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and subject to the qualifications, exceptions and assumptions stated herein, we are of the opinion that:</w:t>
      </w:r>
    </w:p>
    <w:p>
      <w:pPr>
        <w:spacing w:after="0" w:line="225" w:lineRule="exact"/>
        <w:rPr>
          <w:sz w:val="20"/>
          <w:szCs w:val="20"/>
          <w:color w:val="auto"/>
        </w:rPr>
      </w:pPr>
    </w:p>
    <w:p>
      <w:pPr>
        <w:jc w:val="both"/>
        <w:ind w:firstLine="8"/>
        <w:spacing w:after="0" w:line="254" w:lineRule="auto"/>
        <w:tabs>
          <w:tab w:leader="none" w:pos="18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(i) the Board or a committee thereof has taken all necessary corporate action to approve the issuance and terms of the offering thereof and related matters; and (ii) certificates representing the shares of Common Stock have been duly executed, countersigned, registered and delivered, or if uncertificated, valid book-entry notations have been made in the share register of the Company, in each case in accordance with the Articles of Incorporation and then-operative bylaws, either (A) in accordance with the applicable purchase, underwriting or similar agreement approved by the Board or a committee thereof, then upon payment of the consideration therefor (not less than the par value of the Common Stock) provided for therein; or (B) upon conversion, exchange or exercise of any other security in accordance with the terms of the security or the instrument governing the security providing for the conversion, exchange or exercise as approved by the Board or a committee thereof, for the consideration approved by the Board or a committee thereof (not less than the par value of the Common Stock), such shares of Common Stock will be validly issued, fully paid and non-assessable.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both"/>
        <w:ind w:firstLine="8"/>
        <w:spacing w:after="0" w:line="253" w:lineRule="auto"/>
        <w:tabs>
          <w:tab w:leader="none" w:pos="1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class or series of Preferred Stock, when (i) the Board or a committee thereof has taken all necessary corporate action to approve the issuance and terms of the shares of the class or series, the terms of the offering thereof and related matters, including the adoption of a resolution establishing and designating the series and fixing and determining the preferences, limitations and relative rights thereof and the filing of a certificate of designation with respect to the class or series with the Secretary of State of the State of Nevada as required by applicable law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Designation</w:t>
      </w:r>
      <w:r>
        <w:rPr>
          <w:rFonts w:ascii="Times New Roman" w:cs="Times New Roman" w:eastAsia="Times New Roman" w:hAnsi="Times New Roman"/>
          <w:sz w:val="18"/>
          <w:szCs w:val="18"/>
          <w:color w:val="auto"/>
        </w:rPr>
        <w:t>”); and (ii) certificates representing the shares of the series of Preferred Stock have been duly executed, countersigned, registered and delivered, or if uncertificated, valid book-entry notations have been made in the share register of the Company, in each case in accordance with the Articles of Incorporation, Certificate of Designations and then-operative bylaws, either (A) in accordance with the applicable purchase, underwriting or similar agreement approved by the Board or a committee thereof, then upon payment of the consideration therefor (not less than the par value of the Preferred Stock) provided for therein; or (B) upon conversion, exchange or exercise of any other security in accordance with the terms of the security or the instrument governing the security providing for the conversion, exchange or exercise as approved by the Board or a committee thereof, for the consideration approved by the Board or a committee thereof (not less than the par value of the Preferred Stock), such shares of such series of Preferred Stock will be validly issued, fully paid and non-assessable.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foregoing opinions are based upon and expressly limited to the laws of the State of Nevada and the Nevada Revised Statutes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 The opinions expressed in this opinion letter are based on the laws as in effect on the date hereof. We are not opining on, and we assume no responsibility for, the applicability to or effect on any of the matters covered herein of (a) the laws of any other jurisdiction; or (b) the laws of any county, municipality or other political subdivision or local governmental agency or authority. This opinion letter is given as of the date hereof.</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use of this opinion letter as an exhibit to the Registration Statement. We also consent to any and all references to us in the prospectus which is part of said Registration Statement. In giving this consent, we do not thereby admit that we are within the category of persons whose consent is required under Section 7 of the Securities Act or the rules and regulations of the Commission promulgated thereunder. This opinion is strictly limited to the matters stated herein and no other or more extensive opinion is intended, implied or to be inferred beyond the matters expressly stated herein. This opinion letter is not a guaranty nor may one be inferred or implied.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P.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 Doney, Esq.</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43125" cy="3689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21431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 | New York, NY 10020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blankrome.com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 Charles Street, Suite 302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 OptimizeRx Corp. 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counsel to OptimizeRx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“Commission”)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respect to the contemplated issuance from time to time of up to $75,000,000 of any combination of the following securities (the “</w:t>
      </w:r>
      <w:r>
        <w:rPr>
          <w:rFonts w:ascii="Times New Roman" w:cs="Times New Roman" w:eastAsia="Times New Roman" w:hAnsi="Times New Roman"/>
          <w:sz w:val="18"/>
          <w:szCs w:val="18"/>
          <w:u w:val="single" w:color="auto"/>
          <w:color w:val="auto"/>
        </w:rPr>
        <w:t>Registered Securities</w:t>
      </w:r>
      <w:r>
        <w:rPr>
          <w:rFonts w:ascii="Times New Roman" w:cs="Times New Roman" w:eastAsia="Times New Roman" w:hAnsi="Times New Roman"/>
          <w:sz w:val="18"/>
          <w:szCs w:val="18"/>
          <w:color w:val="auto"/>
        </w:rPr>
        <w:t>”): (i) shares of common stock of the 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preferred stock of the Company, par value $0.001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debt securities, in one or more series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the Company, in the form filed as Exhibit 4.1 to the Registration Statement and one or more indentures supplemental thereto with respect to any particular series of Debt Securities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(iv) warrants to purchase Common Stock, Preferred Stock or Debt Securities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which may be issued under one or more warrant agreements, to be dated on or about the date of the first issuance of the Warrants thereunder, by and between a warrant agent which may be selected by the Company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and the Company (each, a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and (v) units consisting of one or more of the other securities described in (i) through (iv) above in any combination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This opinion is being furnished in accordance with the requirements of Item 601(b)(5) of Regulation S-K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both"/>
        <w:spacing w:after="0" w:line="251" w:lineRule="auto"/>
        <w:rPr>
          <w:sz w:val="20"/>
          <w:szCs w:val="20"/>
          <w:color w:val="auto"/>
        </w:rPr>
      </w:pPr>
      <w:r>
        <w:rPr>
          <w:rFonts w:ascii="Times New Roman" w:cs="Times New Roman" w:eastAsia="Times New Roman" w:hAnsi="Times New Roman"/>
          <w:sz w:val="18"/>
          <w:szCs w:val="18"/>
          <w:color w:val="auto"/>
        </w:rPr>
        <w:t>In making our examination of executed documents or documents to be executed, we have assumed that the parties thereto had or will have the power, corporate or other, to enter into and perform all obligations thereunder and we have also assumed the due authorization by all requisite action, corporate or other, and execution and delivery by such parties of such documents and (except to the extent we have opined on such matters below) the validity and binding effect on such parties. In addition, we have assumed that (i) a purchase, underwriting or similar agreement with respect to any Registered Securities will have been duly authorized and validly executed and delivered by the Company and the other parties thereto; (ii) the Registration Statement and any amendments thereto will have become effective and comply with all applicable laws at the time the Registered Securities are offered or issued as contemplated by the Registration Statement and no stop order suspending its effectiveness will have been issued and remain in effect; (iii) all Registered Securities will be issued and sold in compliance with applicable federal and state securities laws and in the manner stated in the Registration Statement and the applicable prospectus supplement; (iv) a prospectus supplement or term sheet will have been prepared and filed with the Commission describing the Registered Securities offered thereby and will comply at all relevant times with all applicable laws; (v) the Company will have obtained any legally required consents, approvals, authorizations and other orders of the Commission and any other regulatory authorities necessary (x) to issue and sell the Registered Securities being offered, and (y) to execute and deliver the applicable purchase, underwriting or similar agreement, or other applicable operative document; (vi) any securities issuable upon conversion, exchange, redemption or exercise of any Registered Securities being offered will be duly authorized, created and, if appropriate, reserved for issuance upon such conversion, exchange, redemption or exercise and, with respect to shares of Common Stock or Preferred Stock offered, there will be sufficient shares of Common Stock or Preferred Stock, as applicable, authorized under the Company’s articles of incorporation, as amended (the “</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 and not otherwise reserved for issuance; (vii) at the time of issuance of the Registered Securities, the Company validly exists and is duly qualified and in good standing under the laws of its jurisdiction of incorporation, and has the necessary corporate power for such issuance; (viii) at the time of issuance of the Registered Securities, the Articles of Incorporation and then-operative by-laws, including the current Third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are in full force and effect and have not been amended, restated, supplemented or otherwise altered, and there has been no authorization of any such amendment, restatement, supplement or other alteration, in either case since the date hereof; and (ix) the terms, execution and delivery of the Registered Securities (x) do not result in breaches of, or defaults under, agreements or instruments to which the Company is bound or violations of applicable statutes, rules, regulations or court or governmental orders, and (y) comply with any applicable requirement or restriction imposed by any court or governmental body having jurisdiction over the Company. As to any facts material to the opinions expressed herein that we have not independently established or verified, we have relied upon, and assumed the accuracy of, statements and representations of officers and other representatives of the Company and others.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and subject to the qualifications, exceptions and assumptions stated herein, we are of the opinion that:</w:t>
      </w:r>
    </w:p>
    <w:p>
      <w:pPr>
        <w:spacing w:after="0" w:line="221" w:lineRule="exact"/>
        <w:rPr>
          <w:sz w:val="20"/>
          <w:szCs w:val="20"/>
          <w:color w:val="auto"/>
        </w:rPr>
      </w:pPr>
    </w:p>
    <w:p>
      <w:pPr>
        <w:jc w:val="both"/>
        <w:ind w:firstLine="8"/>
        <w:spacing w:after="0" w:line="253" w:lineRule="auto"/>
        <w:tabs>
          <w:tab w:leader="none" w:pos="1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Debt Securities offered by the Company (the “</w:t>
      </w:r>
      <w:r>
        <w:rPr>
          <w:rFonts w:ascii="Times New Roman" w:cs="Times New Roman" w:eastAsia="Times New Roman" w:hAnsi="Times New Roman"/>
          <w:sz w:val="18"/>
          <w:szCs w:val="18"/>
          <w:b w:val="1"/>
          <w:bCs w:val="1"/>
          <w:i w:val="1"/>
          <w:iCs w:val="1"/>
          <w:color w:val="auto"/>
        </w:rPr>
        <w:t>Offered Debt Securities</w:t>
      </w:r>
      <w:r>
        <w:rPr>
          <w:rFonts w:ascii="Times New Roman" w:cs="Times New Roman" w:eastAsia="Times New Roman" w:hAnsi="Times New Roman"/>
          <w:sz w:val="18"/>
          <w:szCs w:val="18"/>
          <w:color w:val="auto"/>
        </w:rPr>
        <w:t>”), when (i) the Indenture has been duly authorized by the Company and the Trustee by all necessary corporate action; (ii) the Indenture has been duly executed and delivered by the Company and the Trustee; (iii) the Indenture has been qualified under the Trust Indenture Act of 1939, as amended (the “</w:t>
      </w:r>
      <w:r>
        <w:rPr>
          <w:rFonts w:ascii="Times New Roman" w:cs="Times New Roman" w:eastAsia="Times New Roman" w:hAnsi="Times New Roman"/>
          <w:sz w:val="18"/>
          <w:szCs w:val="18"/>
          <w:b w:val="1"/>
          <w:bCs w:val="1"/>
          <w:i w:val="1"/>
          <w:iCs w:val="1"/>
          <w:color w:val="auto"/>
        </w:rPr>
        <w:t>TIA</w:t>
      </w:r>
      <w:r>
        <w:rPr>
          <w:rFonts w:ascii="Times New Roman" w:cs="Times New Roman" w:eastAsia="Times New Roman" w:hAnsi="Times New Roman"/>
          <w:sz w:val="18"/>
          <w:szCs w:val="18"/>
          <w:color w:val="auto"/>
        </w:rPr>
        <w:t>”); (iv) the terms of the Offered Debt Securities and of their issuance and sale have been duly established in conformity with the Indenture and any supplemental indenture relating to such Offered Debt Securities so as not to violate any applicable law, the Articles of Incorporation or the By-laws, or result in a default under or breach of any agreement or instrument binding upon the Company and so as to comply with any requirement or restriction imposed by any court or other governmental authority having jurisdiction over the Company and (v) the Offered Debt Securities, in a form compliant with the Indenture and any supplemental indenture relating to such Offered Debt Securities and to be filed as an exhibit to a post-effective amendment to the Registration Statement or as an exhibit to a Current Report on Form 8-K or other applicable report under the Exchange Act in the manner contemplated in the Registration Statement or any prospectus supplement relating thereto, have been duly executed and authenticated in accordance with the provisions of the Indenture and any supplemental indenture relating to such Offered Debt Securities and delivered to the purchasers thereof upon payment of the agreed-upon consideration therefor, the Offered Debt Securities, when issued and sold or otherwise distributed in accordance with the Indenture and any supplemental indenture relating to such Offered Debt Securities and the applicable underwriting agreement, if any, or any other duly authorized, executed and delivered valid and binding agreement, will be valid and binding obligations of the Company.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ind w:firstLine="8"/>
        <w:spacing w:after="0" w:line="254"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Warrants offered by the Company (the “</w:t>
      </w:r>
      <w:r>
        <w:rPr>
          <w:rFonts w:ascii="Times New Roman" w:cs="Times New Roman" w:eastAsia="Times New Roman" w:hAnsi="Times New Roman"/>
          <w:sz w:val="18"/>
          <w:szCs w:val="18"/>
          <w:b w:val="1"/>
          <w:bCs w:val="1"/>
          <w:i w:val="1"/>
          <w:iCs w:val="1"/>
          <w:color w:val="auto"/>
        </w:rPr>
        <w:t>Offered Warrants</w:t>
      </w:r>
      <w:r>
        <w:rPr>
          <w:rFonts w:ascii="Times New Roman" w:cs="Times New Roman" w:eastAsia="Times New Roman" w:hAnsi="Times New Roman"/>
          <w:sz w:val="18"/>
          <w:szCs w:val="18"/>
          <w:color w:val="auto"/>
        </w:rPr>
        <w:t>”), when (i) a Warrant Agreement relating to the Offered Warrants has been duly authorized, executed and delivered by the Company and the other parties thereto; (ii) the terms of the Offered Warrants and their issuance and sale have been duly established and are then in conformity with the applicable Warrant Agreement so as not to violate any applicable law, the Articles of Incorporation or the By-Laws or result in a default under or breach of any agreement or instrument binding upon the Company and so as to comply with any requirement or restriction imposed by any court or governmental body having jurisdiction over the Company and (iii) the Offered Warrants have been duly executed, delivered, countersigned, issued and sold in accordance with the provisions of the applicable Warrant Agreement to be filed as an exhibit to a post-effective amendment to the Registration Statement or as an exhibit to a Current Report on Form 8-K or other applicable report under the Exchange Act in the manner contemplated in the Registration Statement or any prospectus supplement relating thereto, the Offered Warrants, when issued and sold or otherwise distributed in accordance with the applicable Warrant Agreement and the applicable underwriting agreement, if any, or any other duly authorized, executed and delivered valid and binding purchase or agency agreement, will be valid and binding obligations of the Company.</w:t>
      </w:r>
    </w:p>
    <w:p>
      <w:pPr>
        <w:spacing w:after="0" w:line="185" w:lineRule="exact"/>
        <w:rPr>
          <w:rFonts w:ascii="Times New Roman" w:cs="Times New Roman" w:eastAsia="Times New Roman" w:hAnsi="Times New Roman"/>
          <w:sz w:val="18"/>
          <w:szCs w:val="18"/>
          <w:color w:val="auto"/>
        </w:rPr>
      </w:pPr>
    </w:p>
    <w:p>
      <w:pPr>
        <w:jc w:val="both"/>
        <w:ind w:firstLine="8"/>
        <w:spacing w:after="0" w:line="254" w:lineRule="auto"/>
        <w:tabs>
          <w:tab w:leader="none" w:pos="2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Units offered by the Company (the “</w:t>
      </w:r>
      <w:r>
        <w:rPr>
          <w:rFonts w:ascii="Times New Roman" w:cs="Times New Roman" w:eastAsia="Times New Roman" w:hAnsi="Times New Roman"/>
          <w:sz w:val="18"/>
          <w:szCs w:val="18"/>
          <w:b w:val="1"/>
          <w:bCs w:val="1"/>
          <w:i w:val="1"/>
          <w:iCs w:val="1"/>
          <w:color w:val="auto"/>
        </w:rPr>
        <w:t>Offered Units</w:t>
      </w:r>
      <w:r>
        <w:rPr>
          <w:rFonts w:ascii="Times New Roman" w:cs="Times New Roman" w:eastAsia="Times New Roman" w:hAnsi="Times New Roman"/>
          <w:sz w:val="18"/>
          <w:szCs w:val="18"/>
          <w:color w:val="auto"/>
        </w:rPr>
        <w:t>”), when (i) a Unit Agreement relating to the Offered Units has been duly authorized, executed and delivered by the Company and the other parties thereto; (ii) the terms of the Offered Units and of their issuance and sale have been duly established and are then in conformity with the applicable Unit Agreement of which the Offered Units are a component so as not to violate any applicable law, the Articles of Incorporation or the By-Laws, or result in a default under or breach of any agreement or instrument binding upon the Company, and so as to comply with any requirement or restriction imposed by any court or governmental body having jurisdiction over the Company and (iii) the Offered Units have been duly executed, delivered, countersigned, issued and sold in accordance with the provisions of the applicable Unit Agreement to be filed as an exhibit to a post-effective amendment to the Registration Statement or as an exhibit to a Current Report on Form 8-K or other applicable report under the Exchange Act in the manner contemplated in the Registration Statement or any prospectus supplement relating thereto, the Offered Units, when issued and sold or otherwise distributed in accordance with the applicable Unit Agreement and the applicable underwriting agreement, if any, or any other duly authorized, executed and delivered valid and binding agreement, will be duly authorized and validly issued and will be valid and binding obligations of the Company.</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assumptions, comments, qualifications, limitations and exceptions set forth above, the opinions set forth herein are further limited by, subject to and based upon the following:</w:t>
      </w:r>
    </w:p>
    <w:p>
      <w:pPr>
        <w:spacing w:after="0" w:line="162" w:lineRule="exact"/>
        <w:rPr>
          <w:sz w:val="20"/>
          <w:szCs w:val="20"/>
          <w:color w:val="auto"/>
        </w:rPr>
      </w:pPr>
    </w:p>
    <w:p>
      <w:pPr>
        <w:jc w:val="both"/>
        <w:ind w:left="1300" w:hanging="644"/>
        <w:spacing w:after="0" w:line="271" w:lineRule="auto"/>
        <w:tabs>
          <w:tab w:leader="none" w:pos="13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opinions herein are expressed solely with respect the applicable laws of the State of New York that, in our experience, are normally applicable to transactions of the type contemplated by the Registration Statement. The opinion set forth herein related to the Units assumes that such Units are governed by New York law. The opinions set forth herein are made as of the date hereof and are subject to, and may be limited by, future changes in the factual matters set forth herein, and we undertake no duty to advise you of the same that may occur after the Registration Statement becomes effective. The opinions expressed herein are based upon the law in effect (and published or otherwise generally available) on the date hereof, which laws are subject to change with possible retroactive effect, and we assume no obligation to revise or supplement these opinions should such law be changed by legislative action, judicial decision or otherwise after the Registration Statement becomes effective. In rendering our opinions, we have not considered, and hereby disclaim any opinion as to, the application or impact of any laws, cases, decisions, rules or regulations of any other jurisdiction, court or administrative agency.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both"/>
        <w:ind w:left="1300" w:right="20" w:hanging="644"/>
        <w:spacing w:after="0" w:line="261"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set forth above are subject to and may be limited by (i) applicable bankruptcy, reorganization, insolvency, conservatorship, moratorium, fraudulent conveyance, debtor and creditor, and similar laws which relate to or affect creditors’ rights generally, and (ii) general principles of equity (including, without limitation, concepts of materiality, reasonableness, impossibility of performance, good faith and fair dealing) regardless of whether considered in a proceeding in equity or at law.</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are subject to the qualification that the availability of specific performance, an injunction or other equitable remedies is subject to the discretion of the court before which the request is brought.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informed us that you intend to issue the Registered Securities from time to time on a delayed or continuous basis, and this opinion is limited to the laws, including the rules and regulations, as in effect on the date hereof. We understand that prior to issuing any Registered Securities you will afford us an opportunity to review the operative documents pursuant to which such Registered Securities are to be issued (including the applicable prospectus supplement) and will file such supplement or amendment to this opinion (if any) as we may reasonably consider necessary or appropriate by reason of the terms of such Registered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We also consent to any and all references to us in the prospectus which is part of said Registration Statement. In giving this consent, we do not thereby admit that we are within the category of persons whose consent is required under Section 7 of the Securities Act or the rules and regulations of the Commission promulgated thereunder. This opinion is strictly limited to the matters stated herein and no other or more extensive opinion is intended, implied or to be inferred beyond the matters expressly stated herein. This opinion letter is not a guaranty nor may one be inferred or implied.</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BLANK ROME</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BLANK ROME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OptimizeRx Corporation on Form S-3 our report dated March 20, 2025, with respect to our audit of the consolidated financial statements of OptimizeRx Corporation and Subsidiaries as of December 31, 2024 and 2023 and for the years then ended appearing in the Annual Report on Form 10-K of OptimizeRx Corporation and Subsidiaries for the year ended December 31, 2024. We also consent to the reference to our firm under the heading "Experts" in the Prospectus, which is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Heights,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Fee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Proposed</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Carry</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Maximum</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Carry</w:t>
            </w:r>
          </w:p>
        </w:tc>
        <w:tc>
          <w:tcPr>
            <w:tcW w:w="72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Amount of</w:t>
            </w: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Carry</w:t>
            </w: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 Unsold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Rule or Carry</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2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 to</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Type</w:t>
            </w:r>
          </w:p>
        </w:tc>
        <w:tc>
          <w:tcPr>
            <w:tcW w:w="40" w:type="dxa"/>
            <w:vAlign w:val="bottom"/>
            <w:vMerge w:val="restart"/>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40" w:type="dxa"/>
            <w:vAlign w:val="bottom"/>
            <w:vMerge w:val="restart"/>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2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 Carried</w:t>
            </w:r>
          </w:p>
        </w:tc>
        <w:tc>
          <w:tcPr>
            <w:tcW w:w="0" w:type="dxa"/>
            <w:vAlign w:val="bottom"/>
          </w:tcPr>
          <w:p>
            <w:pPr>
              <w:spacing w:after="0"/>
              <w:rPr>
                <w:sz w:val="1"/>
                <w:szCs w:val="1"/>
                <w:color w:val="auto"/>
              </w:rPr>
            </w:pPr>
          </w:p>
        </w:tc>
      </w:tr>
      <w:tr>
        <w:trPr>
          <w:trHeight w:val="178"/>
        </w:trPr>
        <w:tc>
          <w:tcPr>
            <w:tcW w:w="76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w:t>
            </w:r>
          </w:p>
        </w:tc>
        <w:tc>
          <w:tcPr>
            <w:tcW w:w="80" w:type="dxa"/>
            <w:vAlign w:val="bottom"/>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Registered</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Unit</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Price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Fee Rate</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Fee</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Form Type</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rPr>
              <w:t>Newly Registered</w:t>
            </w:r>
          </w:p>
        </w:tc>
        <w:tc>
          <w:tcPr>
            <w:tcW w:w="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Securities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60" w:type="dxa"/>
            <w:vAlign w:val="bottom"/>
            <w:shd w:val="clear" w:color="auto" w:fill="CCEEFF"/>
          </w:tcPr>
          <w:p>
            <w:pPr>
              <w:jc w:val="center"/>
              <w:ind w:right="88"/>
              <w:spacing w:after="0" w:line="150" w:lineRule="exact"/>
              <w:rPr>
                <w:sz w:val="20"/>
                <w:szCs w:val="20"/>
                <w:color w:val="auto"/>
              </w:rPr>
            </w:pPr>
            <w:r>
              <w:rPr>
                <w:rFonts w:ascii="Times New Roman" w:cs="Times New Roman" w:eastAsia="Times New Roman" w:hAnsi="Times New Roman"/>
                <w:sz w:val="14"/>
                <w:szCs w:val="14"/>
                <w:color w:val="auto"/>
              </w:rPr>
              <w:t>Fees to be</w:t>
            </w:r>
          </w:p>
        </w:tc>
        <w:tc>
          <w:tcPr>
            <w:tcW w:w="860" w:type="dxa"/>
            <w:vAlign w:val="bottom"/>
            <w:gridSpan w:val="2"/>
            <w:shd w:val="clear" w:color="auto" w:fill="CCEEFF"/>
          </w:tcPr>
          <w:p>
            <w:pPr>
              <w:jc w:val="center"/>
              <w:ind w:right="40"/>
              <w:spacing w:after="0" w:line="150" w:lineRule="exact"/>
              <w:rPr>
                <w:sz w:val="20"/>
                <w:szCs w:val="20"/>
                <w:color w:val="auto"/>
              </w:rPr>
            </w:pPr>
            <w:r>
              <w:rPr>
                <w:rFonts w:ascii="Times New Roman" w:cs="Times New Roman" w:eastAsia="Times New Roman" w:hAnsi="Times New Roman"/>
                <w:sz w:val="14"/>
                <w:szCs w:val="14"/>
                <w:color w:val="auto"/>
              </w:rPr>
              <w:t>Equity</w:t>
            </w:r>
          </w:p>
        </w:tc>
        <w:tc>
          <w:tcPr>
            <w:tcW w:w="1580" w:type="dxa"/>
            <w:vAlign w:val="bottom"/>
            <w:gridSpan w:val="2"/>
            <w:shd w:val="clear" w:color="auto" w:fill="CCEEFF"/>
          </w:tcPr>
          <w:p>
            <w:pPr>
              <w:jc w:val="center"/>
              <w:ind w:right="60"/>
              <w:spacing w:after="0" w:line="150" w:lineRule="exact"/>
              <w:rPr>
                <w:sz w:val="20"/>
                <w:szCs w:val="20"/>
                <w:color w:val="auto"/>
              </w:rPr>
            </w:pPr>
            <w:r>
              <w:rPr>
                <w:rFonts w:ascii="Times New Roman" w:cs="Times New Roman" w:eastAsia="Times New Roman" w:hAnsi="Times New Roman"/>
                <w:sz w:val="14"/>
                <w:szCs w:val="14"/>
                <w:color w:val="auto"/>
              </w:rPr>
              <w:t>Common Stock, $0.001</w:t>
            </w:r>
          </w:p>
        </w:tc>
        <w:tc>
          <w:tcPr>
            <w:tcW w:w="860" w:type="dxa"/>
            <w:vAlign w:val="bottom"/>
            <w:gridSpan w:val="2"/>
            <w:shd w:val="clear" w:color="auto" w:fill="CCEEFF"/>
          </w:tcPr>
          <w:p>
            <w:pPr>
              <w:jc w:val="center"/>
              <w:ind w:right="40"/>
              <w:spacing w:after="0" w:line="150"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6"/>
              </w:rPr>
              <w:t>Paid</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40"/>
              <w:spacing w:after="0" w:line="188" w:lineRule="exact"/>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21"/>
                <w:szCs w:val="21"/>
                <w:color w:val="auto"/>
                <w:vertAlign w:val="superscript"/>
              </w:rPr>
              <w:t>(1)</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860" w:type="dxa"/>
            <w:vAlign w:val="bottom"/>
            <w:gridSpan w:val="2"/>
          </w:tcPr>
          <w:p>
            <w:pPr>
              <w:jc w:val="center"/>
              <w:ind w:right="40"/>
              <w:spacing w:after="0" w:line="138" w:lineRule="exact"/>
              <w:rPr>
                <w:sz w:val="20"/>
                <w:szCs w:val="20"/>
                <w:color w:val="auto"/>
              </w:rPr>
            </w:pPr>
            <w:r>
              <w:rPr>
                <w:rFonts w:ascii="Times New Roman" w:cs="Times New Roman" w:eastAsia="Times New Roman" w:hAnsi="Times New Roman"/>
                <w:sz w:val="14"/>
                <w:szCs w:val="14"/>
                <w:color w:val="auto"/>
              </w:rPr>
              <w:t>Equity</w:t>
            </w:r>
          </w:p>
        </w:tc>
        <w:tc>
          <w:tcPr>
            <w:tcW w:w="158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Preferred Stock, $0.001</w:t>
            </w:r>
          </w:p>
        </w:tc>
        <w:tc>
          <w:tcPr>
            <w:tcW w:w="860" w:type="dxa"/>
            <w:vAlign w:val="bottom"/>
            <w:gridSpan w:val="2"/>
          </w:tcPr>
          <w:p>
            <w:pPr>
              <w:jc w:val="center"/>
              <w:ind w:right="40"/>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4"/>
                <w:szCs w:val="14"/>
                <w:color w:val="auto"/>
                <w:w w:val="95"/>
              </w:rPr>
              <w:t xml:space="preserve">par value </w:t>
            </w:r>
            <w:r>
              <w:rPr>
                <w:rFonts w:ascii="Times New Roman" w:cs="Times New Roman" w:eastAsia="Times New Roman" w:hAnsi="Times New Roman"/>
                <w:sz w:val="23"/>
                <w:szCs w:val="23"/>
                <w:color w:val="auto"/>
                <w:w w:val="95"/>
                <w:vertAlign w:val="superscript"/>
              </w:rPr>
              <w:t>(1)</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7"/>
                <w:szCs w:val="17"/>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9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Debt</w:t>
            </w:r>
          </w:p>
        </w:tc>
        <w:tc>
          <w:tcPr>
            <w:tcW w:w="1580" w:type="dxa"/>
            <w:vAlign w:val="bottom"/>
            <w:gridSpan w:val="2"/>
            <w:shd w:val="clear" w:color="auto" w:fill="CCEEFF"/>
          </w:tcPr>
          <w:p>
            <w:pPr>
              <w:jc w:val="center"/>
              <w:ind w:right="40"/>
              <w:spacing w:after="0" w:line="216" w:lineRule="exact"/>
              <w:rPr>
                <w:sz w:val="20"/>
                <w:szCs w:val="20"/>
                <w:color w:val="auto"/>
              </w:rPr>
            </w:pPr>
            <w:r>
              <w:rPr>
                <w:rFonts w:ascii="Times New Roman" w:cs="Times New Roman" w:eastAsia="Times New Roman" w:hAnsi="Times New Roman"/>
                <w:sz w:val="14"/>
                <w:szCs w:val="14"/>
                <w:color w:val="auto"/>
                <w:w w:val="98"/>
              </w:rPr>
              <w:t xml:space="preserve">Debt Securities </w:t>
            </w:r>
            <w:r>
              <w:rPr>
                <w:rFonts w:ascii="Times New Roman" w:cs="Times New Roman" w:eastAsia="Times New Roman" w:hAnsi="Times New Roman"/>
                <w:sz w:val="23"/>
                <w:szCs w:val="23"/>
                <w:color w:val="auto"/>
                <w:w w:val="98"/>
                <w:vertAlign w:val="superscript"/>
              </w:rPr>
              <w:t>(1)</w:t>
            </w: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Other</w:t>
            </w:r>
          </w:p>
        </w:tc>
        <w:tc>
          <w:tcPr>
            <w:tcW w:w="1580" w:type="dxa"/>
            <w:vAlign w:val="bottom"/>
            <w:gridSpan w:val="2"/>
          </w:tcPr>
          <w:p>
            <w:pPr>
              <w:jc w:val="center"/>
              <w:ind w:right="60"/>
              <w:spacing w:after="0" w:line="216" w:lineRule="exact"/>
              <w:rPr>
                <w:sz w:val="20"/>
                <w:szCs w:val="20"/>
                <w:color w:val="auto"/>
              </w:rPr>
            </w:pPr>
            <w:r>
              <w:rPr>
                <w:rFonts w:ascii="Times New Roman" w:cs="Times New Roman" w:eastAsia="Times New Roman" w:hAnsi="Times New Roman"/>
                <w:sz w:val="14"/>
                <w:szCs w:val="14"/>
                <w:color w:val="auto"/>
                <w:w w:val="93"/>
              </w:rPr>
              <w:t xml:space="preserve">Warrants </w:t>
            </w:r>
            <w:r>
              <w:rPr>
                <w:rFonts w:ascii="Times New Roman" w:cs="Times New Roman" w:eastAsia="Times New Roman" w:hAnsi="Times New Roman"/>
                <w:sz w:val="23"/>
                <w:szCs w:val="23"/>
                <w:color w:val="auto"/>
                <w:w w:val="93"/>
                <w:vertAlign w:val="superscript"/>
              </w:rPr>
              <w:t>(1)</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8"/>
                <w:szCs w:val="18"/>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9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Other</w:t>
            </w:r>
          </w:p>
        </w:tc>
        <w:tc>
          <w:tcPr>
            <w:tcW w:w="1580" w:type="dxa"/>
            <w:vAlign w:val="bottom"/>
            <w:gridSpan w:val="2"/>
            <w:shd w:val="clear" w:color="auto" w:fill="CCEEFF"/>
          </w:tcPr>
          <w:p>
            <w:pPr>
              <w:jc w:val="center"/>
              <w:ind w:right="60"/>
              <w:spacing w:after="0" w:line="216" w:lineRule="exact"/>
              <w:rPr>
                <w:sz w:val="20"/>
                <w:szCs w:val="20"/>
                <w:color w:val="auto"/>
              </w:rPr>
            </w:pPr>
            <w:r>
              <w:rPr>
                <w:rFonts w:ascii="Times New Roman" w:cs="Times New Roman" w:eastAsia="Times New Roman" w:hAnsi="Times New Roman"/>
                <w:sz w:val="14"/>
                <w:szCs w:val="14"/>
                <w:color w:val="auto"/>
                <w:w w:val="92"/>
              </w:rPr>
              <w:t xml:space="preserve">Units </w:t>
            </w:r>
            <w:r>
              <w:rPr>
                <w:rFonts w:ascii="Times New Roman" w:cs="Times New Roman" w:eastAsia="Times New Roman" w:hAnsi="Times New Roman"/>
                <w:sz w:val="23"/>
                <w:szCs w:val="23"/>
                <w:color w:val="auto"/>
                <w:w w:val="92"/>
                <w:vertAlign w:val="superscript"/>
              </w:rPr>
              <w:t>(1)</w:t>
            </w:r>
          </w:p>
        </w:tc>
        <w:tc>
          <w:tcPr>
            <w:tcW w:w="8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86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4"/>
                <w:szCs w:val="14"/>
                <w:color w:val="auto"/>
              </w:rPr>
              <w:t>Unallocated</w:t>
            </w:r>
          </w:p>
        </w:tc>
        <w:tc>
          <w:tcPr>
            <w:tcW w:w="158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4"/>
                <w:szCs w:val="14"/>
                <w:color w:val="auto"/>
              </w:rPr>
              <w:t>Unallocated (Universal)</w:t>
            </w:r>
          </w:p>
        </w:tc>
        <w:tc>
          <w:tcPr>
            <w:tcW w:w="86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4"/>
                <w:szCs w:val="14"/>
                <w:color w:val="auto"/>
              </w:rPr>
              <w:t>Rule 457(o)</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15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Shelf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vMerge w:val="restart"/>
          </w:tcPr>
          <w:p>
            <w:pPr>
              <w:jc w:val="right"/>
              <w:ind w:right="14"/>
              <w:spacing w:after="0"/>
              <w:rPr>
                <w:sz w:val="20"/>
                <w:szCs w:val="20"/>
                <w:color w:val="auto"/>
              </w:rPr>
            </w:pPr>
            <w:r>
              <w:rPr>
                <w:rFonts w:ascii="Times New Roman" w:cs="Times New Roman" w:eastAsia="Times New Roman" w:hAnsi="Times New Roman"/>
                <w:sz w:val="12"/>
                <w:szCs w:val="12"/>
                <w:color w:val="auto"/>
                <w:w w:val="85"/>
              </w:rPr>
              <w:t>(2)</w:t>
            </w:r>
          </w:p>
        </w:tc>
        <w:tc>
          <w:tcPr>
            <w:tcW w:w="680" w:type="dxa"/>
            <w:vAlign w:val="bottom"/>
          </w:tcPr>
          <w:p>
            <w:pPr>
              <w:spacing w:after="0"/>
              <w:rPr>
                <w:sz w:val="12"/>
                <w:szCs w:val="12"/>
                <w:color w:val="auto"/>
              </w:rPr>
            </w:pPr>
          </w:p>
        </w:tc>
        <w:tc>
          <w:tcPr>
            <w:tcW w:w="2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w w:val="85"/>
              </w:rPr>
              <w:t>(2)</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7"/>
              </w:rPr>
              <w:t>$ 75,000,000</w:t>
            </w: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$0.00015310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Shelf</w:t>
            </w: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40" w:type="dxa"/>
            <w:vAlign w:val="bottom"/>
            <w:gridSpan w:val="4"/>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Total Offering Amounts</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85"/>
              </w:rPr>
              <w:t>(2)</w:t>
            </w: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4"/>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11,482.50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440" w:type="dxa"/>
            <w:vAlign w:val="bottom"/>
            <w:gridSpan w:val="4"/>
            <w:vMerge w:val="continue"/>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0" w:type="dxa"/>
            <w:vAlign w:val="bottom"/>
            <w:gridSpan w:val="4"/>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CCEEFF"/>
              <w:bottom w:val="single" w:sz="8" w:color="CCEEFF"/>
            </w:tcBorders>
          </w:tcPr>
          <w:p>
            <w:pPr>
              <w:spacing w:after="0"/>
              <w:rPr>
                <w:sz w:val="17"/>
                <w:szCs w:val="17"/>
                <w:color w:val="auto"/>
              </w:rPr>
            </w:pPr>
          </w:p>
        </w:tc>
        <w:tc>
          <w:tcPr>
            <w:tcW w:w="820" w:type="dxa"/>
            <w:vAlign w:val="bottom"/>
            <w:tcBorders>
              <w:top w:val="single" w:sz="8" w:color="CCEEFF"/>
              <w:bottom w:val="single" w:sz="8" w:color="CCEEFF"/>
            </w:tcBorders>
          </w:tcPr>
          <w:p>
            <w:pPr>
              <w:spacing w:after="0"/>
              <w:rPr>
                <w:sz w:val="17"/>
                <w:szCs w:val="17"/>
                <w:color w:val="auto"/>
              </w:rPr>
            </w:pPr>
          </w:p>
        </w:tc>
        <w:tc>
          <w:tcPr>
            <w:tcW w:w="40" w:type="dxa"/>
            <w:vAlign w:val="bottom"/>
            <w:tcBorders>
              <w:top w:val="single" w:sz="8" w:color="CCEEFF"/>
              <w:bottom w:val="single" w:sz="8" w:color="CCEEFF"/>
            </w:tcBorders>
          </w:tcPr>
          <w:p>
            <w:pPr>
              <w:spacing w:after="0"/>
              <w:rPr>
                <w:sz w:val="17"/>
                <w:szCs w:val="17"/>
                <w:color w:val="auto"/>
              </w:rPr>
            </w:pPr>
          </w:p>
        </w:tc>
        <w:tc>
          <w:tcPr>
            <w:tcW w:w="2440" w:type="dxa"/>
            <w:vAlign w:val="bottom"/>
            <w:tcBorders>
              <w:top w:val="single" w:sz="8" w:color="CCEEFF"/>
              <w:bottom w:val="single" w:sz="8" w:color="CCEEFF"/>
            </w:tcBorders>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68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68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74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40" w:type="dxa"/>
            <w:vAlign w:val="bottom"/>
            <w:tcBorders>
              <w:top w:val="single" w:sz="8" w:color="CCEEFF"/>
              <w:bottom w:val="single" w:sz="8" w:color="CCEEFF"/>
            </w:tcBorders>
          </w:tcPr>
          <w:p>
            <w:pPr>
              <w:spacing w:after="0"/>
              <w:rPr>
                <w:sz w:val="17"/>
                <w:szCs w:val="17"/>
                <w:color w:val="auto"/>
              </w:rPr>
            </w:pPr>
          </w:p>
        </w:tc>
        <w:tc>
          <w:tcPr>
            <w:tcW w:w="7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Borders>
              <w:top w:val="single" w:sz="8" w:color="CCEEFF"/>
              <w:bottom w:val="single" w:sz="8" w:color="CCEEFF"/>
            </w:tcBorders>
          </w:tcPr>
          <w:p>
            <w:pPr>
              <w:spacing w:after="0"/>
              <w:rPr>
                <w:sz w:val="17"/>
                <w:szCs w:val="17"/>
                <w:color w:val="auto"/>
              </w:rPr>
            </w:pPr>
          </w:p>
        </w:tc>
        <w:tc>
          <w:tcPr>
            <w:tcW w:w="6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6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6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72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Total Fee Offsets</w:t>
            </w: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2"/>
          </w:tcPr>
          <w:p>
            <w:pPr>
              <w:jc w:val="center"/>
              <w:ind w:left="588"/>
              <w:spacing w:after="0" w:line="149" w:lineRule="exact"/>
              <w:rPr>
                <w:sz w:val="20"/>
                <w:szCs w:val="20"/>
                <w:color w:val="auto"/>
              </w:rPr>
            </w:pPr>
            <w:r>
              <w:rPr>
                <w:rFonts w:ascii="Times New Roman" w:cs="Times New Roman" w:eastAsia="Times New Roman" w:hAnsi="Times New Roman"/>
                <w:sz w:val="14"/>
                <w:szCs w:val="14"/>
                <w:color w:val="auto"/>
              </w:rPr>
              <w:t>Net Fee Due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spacing w:after="0"/>
              <w:rPr>
                <w:sz w:val="12"/>
                <w:szCs w:val="1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11,482.50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120" w:type="dxa"/>
            <w:vAlign w:val="bottom"/>
            <w:tcBorders>
              <w:bottom w:val="single" w:sz="8" w:color="auto"/>
            </w:tcBorders>
            <w:vMerge w:val="continue"/>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hanging="452"/>
        <w:spacing w:after="0"/>
        <w:tabs>
          <w:tab w:leader="none" w:pos="460" w:val="left"/>
        </w:tabs>
        <w:numPr>
          <w:ilvl w:val="0"/>
          <w:numId w:val="8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securities that may be offered and sold from time-to-time in one or more offering by the Registrant.</w:t>
      </w:r>
    </w:p>
    <w:p>
      <w:pPr>
        <w:spacing w:after="0" w:line="197" w:lineRule="exact"/>
        <w:rPr>
          <w:rFonts w:ascii="Times New Roman" w:cs="Times New Roman" w:eastAsia="Times New Roman" w:hAnsi="Times New Roman"/>
          <w:sz w:val="30"/>
          <w:szCs w:val="30"/>
          <w:color w:val="auto"/>
          <w:vertAlign w:val="superscript"/>
        </w:rPr>
      </w:pPr>
    </w:p>
    <w:p>
      <w:pPr>
        <w:jc w:val="both"/>
        <w:ind w:left="460"/>
        <w:spacing w:after="0" w:line="26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registration statement covers an indeterminate amount and number of securities of each identified class of securities up to a proposed maximum aggregate offering price of $75,000,000, which may be offered from time to time in unspecified numbers and indeterminate prices, and as may be</w:t>
      </w:r>
    </w:p>
    <w:p>
      <w:pPr>
        <w:jc w:val="both"/>
        <w:ind w:left="460" w:hanging="452"/>
        <w:spacing w:after="0" w:line="214" w:lineRule="auto"/>
        <w:tabs>
          <w:tab w:leader="none" w:pos="460" w:val="left"/>
        </w:tabs>
        <w:numPr>
          <w:ilvl w:val="0"/>
          <w:numId w:val="89"/>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issued upon conversion, exchange, or exercise of any securities registered hereunder, including any applicable anti-dilution provisions. Separate consideration may or may not be received for securities that are issuable on conversion, redemption, repurchase or exchange of other securities. Pursuant to Rule 416(a) promulgated under the Securities Act of 1933, as amended, this registration statement also covers an indeterminate number of securities that may become issuable as a result of stock splits, stock dividends or similar transactions relating to the securities registered hereunder.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lvl w:ilvl="1">
      <w:lvlJc w:val="left"/>
      <w:lvlText w:val="%2."/>
      <w:numFmt w:val="lowerRoman"/>
      <w:start w:val="1"/>
    </w:lvl>
  </w:abstractNum>
  <w:abstractNum w:abstractNumId="28">
    <w:nsid w:val="354FE9F9"/>
    <w:multiLevelType w:val="hybridMultilevel"/>
    <w:lvl w:ilvl="0">
      <w:lvlJc w:val="left"/>
      <w:lvlText w:val="%1."/>
      <w:numFmt w:val="decimal"/>
      <w:start w:val="2"/>
    </w:lvl>
    <w:lvl w:ilvl="1">
      <w:lvlJc w:val="left"/>
      <w:lvlText w:val="%2."/>
      <w:numFmt w:val="lowerRoman"/>
      <w:start w:val="1"/>
    </w:lvl>
  </w:abstractNum>
  <w:abstractNum w:abstractNumId="29">
    <w:nsid w:val="15B5AF5C"/>
    <w:multiLevelType w:val="hybridMultilevel"/>
    <w:lvl w:ilvl="0">
      <w:lvlJc w:val="left"/>
      <w:lvlText w:val="%1."/>
      <w:numFmt w:val="decimal"/>
      <w:start w:val="5"/>
    </w:lvl>
    <w:lvl w:ilvl="1">
      <w:lvlJc w:val="left"/>
      <w:lvlText w:val="%2."/>
      <w:numFmt w:val="lowerRoman"/>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lowerRoman"/>
      <w:start w:val="1"/>
    </w:lvl>
  </w:abstractNum>
  <w:abstractNum w:abstractNumId="34">
    <w:nsid w:val="61574095"/>
    <w:multiLevelType w:val="hybridMultilevel"/>
    <w:lvl w:ilvl="0">
      <w:lvlJc w:val="left"/>
      <w:lvlText w:val="(%1)"/>
      <w:numFmt w:val="lowerLetter"/>
      <w:start w:val="1"/>
    </w:lvl>
    <w:lvl w:ilvl="1">
      <w:lvlJc w:val="left"/>
      <w:lvlText w:val="(%2)"/>
      <w:numFmt w:val="decimal"/>
      <w:start w:val="1"/>
    </w:lvl>
  </w:abstractNum>
  <w:abstractNum w:abstractNumId="35">
    <w:nsid w:val="7E0C57B1"/>
    <w:multiLevelType w:val="hybridMultilevel"/>
    <w:lvl w:ilvl="0">
      <w:lvlJc w:val="left"/>
      <w:lvlText w:val="(%1)"/>
      <w:numFmt w:val="decimal"/>
      <w:start w:val="7"/>
    </w:lvl>
  </w:abstractNum>
  <w:abstractNum w:abstractNumId="36">
    <w:nsid w:val="77AE35EB"/>
    <w:multiLevelType w:val="hybridMultilevel"/>
    <w:lvl w:ilvl="0">
      <w:lvlJc w:val="left"/>
      <w:lvlText w:val="(%1)"/>
      <w:numFmt w:val="decimal"/>
      <w:start w:val="17"/>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2"/>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3"/>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2"/>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1"/>
    </w:lvl>
    <w:lvl w:ilvl="1">
      <w:lvlJc w:val="left"/>
      <w:lvlText w:val="(%2)"/>
      <w:numFmt w:val="decimal"/>
      <w:start w:val="1"/>
    </w:lvl>
  </w:abstractNum>
  <w:abstractNum w:abstractNumId="46">
    <w:nsid w:val="5DB70AE5"/>
    <w:multiLevelType w:val="hybridMultilevel"/>
    <w:lvl w:ilvl="0">
      <w:lvlJc w:val="left"/>
      <w:lvlText w:val="%1"/>
      <w:numFmt w:val="lowerLetter"/>
      <w:start w:val="1"/>
    </w:lvl>
    <w:lvl w:ilvl="1">
      <w:lvlJc w:val="left"/>
      <w:lvlText w:val="(%2)"/>
      <w:numFmt w:val="decimal"/>
      <w:start w:val="2"/>
    </w:lvl>
  </w:abstractNum>
  <w:abstractNum w:abstractNumId="47">
    <w:nsid w:val="100F8FCA"/>
    <w:multiLevelType w:val="hybridMultilevel"/>
    <w:lvl w:ilvl="0">
      <w:lvlJc w:val="left"/>
      <w:lvlText w:val="(%1)"/>
      <w:numFmt w:val="lowerLetter"/>
      <w:start w:val="2"/>
    </w:lvl>
    <w:lvl w:ilvl="1">
      <w:lvlJc w:val="left"/>
      <w:lvlText w:val="%2"/>
      <w:numFmt w:val="decimal"/>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2"/>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lowerLetter"/>
      <w:start w:val="1"/>
    </w:lvl>
    <w:lvl w:ilvl="1">
      <w:lvlJc w:val="left"/>
      <w:lvlText w:val="(%2)"/>
      <w:numFmt w:val="decimal"/>
      <w:start w:val="1"/>
    </w:lvl>
  </w:abstractNum>
  <w:abstractNum w:abstractNumId="53">
    <w:nsid w:val="6B94764"/>
    <w:multiLevelType w:val="hybridMultilevel"/>
    <w:lvl w:ilvl="0">
      <w:lvlJc w:val="left"/>
      <w:lvlText w:val="%1"/>
      <w:numFmt w:val="lowerLetter"/>
      <w:start w:val="1"/>
    </w:lvl>
    <w:lvl w:ilvl="1">
      <w:lvlJc w:val="left"/>
      <w:lvlText w:val="(%2)"/>
      <w:numFmt w:val="decimal"/>
      <w:start w:val="2"/>
    </w:lvl>
  </w:abstractNum>
  <w:abstractNum w:abstractNumId="54">
    <w:nsid w:val="42C296BD"/>
    <w:multiLevelType w:val="hybridMultilevel"/>
    <w:lvl w:ilvl="0">
      <w:lvlJc w:val="left"/>
      <w:lvlText w:val="(%1)"/>
      <w:numFmt w:val="lowerLetter"/>
      <w:start w:val="2"/>
    </w:lvl>
    <w:lvl w:ilvl="1">
      <w:lvlJc w:val="left"/>
      <w:lvlText w:val="%2"/>
      <w:numFmt w:val="decimal"/>
      <w:start w:val="1"/>
    </w:lvl>
  </w:abstractNum>
  <w:abstractNum w:abstractNumId="55">
    <w:nsid w:val="168E121F"/>
    <w:multiLevelType w:val="hybridMultilevel"/>
    <w:lvl w:ilvl="0">
      <w:lvlJc w:val="left"/>
      <w:lvlText w:val="(%1)"/>
      <w:numFmt w:val="lowerLetter"/>
      <w:start w:val="4"/>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4"/>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2"/>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lowerRoman"/>
      <w:start w:val="1"/>
    </w:lvl>
    <w:lvl w:ilvl="1">
      <w:lvlJc w:val="left"/>
      <w:lvlText w:val="(%2)"/>
      <w:numFmt w:val="upperLetter"/>
      <w:start w:val="1"/>
    </w:lvl>
  </w:abstractNum>
  <w:abstractNum w:abstractNumId="62">
    <w:nsid w:val="613EFDC5"/>
    <w:multiLevelType w:val="hybridMultilevel"/>
    <w:lvl w:ilvl="0">
      <w:lvlJc w:val="left"/>
      <w:lvlText w:val="(%1)"/>
      <w:numFmt w:val="lowerRoman"/>
      <w:start w:val="3"/>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5"/>
    </w:lvl>
  </w:abstractNum>
  <w:abstractNum w:abstractNumId="65">
    <w:nsid w:val="42963E5A"/>
    <w:multiLevelType w:val="hybridMultilevel"/>
    <w:lvl w:ilvl="0">
      <w:lvlJc w:val="left"/>
      <w:lvlText w:val="(%1)"/>
      <w:numFmt w:val="lowerLetter"/>
      <w:start w:val="1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2"/>
    </w:lvl>
  </w:abstractNum>
  <w:abstractNum w:abstractNumId="70">
    <w:nsid w:val="68EB2F63"/>
    <w:multiLevelType w:val="hybridMultilevel"/>
    <w:lvl w:ilvl="0">
      <w:lvlJc w:val="left"/>
      <w:lvlText w:val="(%1)"/>
      <w:numFmt w:val="lowerRoman"/>
      <w:start w:val="1"/>
    </w:lvl>
  </w:abstractNum>
  <w:abstractNum w:abstractNumId="71">
    <w:nsid w:val="4962813B"/>
    <w:multiLevelType w:val="hybridMultilevel"/>
    <w:lvl w:ilvl="0">
      <w:lvlJc w:val="left"/>
      <w:lvlText w:val="(%1)"/>
      <w:numFmt w:val="lowerLetter"/>
      <w:start w:val="3"/>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2"/>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2"/>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4"/>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2"/>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2"/>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2"/>
    </w:lvl>
  </w:abstractNum>
  <w:abstractNum w:abstractNumId="86">
    <w:nsid w:val="1716703B"/>
    <w:multiLevelType w:val="hybridMultilevel"/>
    <w:lvl w:ilvl="0">
      <w:lvlJc w:val="left"/>
      <w:lvlText w:val="%1."/>
      <w:numFmt w:val="lowerLetter"/>
      <w:start w:val="1"/>
    </w:lvl>
  </w:abstractNum>
  <w:abstractNum w:abstractNumId="87">
    <w:nsid w:val="14E17E33"/>
    <w:multiLevelType w:val="hybridMultilevel"/>
    <w:lvl w:ilvl="0">
      <w:lvlJc w:val="left"/>
      <w:lvlText w:val="%1."/>
      <w:numFmt w:val="lowerLetter"/>
      <w:start w:val="2"/>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jpe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jpe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52" Type="http://schemas.openxmlformats.org/officeDocument/2006/relationships/hyperlink" Target="http://www.sec.gov/Archives/edgar/data/1448431/000121390025025576/ea0234670-10k_optimize.htm" TargetMode="External"/><Relationship Id="rId53" Type="http://schemas.openxmlformats.org/officeDocument/2006/relationships/hyperlink" Target="http://www.sec.gov/Archives/edgar/data/1448431/000121390025002644/ea0227345-8k_optimize.htm" TargetMode="External"/><Relationship Id="rId54" Type="http://schemas.openxmlformats.org/officeDocument/2006/relationships/hyperlink" Target="http://www.sec.gov/Archives/edgar/data/1448431/000121390025021923/ea0233702-8k_optimize.htm" TargetMode="External"/><Relationship Id="rId55" Type="http://schemas.openxmlformats.org/officeDocument/2006/relationships/hyperlink" Target="https://www.sec.gov/Archives/edgar/data/1448431/000121390018007863/f8a12b061918_optimizerx.htm" TargetMode="External"/><Relationship Id="rId56" Type="http://schemas.openxmlformats.org/officeDocument/2006/relationships/hyperlink" Target="http://www.sec.gov/Archives/edgar/data/1448431/000121390021045880/ea146430-8k_optimizerx.htm" TargetMode="External"/><Relationship Id="rId63" Type="http://schemas.openxmlformats.org/officeDocument/2006/relationships/hyperlink" Target="http://www.sec.gov/Archives/edgar/data/1448431/000136110608000414/optimizerx_s1-ex0301.htm" TargetMode="External"/><Relationship Id="rId64" Type="http://schemas.openxmlformats.org/officeDocument/2006/relationships/hyperlink" Target="http://www.sec.gov/Archives/edgar/data/1448431/000121390019003962/f10k2018ex3-5_optimizerx.htm" TargetMode="External"/><Relationship Id="rId65" Type="http://schemas.openxmlformats.org/officeDocument/2006/relationships/hyperlink" Target="http://www.sec.gov/Archives/edgar/data/1448431/000121390023019233/f10k2022ex3-3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2025-03-28T16:18:21Z</dcterms:created>
  <dcterms:modified xsi:type="dcterms:W3CDTF">2025-03-28T16:18:21Z</dcterms:modified>
</cp:coreProperties>
</file>