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31, 2021</w:t>
      </w:r>
    </w:p>
    <w:p>
      <w:pPr>
        <w:spacing w:after="0" w:line="27" w:lineRule="exact"/>
        <w:rPr>
          <w:sz w:val="24"/>
          <w:szCs w:val="24"/>
          <w:color w:val="auto"/>
        </w:rPr>
      </w:pPr>
    </w:p>
    <w:p>
      <w:pPr>
        <w:ind w:left="8740"/>
        <w:spacing w:after="0"/>
        <w:rPr>
          <w:sz w:val="20"/>
          <w:szCs w:val="20"/>
          <w:color w:val="auto"/>
        </w:rPr>
      </w:pPr>
      <w:r>
        <w:rPr>
          <w:rFonts w:ascii="Arial" w:cs="Arial" w:eastAsia="Arial" w:hAnsi="Arial"/>
          <w:sz w:val="18"/>
          <w:szCs w:val="18"/>
          <w:b w:val="1"/>
          <w:bCs w:val="1"/>
          <w:color w:val="auto"/>
        </w:rPr>
        <w:t>Commission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140335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OptimizeRx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00" w:type="dxa"/>
            <w:vAlign w:val="bottom"/>
          </w:tcPr>
          <w:p>
            <w:pPr>
              <w:jc w:val="center"/>
              <w:ind w:left="950"/>
              <w:spacing w:after="0"/>
              <w:rPr>
                <w:sz w:val="20"/>
                <w:szCs w:val="20"/>
                <w:color w:val="auto"/>
              </w:rPr>
            </w:pPr>
            <w:r>
              <w:rPr>
                <w:rFonts w:ascii="Arial" w:cs="Arial" w:eastAsia="Arial" w:hAnsi="Arial"/>
                <w:sz w:val="18"/>
                <w:szCs w:val="18"/>
                <w:b w:val="1"/>
                <w:bCs w:val="1"/>
                <w:color w:val="auto"/>
                <w:w w:val="90"/>
              </w:rPr>
              <w:t>Nevada</w:t>
            </w:r>
          </w:p>
        </w:tc>
        <w:tc>
          <w:tcPr>
            <w:tcW w:w="6740" w:type="dxa"/>
            <w:vAlign w:val="bottom"/>
            <w:gridSpan w:val="3"/>
          </w:tcPr>
          <w:p>
            <w:pPr>
              <w:jc w:val="right"/>
              <w:ind w:right="223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4500" w:type="dxa"/>
            <w:vAlign w:val="bottom"/>
            <w:tcBorders>
              <w:top w:val="single" w:sz="8" w:color="auto"/>
            </w:tcBorders>
          </w:tcPr>
          <w:p>
            <w:pPr>
              <w:jc w:val="center"/>
              <w:ind w:left="93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00" w:type="dxa"/>
            <w:vAlign w:val="bottom"/>
          </w:tcPr>
          <w:p>
            <w:pPr>
              <w:jc w:val="center"/>
              <w:ind w:left="930"/>
              <w:spacing w:after="0"/>
              <w:rPr>
                <w:sz w:val="20"/>
                <w:szCs w:val="20"/>
                <w:color w:val="auto"/>
              </w:rPr>
            </w:pPr>
            <w:r>
              <w:rPr>
                <w:rFonts w:ascii="Arial" w:cs="Arial" w:eastAsia="Arial" w:hAnsi="Arial"/>
                <w:sz w:val="18"/>
                <w:szCs w:val="18"/>
                <w:color w:val="auto"/>
                <w:w w:val="92"/>
              </w:rPr>
              <w:t>incorporation or organization)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00" w:type="dxa"/>
            <w:vAlign w:val="bottom"/>
          </w:tcPr>
          <w:p>
            <w:pPr>
              <w:jc w:val="center"/>
              <w:ind w:left="95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6740" w:type="dxa"/>
            <w:vAlign w:val="bottom"/>
            <w:gridSpan w:val="3"/>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4500" w:type="dxa"/>
            <w:vAlign w:val="bottom"/>
            <w:tcBorders>
              <w:top w:val="single" w:sz="8" w:color="auto"/>
            </w:tcBorders>
          </w:tcPr>
          <w:p>
            <w:pPr>
              <w:jc w:val="center"/>
              <w:ind w:left="930"/>
              <w:spacing w:after="0"/>
              <w:rPr>
                <w:sz w:val="20"/>
                <w:szCs w:val="20"/>
                <w:color w:val="auto"/>
              </w:rPr>
            </w:pPr>
            <w:r>
              <w:rPr>
                <w:rFonts w:ascii="Arial" w:cs="Arial" w:eastAsia="Arial" w:hAnsi="Arial"/>
                <w:sz w:val="18"/>
                <w:szCs w:val="18"/>
                <w:color w:val="auto"/>
                <w:w w:val="92"/>
              </w:rPr>
              <w:t>(Address of Principal Executive Offices)</w:t>
            </w: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399"/>
        </w:trPr>
        <w:tc>
          <w:tcPr>
            <w:tcW w:w="4500" w:type="dxa"/>
            <w:vAlign w:val="bottom"/>
          </w:tcPr>
          <w:p>
            <w:pPr>
              <w:spacing w:after="0"/>
              <w:rPr>
                <w:sz w:val="24"/>
                <w:szCs w:val="24"/>
                <w:color w:val="auto"/>
              </w:rPr>
            </w:pPr>
          </w:p>
        </w:tc>
        <w:tc>
          <w:tcPr>
            <w:tcW w:w="6740" w:type="dxa"/>
            <w:vAlign w:val="bottom"/>
            <w:gridSpan w:val="3"/>
          </w:tcPr>
          <w:p>
            <w:pPr>
              <w:jc w:val="center"/>
              <w:ind w:right="4390"/>
              <w:spacing w:after="0"/>
              <w:rPr>
                <w:sz w:val="20"/>
                <w:szCs w:val="20"/>
                <w:color w:val="auto"/>
              </w:rPr>
            </w:pPr>
            <w:r>
              <w:rPr>
                <w:rFonts w:ascii="Arial" w:cs="Arial" w:eastAsia="Arial" w:hAnsi="Arial"/>
                <w:sz w:val="18"/>
                <w:szCs w:val="18"/>
                <w:b w:val="1"/>
                <w:bCs w:val="1"/>
                <w:color w:val="auto"/>
                <w:w w:val="93"/>
              </w:rPr>
              <w:t>OptimizeRx Corporation</w:t>
            </w:r>
          </w:p>
        </w:tc>
      </w:tr>
      <w:tr>
        <w:trPr>
          <w:trHeight w:val="220"/>
        </w:trPr>
        <w:tc>
          <w:tcPr>
            <w:tcW w:w="4500" w:type="dxa"/>
            <w:vAlign w:val="bottom"/>
          </w:tcPr>
          <w:p>
            <w:pPr>
              <w:spacing w:after="0"/>
              <w:rPr>
                <w:sz w:val="19"/>
                <w:szCs w:val="19"/>
                <w:color w:val="auto"/>
              </w:rPr>
            </w:pPr>
          </w:p>
        </w:tc>
        <w:tc>
          <w:tcPr>
            <w:tcW w:w="6740" w:type="dxa"/>
            <w:vAlign w:val="bottom"/>
            <w:gridSpan w:val="3"/>
          </w:tcPr>
          <w:p>
            <w:pPr>
              <w:jc w:val="center"/>
              <w:ind w:right="4410"/>
              <w:spacing w:after="0"/>
              <w:rPr>
                <w:sz w:val="20"/>
                <w:szCs w:val="20"/>
                <w:color w:val="auto"/>
              </w:rPr>
            </w:pPr>
            <w:r>
              <w:rPr>
                <w:rFonts w:ascii="Arial" w:cs="Arial" w:eastAsia="Arial" w:hAnsi="Arial"/>
                <w:sz w:val="18"/>
                <w:szCs w:val="18"/>
                <w:b w:val="1"/>
                <w:bCs w:val="1"/>
                <w:color w:val="auto"/>
                <w:w w:val="91"/>
              </w:rPr>
              <w:t>2021 Equity Incentive Plan</w:t>
            </w:r>
          </w:p>
        </w:tc>
      </w:tr>
      <w:tr>
        <w:trPr>
          <w:trHeight w:val="230"/>
        </w:trPr>
        <w:tc>
          <w:tcPr>
            <w:tcW w:w="4500" w:type="dxa"/>
            <w:vAlign w:val="bottom"/>
          </w:tcPr>
          <w:p>
            <w:pPr>
              <w:spacing w:after="0"/>
              <w:rPr>
                <w:sz w:val="20"/>
                <w:szCs w:val="20"/>
                <w:color w:val="auto"/>
              </w:rPr>
            </w:pPr>
          </w:p>
        </w:tc>
        <w:tc>
          <w:tcPr>
            <w:tcW w:w="6740" w:type="dxa"/>
            <w:vAlign w:val="bottom"/>
            <w:gridSpan w:val="3"/>
          </w:tcPr>
          <w:p>
            <w:pPr>
              <w:jc w:val="center"/>
              <w:ind w:right="4410"/>
              <w:spacing w:after="0"/>
              <w:rPr>
                <w:sz w:val="20"/>
                <w:szCs w:val="20"/>
                <w:color w:val="auto"/>
              </w:rPr>
            </w:pPr>
            <w:r>
              <w:rPr>
                <w:rFonts w:ascii="Arial" w:cs="Arial" w:eastAsia="Arial" w:hAnsi="Arial"/>
                <w:sz w:val="18"/>
                <w:szCs w:val="18"/>
                <w:color w:val="auto"/>
                <w:w w:val="95"/>
              </w:rPr>
              <w:t>(Full title of the plan)</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Marion Odence-Ford, Esquire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400 Water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Rochester, Michigan 48307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(248) 651-6568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1"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5340" w:type="dxa"/>
            <w:vAlign w:val="bottom"/>
            <w:gridSpan w:val="8"/>
          </w:tcPr>
          <w:p>
            <w:pPr>
              <w:jc w:val="right"/>
              <w:ind w:right="1200"/>
              <w:spacing w:after="0"/>
              <w:rPr>
                <w:sz w:val="20"/>
                <w:szCs w:val="20"/>
                <w:color w:val="auto"/>
              </w:rPr>
            </w:pPr>
            <w:r>
              <w:rPr>
                <w:rFonts w:ascii="Arial" w:cs="Arial" w:eastAsia="Arial" w:hAnsi="Arial"/>
                <w:sz w:val="18"/>
                <w:szCs w:val="18"/>
                <w:b w:val="1"/>
                <w:bCs w:val="1"/>
                <w:color w:val="auto"/>
              </w:rPr>
              <w:t>CALCULATION OF REGISTRATION FEE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Proposed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440"/>
              <w:spacing w:after="0" w:line="181" w:lineRule="exact"/>
              <w:rPr>
                <w:sz w:val="20"/>
                <w:szCs w:val="20"/>
                <w:color w:val="auto"/>
              </w:rPr>
            </w:pPr>
            <w:r>
              <w:rPr>
                <w:rFonts w:ascii="Arial" w:cs="Arial" w:eastAsia="Arial" w:hAnsi="Arial"/>
                <w:sz w:val="18"/>
                <w:szCs w:val="18"/>
                <w:b w:val="1"/>
                <w:bCs w:val="1"/>
                <w:color w:val="auto"/>
                <w:w w:val="92"/>
              </w:rPr>
              <w:t>maximum</w:t>
            </w:r>
          </w:p>
        </w:tc>
        <w:tc>
          <w:tcPr>
            <w:tcW w:w="11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maximum</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180"/>
              <w:spacing w:after="0" w:line="181" w:lineRule="exact"/>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 be</w:t>
            </w:r>
          </w:p>
        </w:tc>
        <w:tc>
          <w:tcPr>
            <w:tcW w:w="120" w:type="dxa"/>
            <w:vAlign w:val="bottom"/>
          </w:tcPr>
          <w:p>
            <w:pPr>
              <w:spacing w:after="0"/>
              <w:rPr>
                <w:sz w:val="18"/>
                <w:szCs w:val="18"/>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offering 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aggregate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registration</w:t>
            </w:r>
          </w:p>
        </w:tc>
        <w:tc>
          <w:tcPr>
            <w:tcW w:w="0" w:type="dxa"/>
            <w:vAlign w:val="bottom"/>
          </w:tcPr>
          <w:p>
            <w:pPr>
              <w:spacing w:after="0"/>
              <w:rPr>
                <w:sz w:val="1"/>
                <w:szCs w:val="1"/>
                <w:color w:val="auto"/>
              </w:rPr>
            </w:pPr>
          </w:p>
        </w:tc>
      </w:tr>
      <w:tr>
        <w:trPr>
          <w:trHeight w:val="277"/>
        </w:trPr>
        <w:tc>
          <w:tcPr>
            <w:tcW w:w="3220" w:type="dxa"/>
            <w:vAlign w:val="bottom"/>
          </w:tcPr>
          <w:p>
            <w:pPr>
              <w:spacing w:after="0"/>
              <w:rPr>
                <w:sz w:val="20"/>
                <w:szCs w:val="20"/>
                <w:color w:val="auto"/>
              </w:rPr>
            </w:pPr>
            <w:r>
              <w:rPr>
                <w:rFonts w:ascii="Arial" w:cs="Arial" w:eastAsia="Arial" w:hAnsi="Arial"/>
                <w:sz w:val="18"/>
                <w:szCs w:val="18"/>
                <w:b w:val="1"/>
                <w:bCs w:val="1"/>
                <w:color w:val="auto"/>
              </w:rPr>
              <w:t>Title of securities to be registered</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100"/>
              <w:spacing w:after="0" w:line="270" w:lineRule="exact"/>
              <w:rPr>
                <w:sz w:val="20"/>
                <w:szCs w:val="20"/>
                <w:color w:val="auto"/>
              </w:rPr>
            </w:pPr>
            <w:r>
              <w:rPr>
                <w:rFonts w:ascii="Arial" w:cs="Arial" w:eastAsia="Arial" w:hAnsi="Arial"/>
                <w:sz w:val="18"/>
                <w:szCs w:val="18"/>
                <w:b w:val="1"/>
                <w:bCs w:val="1"/>
                <w:color w:val="auto"/>
                <w:w w:val="84"/>
              </w:rPr>
              <w:t>registered</w:t>
            </w:r>
            <w:r>
              <w:rPr>
                <w:rFonts w:ascii="Arial" w:cs="Arial" w:eastAsia="Arial" w:hAnsi="Arial"/>
                <w:sz w:val="29"/>
                <w:szCs w:val="29"/>
                <w:b w:val="1"/>
                <w:bCs w:val="1"/>
                <w:color w:val="auto"/>
                <w:w w:val="84"/>
                <w:vertAlign w:val="superscript"/>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per share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fee</w:t>
            </w:r>
          </w:p>
        </w:tc>
        <w:tc>
          <w:tcPr>
            <w:tcW w:w="0" w:type="dxa"/>
            <w:vAlign w:val="bottom"/>
          </w:tcPr>
          <w:p>
            <w:pPr>
              <w:spacing w:after="0"/>
              <w:rPr>
                <w:sz w:val="1"/>
                <w:szCs w:val="1"/>
                <w:color w:val="auto"/>
              </w:rPr>
            </w:pPr>
          </w:p>
        </w:tc>
      </w:tr>
      <w:tr>
        <w:trPr>
          <w:trHeight w:val="15"/>
        </w:trPr>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
                <w:szCs w:val="1"/>
                <w:color w:val="auto"/>
              </w:rPr>
              <w:t>Common Stock, par value $.001</w:t>
            </w:r>
          </w:p>
        </w:tc>
        <w:tc>
          <w:tcPr>
            <w:tcW w:w="25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2,500,000</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67.00</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
                <w:szCs w:val="1"/>
                <w:color w:val="auto"/>
              </w:rPr>
              <w:t>$  167,500,000</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6"/>
              </w:rPr>
              <w:t>(2)</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
                <w:szCs w:val="1"/>
                <w:color w:val="auto"/>
              </w:rPr>
              <w:t>$    18,274.25</w:t>
            </w: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w:t>
            </w:r>
          </w:p>
        </w:tc>
        <w:tc>
          <w:tcPr>
            <w:tcW w:w="1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0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of the Securities Act of 1933, as amended (the “Securities Act”), this Registration Statement shall be deemed to cover additional shares of common stock, par value $.001 per share (“Common Stock”), of OptimizeRx Corporation (the “Registrant” or “OptimizeRx”) as may be issued to prevent dilution resulting from stock splits, stock dividends or similar transactions.</w:t>
      </w:r>
    </w:p>
    <w:p>
      <w:pPr>
        <w:spacing w:after="0" w:line="183"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amount of the registration fee pursuant to Rule 457(h)(1) and Rule 457(c), based upon the average of the high and low prices of the Common Stock on the Nasdaq Capital Market as of August 27, 2021.</w:t>
      </w:r>
    </w:p>
    <w:p>
      <w:pPr>
        <w:spacing w:after="0" w:line="170"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previously paid a registration fee of $15,262.00 to register 3,000,000 shares of Common Stock for issuance under the Amended and Restated OptimizeRx Corp. 2013 Incentive Plan (“2013 Plan”) on a Form S-8 registration statement (Registration No. 333-254823), filed on March 29, 2021 (the “Prior Registration Statement”). The 3,000,000 shares of Common Stock registered pursuant to the Prior Registration Statement remain unsold and are not subject to outstanding awards, and are being removed from registration pursuant to a post-effective amendment to the</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7"/>
          <w:szCs w:val="17"/>
          <w:color w:val="auto"/>
        </w:rPr>
        <w:t>Prior Registration Statement, which is being filed by the Registrant immediately prior to the filing of this Registration Statement. Pursuant to</w:t>
      </w:r>
    </w:p>
    <w:p>
      <w:pPr>
        <w:spacing w:after="0" w:line="20" w:lineRule="exact"/>
        <w:rPr>
          <w:rFonts w:ascii="Arial" w:cs="Arial" w:eastAsia="Arial" w:hAnsi="Arial"/>
          <w:sz w:val="16"/>
          <w:szCs w:val="16"/>
          <w:color w:val="auto"/>
        </w:rPr>
      </w:pPr>
    </w:p>
    <w:p>
      <w:pPr>
        <w:ind w:left="340" w:right="60"/>
        <w:spacing w:after="0" w:line="255" w:lineRule="auto"/>
        <w:rPr>
          <w:rFonts w:ascii="Arial" w:cs="Arial" w:eastAsia="Arial" w:hAnsi="Arial"/>
          <w:sz w:val="16"/>
          <w:szCs w:val="16"/>
          <w:color w:val="auto"/>
        </w:rPr>
      </w:pPr>
      <w:r>
        <w:rPr>
          <w:rFonts w:ascii="Arial" w:cs="Arial" w:eastAsia="Arial" w:hAnsi="Arial"/>
          <w:sz w:val="18"/>
          <w:szCs w:val="18"/>
          <w:color w:val="auto"/>
        </w:rPr>
        <w:t>Rule 457(p) under the Securities Act of 1933, the registrant is offsetting the registration fee due under this registration statement by $15,262.00, which represents the registration fee previously paid with respect to 3,000,000 unsold shares of Common Stock previously registered on the Prior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document(s) containing the information specified in Part I of Form S-8 will be sent or given to participants as specified by Rule 428(b)(1) of the Securities Act.</w:t>
      </w:r>
    </w:p>
    <w:p>
      <w:pPr>
        <w:spacing w:after="0" w:line="3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904" w:right="8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as filed with the Commission, are incorporated by reference into this Registration Statement by the Registrant:</w:t>
      </w:r>
    </w:p>
    <w:p>
      <w:pPr>
        <w:spacing w:after="0" w:line="225"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2020, filed on March 8, 2021;</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2021, filed on May 6, 2021;</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June 30, 2021, filed on August 4, 2021;</w:t>
      </w:r>
    </w:p>
    <w:p>
      <w:pPr>
        <w:spacing w:after="0" w:line="225" w:lineRule="exact"/>
        <w:rPr>
          <w:rFonts w:ascii="Arial" w:cs="Arial" w:eastAsia="Arial" w:hAnsi="Arial"/>
          <w:sz w:val="18"/>
          <w:szCs w:val="18"/>
          <w:color w:val="auto"/>
        </w:rPr>
      </w:pPr>
    </w:p>
    <w:p>
      <w:pPr>
        <w:ind w:left="980" w:hanging="648"/>
        <w:spacing w:after="0" w:line="279"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Current Reports on Form 8-K filed on January 6, 2021, January 15, 2021, January 22, 2021, February 10, 2021, February 11, 2021, February 16, 2021, February 23, 2021, February 26, 2021, March 4, 2021, March 16, 2021, April 13, 2021, April 28, 2021 (solely with respect to Item 8.01), May 7, 2021 (solely with respect to Item 5.02), May 11, 2021, May 25, 2021, May 27, 2021, June 2, 2021, June 15, 2021, June 25, 2021, July 14, 2021, August 11, 2021, August 17, 2021, August 25, 2021 and August 31, 2021;</w:t>
      </w:r>
    </w:p>
    <w:p>
      <w:pPr>
        <w:spacing w:after="0" w:line="171" w:lineRule="exact"/>
        <w:rPr>
          <w:rFonts w:ascii="Arial" w:cs="Arial" w:eastAsia="Arial" w:hAnsi="Arial"/>
          <w:sz w:val="17"/>
          <w:szCs w:val="17"/>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Definitive Proxy Statement on Schedule 14A filed on July 8, 2021;</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Registrant’s Common Stock contained in the Registrant’s Current Report on Form 8-K filed on August 31, 2021.</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documents filed by the Registrant with the Commission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the filing of such documents.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the extent that any information contained in any Current Report on Form 8-K, or any exhibit thereto, is or was furnished to, rather than filed with, the Commission, such information or exhibit is specifically not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Nevada Revised Statutes provide that a corporation may indemnify its officers and directors against expenses, including attorneys' fees, judgments, fines and amounts paid in settlement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or not opposed to the best interests of the corporation and, with respect to any criminal actions, had no reasonable cause to believe his or her conduct was unlawful. A corporation may indemnify its officers and directors against expenses, including amounts paid in settlement and attorneys’ fees,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or not opposed to the best interests of the corporation. The Nevada Revised Statutes further provide that a corporation generally may not indemnify an officer or director if it is determined by a court that such officer or director is liable to the corporation or responsible for any amounts paid to the corporation in settlement, unless a court also determines that the officer or director is fairly and reasonably entitled to indemnification in light of all of the relevant facts and circumstances. The Nevada Revised Statutes require a corporation to indemnify an officer or director against expenses actually and reasonably incurred by the person in connection with defending the action, including, without limitation, attorney's fees, to the extent he or she is successful on the merits or otherwise successfully defends the action.</w:t>
      </w:r>
    </w:p>
    <w:p>
      <w:pPr>
        <w:spacing w:after="0" w:line="1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Registrant’s bylaws provide that it will indemnify its directors and officers to the fullest extent permitted by Nevada law, including in circumstances in which indemnification otherwise would be discretionary under Nevada law as described above. The Registrant’s bylaws also provide that the Registrant must pay a director’s or officer’s expenses as they are incurred and in advance of the final disposition of the proceeding, upon receipt of an undertaking by or on behalf of the director or officer to repay the amount if it is ultimately determined by a court of competent jurisdiction that he or she is not entitled to be indemnified by the Registrant. In addition, the Registrant has purchased insurance covering its directors and officers (subject to certain exceptions and deductions) against liabilities which they may incur in their capacity as such.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exhibits are filed as part of this Registration Statement or, where so indicated have been previously filed and are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gridSpan w:val="14"/>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80" w:type="dxa"/>
            <w:vAlign w:val="bottom"/>
            <w:tcBorders>
              <w:top w:val="single" w:sz="8" w:color="auto"/>
              <w:bottom w:val="single" w:sz="8" w:color="0000EE"/>
            </w:tcBorders>
            <w:gridSpan w:val="13"/>
            <w:shd w:val="clear" w:color="auto" w:fill="CCEEFF"/>
          </w:tcPr>
          <w:p>
            <w:pPr>
              <w:spacing w:after="0" w:line="169"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Articles of Incorporation of the Registrant (incorporated by reference to Exhibit 3.1 of the Registrant’s Registration Statement on Form S-1,</w:t>
              </w:r>
            </w:hyperlink>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92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as filed with the Commission on November 12, 2008).</w:t>
              </w:r>
            </w:hyperlink>
          </w:p>
        </w:tc>
        <w:tc>
          <w:tcPr>
            <w:tcW w:w="6180" w:type="dxa"/>
            <w:vAlign w:val="bottom"/>
            <w:tcBorders>
              <w:bottom w:val="single" w:sz="8" w:color="CCEEFF"/>
            </w:tcBorders>
            <w:gridSpan w:val="10"/>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10060" w:type="dxa"/>
            <w:vAlign w:val="bottom"/>
            <w:tcBorders>
              <w:bottom w:val="single" w:sz="8" w:color="0000EE"/>
            </w:tcBorders>
            <w:gridSpan w:val="12"/>
          </w:tcPr>
          <w:p>
            <w:pPr>
              <w:spacing w:after="0" w:line="17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Certificate of Correction of the Registrant, dated April 30, 2018 (incorporated by reference to Exhibit 3.5 of the Registrant’s Annual Report</w:t>
              </w:r>
            </w:hyperlink>
          </w:p>
        </w:tc>
        <w:tc>
          <w:tcPr>
            <w:tcW w:w="40" w:type="dxa"/>
            <w:vAlign w:val="bottom"/>
            <w:gridSpan w:val="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on Form 10-K for the fiscal year ended December 31, 2018, as filed with the Commission on March 12, 2019).</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Second Amended and Restated Bylaws of the Registrant (incorporated by reference to Exhibit 3.1 of the Registrant’s Current Report on</w:t>
              </w:r>
            </w:hyperlink>
          </w:p>
        </w:tc>
        <w:tc>
          <w:tcPr>
            <w:tcW w:w="320" w:type="dxa"/>
            <w:vAlign w:val="bottom"/>
            <w:tcBorders>
              <w:bottom w:val="single" w:sz="8" w:color="CCEEFF"/>
            </w:tcBorders>
            <w:gridSpan w:val="4"/>
            <w:shd w:val="clear" w:color="auto" w:fill="CCEEFF"/>
          </w:tcPr>
          <w:p>
            <w:pPr>
              <w:spacing w:after="0"/>
              <w:rPr>
                <w:sz w:val="15"/>
                <w:szCs w:val="15"/>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Form 8-K, as filed with the Commission on June 25, 2021).</w:t>
              </w:r>
            </w:hyperlink>
          </w:p>
        </w:tc>
        <w:tc>
          <w:tcPr>
            <w:tcW w:w="5800" w:type="dxa"/>
            <w:vAlign w:val="bottom"/>
            <w:tcBorders>
              <w:bottom w:val="single" w:sz="8" w:color="CCEEFF"/>
            </w:tcBorders>
            <w:gridSpan w:val="7"/>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10040" w:type="dxa"/>
            <w:vAlign w:val="bottom"/>
            <w:tcBorders>
              <w:bottom w:val="single" w:sz="8" w:color="0000EE"/>
            </w:tcBorders>
            <w:gridSpan w:val="11"/>
          </w:tcPr>
          <w:p>
            <w:pPr>
              <w:spacing w:after="0" w:line="17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OptimizeRx Corporation 2021 Equity Incentive Plan (incorporated by reference to Exhibit 10.1 of the Registrant’s Current Report on Form</w:t>
              </w:r>
            </w:hyperlink>
          </w:p>
        </w:tc>
        <w:tc>
          <w:tcPr>
            <w:tcW w:w="60" w:type="dxa"/>
            <w:vAlign w:val="bottom"/>
            <w:gridSpan w:val="3"/>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8-K, as filed with the Commission on August 25,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Opinion of The Doney Law Firm.</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Borders>
              <w:top w:val="single" w:sz="8" w:color="CCEEFF"/>
            </w:tcBorders>
          </w:tcPr>
          <w:p>
            <w:pPr>
              <w:spacing w:after="0"/>
              <w:rPr>
                <w:sz w:val="15"/>
                <w:szCs w:val="15"/>
                <w:color w:val="auto"/>
              </w:rPr>
            </w:pPr>
          </w:p>
        </w:tc>
        <w:tc>
          <w:tcPr>
            <w:tcW w:w="244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Consent of UHY LLP.</w:t>
              </w:r>
            </w:hyperlink>
          </w:p>
        </w:tc>
        <w:tc>
          <w:tcPr>
            <w:tcW w:w="7660" w:type="dxa"/>
            <w:vAlign w:val="bottom"/>
            <w:tcBorders>
              <w:top w:val="single" w:sz="8" w:color="CCEEFF"/>
            </w:tcBorders>
            <w:gridSpan w:val="11"/>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Consent of Marcum LLP.</w:t>
              </w:r>
            </w:hyperlink>
          </w:p>
        </w:tc>
        <w:tc>
          <w:tcPr>
            <w:tcW w:w="8260" w:type="dxa"/>
            <w:vAlign w:val="bottom"/>
            <w:tcBorders>
              <w:bottom w:val="single" w:sz="8" w:color="CCEEFF"/>
            </w:tcBorders>
            <w:gridSpan w:val="1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23.3</w:t>
            </w:r>
          </w:p>
        </w:tc>
        <w:tc>
          <w:tcPr>
            <w:tcW w:w="120" w:type="dxa"/>
            <w:vAlign w:val="bottom"/>
          </w:tcPr>
          <w:p>
            <w:pPr>
              <w:spacing w:after="0"/>
              <w:rPr>
                <w:sz w:val="15"/>
                <w:szCs w:val="15"/>
                <w:color w:val="auto"/>
              </w:rPr>
            </w:pPr>
          </w:p>
        </w:tc>
        <w:tc>
          <w:tcPr>
            <w:tcW w:w="10100" w:type="dxa"/>
            <w:vAlign w:val="bottom"/>
            <w:gridSpan w:val="14"/>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Consent of The Doney Law Firm (included in Exhibit 5.1).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the signature page of this Registration Statement).</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1960" w:hanging="656"/>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960" w:hanging="656"/>
        <w:spacing w:after="0" w:line="291"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6" w:lineRule="exact"/>
        <w:rPr>
          <w:rFonts w:ascii="Arial" w:cs="Arial" w:eastAsia="Arial" w:hAnsi="Arial"/>
          <w:sz w:val="16"/>
          <w:szCs w:val="16"/>
          <w:color w:val="auto"/>
        </w:rPr>
      </w:pPr>
    </w:p>
    <w:p>
      <w:pPr>
        <w:ind w:left="1960" w:right="700" w:hanging="656"/>
        <w:spacing w:after="0" w:line="277" w:lineRule="auto"/>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84" w:lineRule="exact"/>
        <w:rPr>
          <w:sz w:val="20"/>
          <w:szCs w:val="20"/>
          <w:color w:val="auto"/>
        </w:rPr>
      </w:pPr>
    </w:p>
    <w:p>
      <w:pPr>
        <w:jc w:val="both"/>
        <w:ind w:left="1300" w:right="180" w:hanging="644"/>
        <w:spacing w:after="0" w:line="263"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300" w:right="26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right="20" w:hanging="652"/>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660" w:right="80" w:hanging="652"/>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20"/>
        <w:spacing w:after="0" w:line="27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Rochester, Michigan, on this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August, 2021.</w:t>
      </w:r>
    </w:p>
    <w:p>
      <w:pPr>
        <w:spacing w:after="0" w:line="4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Each of the undersigned officers and directors of the Company hereby constitutes and appoints Marion Odence-Ford as his or her true and lawful attorney-in-fact and agent, severally, with full power of substitution and resubstitution, in his or her name and on his or her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he or she might or could do in person, thereby ratifying and confirming all that said attorney-in-fact and agent, or her substitute, may lawfully do or cause to be done.</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August 31,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Febbo</w:t>
            </w:r>
          </w:p>
        </w:tc>
      </w:tr>
      <w:tr>
        <w:trPr>
          <w:trHeight w:val="202"/>
        </w:trPr>
        <w:tc>
          <w:tcPr>
            <w:tcW w:w="676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William Febbo</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439"/>
        </w:trPr>
        <w:tc>
          <w:tcPr>
            <w:tcW w:w="6760" w:type="dxa"/>
            <w:vAlign w:val="bottom"/>
          </w:tcPr>
          <w:p>
            <w:pPr>
              <w:spacing w:after="0"/>
              <w:rPr>
                <w:sz w:val="20"/>
                <w:szCs w:val="20"/>
                <w:color w:val="auto"/>
              </w:rPr>
            </w:pPr>
            <w:r>
              <w:rPr>
                <w:rFonts w:ascii="Arial" w:cs="Arial" w:eastAsia="Arial" w:hAnsi="Arial"/>
                <w:sz w:val="18"/>
                <w:szCs w:val="18"/>
                <w:color w:val="auto"/>
              </w:rPr>
              <w:t>August 31,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Baker</w:t>
            </w:r>
          </w:p>
        </w:tc>
      </w:tr>
      <w:tr>
        <w:trPr>
          <w:trHeight w:val="202"/>
        </w:trPr>
        <w:tc>
          <w:tcPr>
            <w:tcW w:w="676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Douglas Baker</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39"/>
        </w:trPr>
        <w:tc>
          <w:tcPr>
            <w:tcW w:w="6760" w:type="dxa"/>
            <w:vAlign w:val="bottom"/>
          </w:tcPr>
          <w:p>
            <w:pPr>
              <w:spacing w:after="0"/>
              <w:rPr>
                <w:sz w:val="20"/>
                <w:szCs w:val="20"/>
                <w:color w:val="auto"/>
              </w:rPr>
            </w:pPr>
            <w:r>
              <w:rPr>
                <w:rFonts w:ascii="Arial" w:cs="Arial" w:eastAsia="Arial" w:hAnsi="Arial"/>
                <w:sz w:val="18"/>
                <w:szCs w:val="18"/>
                <w:color w:val="auto"/>
              </w:rPr>
              <w:t>August 31,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O’Connor Vos</w:t>
            </w:r>
          </w:p>
        </w:tc>
      </w:tr>
      <w:tr>
        <w:trPr>
          <w:trHeight w:val="202"/>
        </w:trPr>
        <w:tc>
          <w:tcPr>
            <w:tcW w:w="676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Lynn O’Connor Vos</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w:t>
            </w:r>
          </w:p>
        </w:tc>
      </w:tr>
      <w:tr>
        <w:trPr>
          <w:trHeight w:val="439"/>
        </w:trPr>
        <w:tc>
          <w:tcPr>
            <w:tcW w:w="6760" w:type="dxa"/>
            <w:vAlign w:val="bottom"/>
          </w:tcPr>
          <w:p>
            <w:pPr>
              <w:spacing w:after="0"/>
              <w:rPr>
                <w:sz w:val="20"/>
                <w:szCs w:val="20"/>
                <w:color w:val="auto"/>
              </w:rPr>
            </w:pPr>
            <w:r>
              <w:rPr>
                <w:rFonts w:ascii="Arial" w:cs="Arial" w:eastAsia="Arial" w:hAnsi="Arial"/>
                <w:sz w:val="18"/>
                <w:szCs w:val="18"/>
                <w:color w:val="auto"/>
              </w:rPr>
              <w:t>August 31,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Spangler</w:t>
            </w:r>
          </w:p>
        </w:tc>
      </w:tr>
      <w:tr>
        <w:trPr>
          <w:trHeight w:val="202"/>
        </w:trPr>
        <w:tc>
          <w:tcPr>
            <w:tcW w:w="676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Patrick Spangler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August 31, 2021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August 31,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James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Lang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Gus D. Halas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Gus D. Halas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Gregory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Gregory Wasson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6040" w:space="720"/>
            <w:col w:w="4480"/>
          </w:cols>
          <w:pgMar w:left="320" w:top="904" w:right="3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154305</wp:posOffset>
            </wp:positionV>
            <wp:extent cx="5057775" cy="763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5777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August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OptimizeRx Corp.,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acted as counsel for OptimizeRx Corp., a Nevada corporation (the "Company"), in connection with the preparation of the registration statement on Form S-8 (the "Registration Statement") to be filed with the Securities and Exchange Commission (the "Commission") pursuant to the Securities Act of 1933, as amended (the "Act"), relating to the offering of 2,500,000 shares of the Company’s common stock (the “Shares”), which may be issued pursuant to the Company’s 2021 Equity Incentive Plan (the “Plan”).</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rendering the opinion set forth below, we have reviewed: (a) the Registration Statement and the exhibits attached thereto; (b) the Company's Articles of Incorporation, as amended; (c) the Company's Bylaws, as amended; (d) certain records of the Company's corporate proceedings as reflected in its minute books including resolutions of the board of directors approving the Plan; (e) the Plan; and (f) such statutes, records and other documents as we have deemed relevant. In our examination, we have assumed the genuineness of all signatures, the authenticity of all documents submitted to us as originals, and conformity with the originals of all documents submitted to us as copies thereof.</w:t>
      </w:r>
    </w:p>
    <w:p>
      <w:pPr>
        <w:spacing w:after="0" w:line="17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Based upon the foregoing, we are of the opinion that the Shares have been validly authorized, and when the Registration Statement has become effective under the Act, such Shares will, when issued pursuant to the terms of the Plan, be legally issued, fully paid and non-assessable shares of the Company’s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P.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P.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inclusion of our name and use of our opinion in connection with the Form S-8 Registration Statement filed with the Securities and Exchange Commission as counsel for the registrant, OptimizeRx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P.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P.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584" w:right="8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We consent to the incorporation by reference in this Registration Statement of OptimizeRx Corporation on Form S-8 of our report dated March 8, 2021, with respect to our audit of the consolidated financial statements of OptimizeRx Corporation and Subsidiaries as of December 31, 2020 and for the year then ended appearing in the Annual Report on Form 10-K of OptimizeRx Corporation and Subsidiaries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Sterling Heights,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2021</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INDEPENDENT REGISTERED PUBLIC ACCOUNTING FIRM’S CONSENT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of OptimizeRx Corporation on Form S-8 of our report dated March 26, 2020, with respect to our audit of the consolidated financial statements of OptimizeRx Corporation as of December 31, 2019 and for the year then ended appearing in the Annual Report on Form 10-K of OptimizeRx Corporation for the year ended December 31, 2020. We were dismissed as auditors on June 22, 2020 and, accordingly, we have not performed any audit or review procedures with respect to any financial statements incorporated by reference in such Prospectus for the periods after the date of our dismissal.</w:t>
      </w:r>
    </w:p>
    <w:p>
      <w:pPr>
        <w:spacing w:after="0" w:line="18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Our report on the consolidated financial statements refers to a change in the Company’s method of accounting for leases in 2019 due to the adoption of ASU No. 2016-02, Leases (Topic 842), as amended, effective January 1, 2019, using the modified retrospective approach.</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31,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2"/>
    </w:lvl>
  </w:abstractNum>
  <w:abstractNum w:abstractNumId="4">
    <w:nsid w:val="46E87C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jpe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8" Type="http://schemas.openxmlformats.org/officeDocument/2006/relationships/hyperlink" Target="http://www.sec.gov/Archives/edgar/data/1448431/000136110608000414/optimizerx_s1-ex0301.htm" TargetMode="External"/><Relationship Id="rId19" Type="http://schemas.openxmlformats.org/officeDocument/2006/relationships/hyperlink" Target="http://www.sec.gov/Archives/edgar/data/1448431/000121390019003962/f10k2018ex3-5_optimizerx.htm" TargetMode="External"/><Relationship Id="rId20" Type="http://schemas.openxmlformats.org/officeDocument/2006/relationships/hyperlink" Target="http://www.sec.gov/Archives/edgar/data/1448431/000121390021034240/ea143323ex3-1_optimizrex.htm" TargetMode="External"/><Relationship Id="rId21" Type="http://schemas.openxmlformats.org/officeDocument/2006/relationships/hyperlink" Target="https://www.sec.gov/Archives/edgar/data/1448431/000121390021044810/ea146392ex10-1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2021-08-31T16:30:07Z</dcterms:created>
  <dcterms:modified xsi:type="dcterms:W3CDTF">2021-08-31T16:30:07Z</dcterms:modified>
</cp:coreProperties>
</file>