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4, 2019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40" w:type="dxa"/>
            <w:vAlign w:val="bottom"/>
            <w:gridSpan w:val="4"/>
          </w:tcPr>
          <w:p>
            <w:pPr>
              <w:jc w:val="right"/>
              <w:ind w:right="1320"/>
              <w:spacing w:after="0"/>
              <w:rPr>
                <w:sz w:val="20"/>
                <w:szCs w:val="20"/>
                <w:color w:val="auto"/>
              </w:rPr>
            </w:pPr>
            <w:r>
              <w:rPr>
                <w:rFonts w:ascii="Arial" w:cs="Arial" w:eastAsia="Arial" w:hAnsi="Arial"/>
                <w:sz w:val="18"/>
                <w:szCs w:val="18"/>
                <w:color w:val="auto"/>
              </w:rPr>
              <w:t>001-38543</w:t>
            </w:r>
          </w:p>
        </w:tc>
        <w:tc>
          <w:tcPr>
            <w:tcW w:w="334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(Commission File Number)</w:t>
            </w:r>
          </w:p>
        </w:tc>
        <w:tc>
          <w:tcPr>
            <w:tcW w:w="3340" w:type="dxa"/>
            <w:vAlign w:val="bottom"/>
            <w:gridSpan w:val="5"/>
          </w:tcPr>
          <w:p>
            <w:pPr>
              <w:jc w:val="center"/>
              <w:ind w:left="65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6"/>
          </w:tcPr>
          <w:p>
            <w:pPr>
              <w:jc w:val="center"/>
              <w:ind w:right="2040"/>
              <w:spacing w:after="0"/>
              <w:rPr>
                <w:sz w:val="20"/>
                <w:szCs w:val="20"/>
                <w:color w:val="auto"/>
              </w:rPr>
            </w:pPr>
            <w:r>
              <w:rPr>
                <w:rFonts w:ascii="Arial" w:cs="Arial" w:eastAsia="Arial" w:hAnsi="Arial"/>
                <w:sz w:val="18"/>
                <w:szCs w:val="18"/>
                <w:color w:val="auto"/>
                <w:w w:val="89"/>
              </w:rPr>
              <w:t>400 Water Street, Suite 200, Rochester, MI</w:t>
            </w:r>
          </w:p>
        </w:tc>
        <w:tc>
          <w:tcPr>
            <w:tcW w:w="248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2"/>
            <w:shd w:val="clear" w:color="auto" w:fill="000000"/>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gridSpan w:val="3"/>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78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March 4, 2019, we issued a press release announcing our invitation to present at the 31st Annual ROTH Conference being held at The Ritz Carlton, Laguna Niguel in Orange County, California, on March 17-19, 2019.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4, 2019</w:t>
        </w:r>
      </w:hyperlink>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2019</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302895</wp:posOffset>
            </wp:positionV>
            <wp:extent cx="18954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the 31st Annual ROTH Conference on March 17-19, 2019; Pre-Conference Webcast Available March 11</w:t>
      </w:r>
    </w:p>
    <w:p>
      <w:pPr>
        <w:spacing w:after="0" w:line="22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ROCHESTER, Mich., (March 4, 2019) — </w:t>
      </w:r>
      <w:r>
        <w:rPr>
          <w:rFonts w:ascii="Arial" w:cs="Arial" w:eastAsia="Arial" w:hAnsi="Arial"/>
          <w:sz w:val="18"/>
          <w:szCs w:val="18"/>
          <w:color w:val="auto"/>
        </w:rPr>
        <w:t>OptimizeRx Corp. (NASDAQ: OPRX), a leading digital health messaging platform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has been invited to present at the 31st Annual ROTH Conference being held at The Ritz Carlton, Laguna Niguel in Orange County, California, on March 17-19, 2019.</w:t>
      </w:r>
    </w:p>
    <w:p>
      <w:pPr>
        <w:spacing w:after="0" w:line="18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conference will feature presentations from public and private companies across a variety of industry sectors. Last year, the ROTH Conference hosted close to 550 participating companies and more than 4,700 attendees, including institutional investors, analysts, family offices and high net worth investors.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OptimizeRx CEO, Will Febbo, is scheduled to present in one-on-one meetings with institutional analysts and investors held throughout the day on March 18-</w:t>
      </w:r>
    </w:p>
    <w:p>
      <w:pPr>
        <w:spacing w:after="0" w:line="46" w:lineRule="exact"/>
        <w:rPr>
          <w:sz w:val="20"/>
          <w:szCs w:val="20"/>
          <w:color w:val="auto"/>
        </w:rPr>
      </w:pPr>
    </w:p>
    <w:p>
      <w:pPr>
        <w:jc w:val="both"/>
        <w:ind w:right="120" w:firstLine="8"/>
        <w:spacing w:after="0" w:line="255"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 will discuss a number of topics, including the company’s record results for the fourth quarter of 2018, the acquisition of CareSpeak Communications, and growth of the company’s digital health platform. The network has become the largest of its kind, now reaching more than half of the ambulatory patient market in the U.S.</w:t>
      </w:r>
    </w:p>
    <w:p>
      <w:pPr>
        <w:spacing w:after="0" w:line="1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recently reported its seventh sequential quarter of revenue growth, driving 2018 revenue up 75% to a record $21.2 million and the company’s first year of profitability. The company plans to maintain a gross margin target of at least 55% in 2019, as new digital health messaging pharma clients and programs ramp up.</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ROTH will host a pre-recorded webcast of the company’s presentation, which will be available on the conference website here and in the investor section of the company’s website under “Event Calendar,” beginning on March 11.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OptimizeRx management is scheduled to participate in a panel, “Enterprise Messaging Trends &amp; Strategies” at 11:00 a.m. Pacific time on Tuesday, March 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co-host the panel with LivePerson, a leading provider of conversational commerce solutions.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 schedule a one-on-one meeting with OptimizeRx, please contact your ROTH representative. For any questions about the company, contact Ron Both of CMA at (949) 432-7557 or submit your request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Roth Capital Partners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ROTH Capital Partners, LLC (ROTH), is a relationship-driven investment bank focused on serving emerging growth companies and their investors. As a full-service investment bank, ROTH provides capital raising, M&amp;A advisory, analytical research, trading, market-making services and corporate access. Headquartered in Newport Beach, CA, ROTH is privately-held and employee owned, and maintains offices throughout the U.S. For more information on ROTH, please visit www.roth.com.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industry, OptimizeRx provides a direct channel for pharma companies to communicate with healthcare providers right within their workflow and also directly to patients.</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2019-12-28T15:22:49Z</dcterms:created>
  <dcterms:modified xsi:type="dcterms:W3CDTF">2019-12-28T15:22:49Z</dcterms:modified>
</cp:coreProperties>
</file>