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jc w:val="center"/>
        <w:ind w:left="3980" w:right="1640" w:hanging="2340"/>
        <w:spacing w:after="0" w:line="481" w:lineRule="auto"/>
        <w:tabs>
          <w:tab w:leader="none" w:pos="183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2021</w:t>
      </w:r>
    </w:p>
    <w:p>
      <w:pPr>
        <w:spacing w:after="0" w:line="34" w:lineRule="exact"/>
        <w:rPr>
          <w:rFonts w:ascii="MS PGothic" w:cs="MS PGothic" w:eastAsia="MS PGothic" w:hAnsi="MS PGothic"/>
          <w:sz w:val="18"/>
          <w:szCs w:val="18"/>
          <w:color w:val="auto"/>
        </w:rPr>
      </w:pPr>
    </w:p>
    <w:p>
      <w:pPr>
        <w:ind w:left="1680" w:hanging="200"/>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w:t>
      </w:r>
    </w:p>
    <w:p>
      <w:pPr>
        <w:spacing w:after="0" w:line="225"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For the transition period from _________ to 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b w:val="1"/>
                <w:bCs w:val="1"/>
                <w:color w:val="auto"/>
                <w:w w:val="90"/>
              </w:rPr>
              <w:t>Nevada</w:t>
            </w:r>
          </w:p>
        </w:tc>
        <w:tc>
          <w:tcPr>
            <w:tcW w:w="1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3900" w:type="dxa"/>
            <w:vAlign w:val="bottom"/>
            <w:gridSpan w:val="3"/>
          </w:tcPr>
          <w:p>
            <w:pPr>
              <w:jc w:val="center"/>
              <w:ind w:left="149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900" w:type="dxa"/>
            <w:vAlign w:val="bottom"/>
            <w:gridSpan w:val="3"/>
          </w:tcPr>
          <w:p>
            <w:pPr>
              <w:jc w:val="center"/>
              <w:ind w:left="1530"/>
              <w:spacing w:after="0"/>
              <w:rPr>
                <w:sz w:val="20"/>
                <w:szCs w:val="20"/>
                <w:color w:val="auto"/>
              </w:rPr>
            </w:pPr>
            <w:r>
              <w:rPr>
                <w:rFonts w:ascii="Arial" w:cs="Arial" w:eastAsia="Arial" w:hAnsi="Arial"/>
                <w:sz w:val="18"/>
                <w:szCs w:val="18"/>
                <w:color w:val="auto"/>
                <w:w w:val="92"/>
              </w:rPr>
              <w:t>incorporation or organization)</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900" w:type="dxa"/>
            <w:vAlign w:val="bottom"/>
            <w:gridSpan w:val="3"/>
          </w:tcPr>
          <w:p>
            <w:pPr>
              <w:jc w:val="center"/>
              <w:ind w:left="1490"/>
              <w:spacing w:after="0"/>
              <w:rPr>
                <w:sz w:val="20"/>
                <w:szCs w:val="20"/>
                <w:color w:val="auto"/>
              </w:rPr>
            </w:pPr>
            <w:r>
              <w:rPr>
                <w:rFonts w:ascii="Arial" w:cs="Arial" w:eastAsia="Arial" w:hAnsi="Arial"/>
                <w:sz w:val="18"/>
                <w:szCs w:val="18"/>
                <w:b w:val="1"/>
                <w:bCs w:val="1"/>
                <w:color w:val="auto"/>
                <w:w w:val="91"/>
              </w:rPr>
              <w:t>400 Water Street, Ste. 200</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3900" w:type="dxa"/>
            <w:vAlign w:val="bottom"/>
            <w:tcBorders>
              <w:bottom w:val="single" w:sz="8" w:color="auto"/>
            </w:tcBorders>
            <w:gridSpan w:val="3"/>
          </w:tcPr>
          <w:p>
            <w:pPr>
              <w:jc w:val="center"/>
              <w:ind w:left="1530"/>
              <w:spacing w:after="0"/>
              <w:rPr>
                <w:sz w:val="20"/>
                <w:szCs w:val="20"/>
                <w:color w:val="auto"/>
              </w:rPr>
            </w:pPr>
            <w:r>
              <w:rPr>
                <w:rFonts w:ascii="Arial" w:cs="Arial" w:eastAsia="Arial" w:hAnsi="Arial"/>
                <w:sz w:val="18"/>
                <w:szCs w:val="18"/>
                <w:b w:val="1"/>
                <w:bCs w:val="1"/>
                <w:color w:val="auto"/>
                <w:w w:val="91"/>
              </w:rPr>
              <w:t>Rochester, MI</w:t>
            </w:r>
          </w:p>
        </w:tc>
        <w:tc>
          <w:tcPr>
            <w:tcW w:w="1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Registrant’s telephone number: 248</w:t>
            </w:r>
            <w:r>
              <w:rPr>
                <w:rFonts w:ascii="Arial" w:cs="Arial" w:eastAsia="Arial" w:hAnsi="Arial"/>
                <w:sz w:val="18"/>
                <w:szCs w:val="18"/>
                <w:b w:val="1"/>
                <w:bCs w:val="1"/>
                <w:color w:val="auto"/>
                <w:w w:val="90"/>
              </w:rPr>
              <w:t>-651-6568</w:t>
            </w:r>
          </w:p>
        </w:tc>
        <w:tc>
          <w:tcPr>
            <w:tcW w:w="3600" w:type="dxa"/>
            <w:vAlign w:val="bottom"/>
          </w:tcPr>
          <w:p>
            <w:pPr>
              <w:spacing w:after="0"/>
              <w:rPr>
                <w:sz w:val="24"/>
                <w:szCs w:val="24"/>
                <w:color w:val="auto"/>
              </w:rPr>
            </w:pPr>
          </w:p>
        </w:tc>
      </w:tr>
      <w:tr>
        <w:trPr>
          <w:trHeight w:val="432"/>
        </w:trPr>
        <w:tc>
          <w:tcPr>
            <w:tcW w:w="11240" w:type="dxa"/>
            <w:vAlign w:val="bottom"/>
            <w:gridSpan w:val="8"/>
          </w:tcPr>
          <w:p>
            <w:pPr>
              <w:jc w:val="center"/>
              <w:spacing w:after="0"/>
              <w:rPr>
                <w:sz w:val="20"/>
                <w:szCs w:val="20"/>
                <w:color w:val="auto"/>
              </w:rPr>
            </w:pPr>
            <w:r>
              <w:rPr>
                <w:rFonts w:ascii="Arial" w:cs="Arial" w:eastAsia="Arial" w:hAnsi="Arial"/>
                <w:sz w:val="18"/>
                <w:szCs w:val="18"/>
                <w:color w:val="auto"/>
                <w:w w:val="90"/>
              </w:rPr>
              <w:t>Securities registered under Section 12(b) of the Exchange Act:</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39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Title of each class</w:t>
            </w:r>
          </w:p>
        </w:tc>
        <w:tc>
          <w:tcPr>
            <w:tcW w:w="37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540" w:type="dxa"/>
            <w:vAlign w:val="bottom"/>
            <w:tcBorders>
              <w:top w:val="single" w:sz="8" w:color="auto"/>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under Section 12(g) of the Exchange Act: None</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55" w:orient="portrait"/>
          <w:cols w:equalWidth="0" w:num="1">
            <w:col w:w="11240"/>
          </w:cols>
          <w:pgMar w:left="320" w:top="517"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55" w:orient="portrait"/>
          <w:cols w:equalWidth="0" w:num="2">
            <w:col w:w="6040" w:space="720"/>
            <w:col w:w="4480"/>
          </w:cols>
          <w:pgMar w:left="320" w:top="517" w:right="339" w:bottom="0" w:gutter="0" w:footer="0" w:header="0"/>
          <w:type w:val="continuous"/>
        </w:sectPr>
      </w:pPr>
    </w:p>
    <w:p>
      <w:pPr>
        <w:spacing w:after="0" w:line="3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$1,030,061,063</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17,875,435 common shares as of February 24, 2022.</w:t>
      </w:r>
    </w:p>
    <w:p>
      <w:pPr>
        <w:sectPr>
          <w:pgSz w:w="11900" w:h="16855" w:orient="portrait"/>
          <w:cols w:equalWidth="0" w:num="1">
            <w:col w:w="11240"/>
          </w:cols>
          <w:pgMar w:left="320" w:top="517"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Certain portions of the registrant’s definitive proxy statement, in connection with its 2022 Annual Meeting of Shareholders, to be filed with the Securities and Exchange Commission within 120 days after December 31,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20" w:type="dxa"/>
            <w:vAlign w:val="bottom"/>
            <w:gridSpan w:val="10"/>
          </w:tcPr>
          <w:p>
            <w:pPr>
              <w:jc w:val="center"/>
              <w:ind w:right="4410"/>
              <w:spacing w:after="0"/>
              <w:rPr>
                <w:sz w:val="20"/>
                <w:szCs w:val="20"/>
                <w:color w:val="auto"/>
              </w:rPr>
            </w:pPr>
            <w:r>
              <w:rPr>
                <w:rFonts w:ascii="Arial" w:cs="Arial" w:eastAsia="Arial" w:hAnsi="Arial"/>
                <w:sz w:val="18"/>
                <w:szCs w:val="18"/>
                <w:color w:val="auto"/>
                <w:w w:val="95"/>
              </w:rPr>
              <w:t>TABLE OF CONTENTS</w:t>
            </w:r>
          </w:p>
        </w:tc>
      </w:tr>
      <w:tr>
        <w:trPr>
          <w:trHeight w:val="459"/>
        </w:trPr>
        <w:tc>
          <w:tcPr>
            <w:tcW w:w="8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spacing w:after="0"/>
              <w:rPr>
                <w:sz w:val="24"/>
                <w:szCs w:val="24"/>
                <w:color w:val="auto"/>
              </w:rPr>
            </w:pPr>
          </w:p>
        </w:tc>
        <w:tc>
          <w:tcPr>
            <w:tcW w:w="37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Page</w:t>
            </w:r>
          </w:p>
        </w:tc>
      </w:tr>
      <w:tr>
        <w:trPr>
          <w:trHeight w:val="183"/>
        </w:trPr>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920" w:type="dxa"/>
            <w:vAlign w:val="bottom"/>
            <w:gridSpan w:val="6"/>
            <w:shd w:val="clear" w:color="auto" w:fill="CCEEFF"/>
          </w:tcPr>
          <w:p>
            <w:pPr>
              <w:jc w:val="center"/>
              <w:ind w:right="4300"/>
              <w:spacing w:after="0" w:line="162" w:lineRule="exact"/>
              <w:rPr>
                <w:sz w:val="20"/>
                <w:szCs w:val="20"/>
                <w:color w:val="auto"/>
              </w:rPr>
            </w:pPr>
            <w:r>
              <w:rPr>
                <w:rFonts w:ascii="Arial" w:cs="Arial" w:eastAsia="Arial" w:hAnsi="Arial"/>
                <w:sz w:val="18"/>
                <w:szCs w:val="18"/>
                <w:color w:val="0000EE"/>
                <w:w w:val="92"/>
              </w:rPr>
              <w:t>PART I</w:t>
            </w:r>
          </w:p>
        </w:tc>
        <w:tc>
          <w:tcPr>
            <w:tcW w:w="1000" w:type="dxa"/>
            <w:vAlign w:val="bottom"/>
            <w:shd w:val="clear" w:color="auto" w:fill="CCEEFF"/>
          </w:tcPr>
          <w:p>
            <w:pPr>
              <w:spacing w:after="0"/>
              <w:rPr>
                <w:sz w:val="15"/>
                <w:szCs w:val="15"/>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368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0000EE"/>
              </w:rPr>
              <w:t>Risk Factors</w:t>
            </w:r>
          </w:p>
        </w:tc>
        <w:tc>
          <w:tcPr>
            <w:tcW w:w="6720" w:type="dxa"/>
            <w:vAlign w:val="bottom"/>
            <w:gridSpan w:val="10"/>
            <w:shd w:val="clear" w:color="auto" w:fill="CCEEFF"/>
          </w:tcPr>
          <w:p>
            <w:pPr>
              <w:jc w:val="center"/>
              <w:ind w:left="563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920" w:type="dxa"/>
            <w:vAlign w:val="bottom"/>
            <w:gridSpan w:val="7"/>
            <w:shd w:val="clear" w:color="auto" w:fill="CCEEFF"/>
          </w:tcPr>
          <w:p>
            <w:pPr>
              <w:jc w:val="center"/>
              <w:ind w:right="5230"/>
              <w:spacing w:after="0" w:line="176" w:lineRule="exact"/>
              <w:rPr>
                <w:sz w:val="20"/>
                <w:szCs w:val="20"/>
                <w:color w:val="auto"/>
              </w:rPr>
            </w:pPr>
            <w:r>
              <w:rPr>
                <w:rFonts w:ascii="Arial" w:cs="Arial" w:eastAsia="Arial" w:hAnsi="Arial"/>
                <w:sz w:val="18"/>
                <w:szCs w:val="18"/>
                <w:color w:val="0000EE"/>
                <w:w w:val="95"/>
              </w:rPr>
              <w:t>PART II</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180" w:type="dxa"/>
            <w:vAlign w:val="bottom"/>
            <w:shd w:val="clear" w:color="auto" w:fill="CCEEFF"/>
          </w:tcPr>
          <w:p>
            <w:pPr>
              <w:spacing w:after="0"/>
              <w:rPr>
                <w:sz w:val="17"/>
                <w:szCs w:val="17"/>
                <w:color w:val="auto"/>
              </w:rPr>
            </w:pPr>
          </w:p>
        </w:tc>
        <w:tc>
          <w:tcPr>
            <w:tcW w:w="35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3"/>
              </w:rPr>
              <w:t>Financial Statements and Supplementary Data</w:t>
            </w:r>
          </w:p>
        </w:tc>
        <w:tc>
          <w:tcPr>
            <w:tcW w:w="6720" w:type="dxa"/>
            <w:vAlign w:val="bottom"/>
            <w:gridSpan w:val="10"/>
            <w:shd w:val="clear" w:color="auto" w:fill="CCEEFF"/>
          </w:tcPr>
          <w:p>
            <w:pPr>
              <w:jc w:val="center"/>
              <w:ind w:left="5650"/>
              <w:spacing w:after="0" w:line="176" w:lineRule="exact"/>
              <w:rPr>
                <w:sz w:val="20"/>
                <w:szCs w:val="20"/>
                <w:color w:val="auto"/>
              </w:rPr>
            </w:pPr>
            <w:r>
              <w:rPr>
                <w:rFonts w:ascii="Arial" w:cs="Arial" w:eastAsia="Arial" w:hAnsi="Arial"/>
                <w:sz w:val="18"/>
                <w:szCs w:val="18"/>
                <w:color w:val="auto"/>
                <w:w w:val="89"/>
              </w:rPr>
              <w:t>10</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9A.</w:t>
            </w:r>
          </w:p>
        </w:tc>
        <w:tc>
          <w:tcPr>
            <w:tcW w:w="18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Controls and Procedures</w:t>
            </w:r>
          </w:p>
        </w:tc>
        <w:tc>
          <w:tcPr>
            <w:tcW w:w="18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gridSpan w:val="10"/>
          </w:tcPr>
          <w:p>
            <w:pPr>
              <w:jc w:val="center"/>
              <w:ind w:left="5630"/>
              <w:spacing w:after="0" w:line="176" w:lineRule="exact"/>
              <w:rPr>
                <w:sz w:val="20"/>
                <w:szCs w:val="20"/>
                <w:color w:val="auto"/>
              </w:rPr>
            </w:pPr>
            <w:r>
              <w:rPr>
                <w:rFonts w:ascii="Arial" w:cs="Arial" w:eastAsia="Arial" w:hAnsi="Arial"/>
                <w:sz w:val="18"/>
                <w:szCs w:val="18"/>
                <w:color w:val="auto"/>
                <w:w w:val="79"/>
              </w:rPr>
              <w:t>11</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520" w:type="dxa"/>
            <w:vAlign w:val="bottom"/>
            <w:gridSpan w:val="9"/>
          </w:tcPr>
          <w:p>
            <w:pPr>
              <w:jc w:val="center"/>
              <w:ind w:right="4610"/>
              <w:spacing w:after="0" w:line="176" w:lineRule="exact"/>
              <w:rPr>
                <w:sz w:val="20"/>
                <w:szCs w:val="20"/>
                <w:color w:val="auto"/>
              </w:rPr>
            </w:pPr>
            <w:r>
              <w:rPr>
                <w:rFonts w:ascii="Arial" w:cs="Arial" w:eastAsia="Arial" w:hAnsi="Arial"/>
                <w:sz w:val="18"/>
                <w:szCs w:val="18"/>
                <w:color w:val="0000EE"/>
                <w:w w:val="94"/>
              </w:rPr>
              <w:t>PART IV</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3680" w:type="dxa"/>
            <w:vAlign w:val="bottom"/>
            <w:gridSpan w:val="6"/>
          </w:tcPr>
          <w:p>
            <w:pPr>
              <w:ind w:left="180"/>
              <w:spacing w:after="0" w:line="176" w:lineRule="exact"/>
              <w:rPr>
                <w:sz w:val="20"/>
                <w:szCs w:val="20"/>
                <w:color w:val="auto"/>
              </w:rPr>
            </w:pPr>
            <w:r>
              <w:rPr>
                <w:rFonts w:ascii="Arial" w:cs="Arial" w:eastAsia="Arial" w:hAnsi="Arial"/>
                <w:sz w:val="18"/>
                <w:szCs w:val="18"/>
                <w:color w:val="0000EE"/>
                <w:w w:val="99"/>
              </w:rPr>
              <w:t>Exhibits and Financial Statement Schedules</w:t>
            </w:r>
          </w:p>
        </w:tc>
        <w:tc>
          <w:tcPr>
            <w:tcW w:w="6720" w:type="dxa"/>
            <w:vAlign w:val="bottom"/>
            <w:gridSpan w:val="10"/>
          </w:tcPr>
          <w:p>
            <w:pPr>
              <w:jc w:val="center"/>
              <w:ind w:left="5650"/>
              <w:spacing w:after="0" w:line="176" w:lineRule="exact"/>
              <w:rPr>
                <w:sz w:val="20"/>
                <w:szCs w:val="20"/>
                <w:color w:val="auto"/>
              </w:rPr>
            </w:pPr>
            <w:r>
              <w:rPr>
                <w:rFonts w:ascii="Arial" w:cs="Arial" w:eastAsia="Arial" w:hAnsi="Arial"/>
                <w:sz w:val="18"/>
                <w:szCs w:val="18"/>
                <w:color w:val="auto"/>
                <w:w w:val="89"/>
              </w:rPr>
              <w:t>13</w:t>
            </w:r>
          </w:p>
        </w:tc>
      </w:tr>
      <w:tr>
        <w:trPr>
          <w:trHeight w:val="675"/>
        </w:trPr>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6"/>
          </w:tcPr>
          <w:p>
            <w:pPr>
              <w:jc w:val="center"/>
              <w:ind w:right="5270"/>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1240"/>
          </w:cols>
          <w:pgMar w:left="320" w:top="8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OptimizeRx Corporation is filing this Amendment No. 1 on Form 10-K/A (“Amendment No. 1”) to its Annual Report on Form 10-K for the year ended December 31, 2021, originally filed with the Securities and Exchange Commission (SEC) on February 28, 2022 (the “Original Filing”) to address management’s re-evaluation of our disclosure controls and procedures, internal control over financial reporting and to reflect the identification of a material weakness. The material weakness did not result in any change to the Company’s consolidated financial statements as set forth in the Original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is limited in scope to make the following changes to the Original Filing:</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 - Item 1A. Risk Factors to amend a risk factor regarding the potential adverse impact material weaknesses could have on our timely and accurate reporting of financial results.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II - Item 8. Financial Statements and Supplementary Data to include UHY’s reissued adverse audit report on the effectiveness of the Company’s internal control over financial reporting as of December 31, 2021 dated February 28, 2022, except as to the restatement of the effectiveness of internal control over financial reporting which is as of March 10, 2023.</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II - Item 9A. Controls and Procedures to reflect management’s (i) re-evaluation of our disclosure controls and procedures and internal control over financial reporting, and (ii) identification of a material weakness.</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amend Part IV - Item 15. Exhibits and Financial Statement Schedules to include the following currently dated documents: (i) auditor consent, which is filed herewith as Exhibit 23.1, and (ii) certifications from the Company’s Chief Executive Officer and Chief Financial Officer as required by Sections 302 and 906 of the Sarbanes Oxley Act of 2002, which certifications are filed herewith as Exhibits 31.1, 31.2, and 32.1.</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Amendment No. 1 has not been updated or amended to give effect to any subsequent events beyond those that existed as of the original filing date and should thus be read in conjunction with the Original Filing and any of the Company’s other filings with the SEC subsequent to the Original Filing, together with any amendments to those filings. Other than the filing of the information identified above, this amendment does not modify or update the disclosure in the Original Filing in any way. Unless otherwise specified or the context otherwise requires, when used in this Amendment No. 1, the terms “we,” “our,” “us,” “OptimizeRx,” or the “Company” refer to OptimizeRx Corporation and its subsidiaries.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concurrently filing Amendment No. 1 to each of its Quarterly Reports on Form 10-Q for the quarterly periods ended March 31, 2022, June 30, 2022 and September 30,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historically experienced losses, if we are unable to achieve profitability, our financial condition and company could suffer.</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were profitable for the full year of 2021, since the inception of our business we have historically incurred losses as a result of investing in future growth. We incurred losses in 2019 and 2020 as a result of our increased spending to build the organization to support expected future growth – both through additional new hires, as well as through acquisitions. While we have increased revenues significantly,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pandemic may disrupt our business or the business of our customers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a novel strain of corona virus, which causes the infectious disease known as COVID-19 was reported. The World Health Organization declared COVID-19 a Public Health Emergency and Global Pandemic. COVID-19 has had, and continues to have, a severe impact on economies around the world, in particular in the healthcare industry in which we operate. We have taken steps to modify our business practices and mitigate the impact of the pandemic on us, and may take further precautions as required by government authorities or to protect the health of our employees, customer, and partners - but there can be no assurance that such steps will be successful, or that our business operations, or the operations of our customers or partners will not be materially and adversely affected by the consequences of the pandemic. This could materially impact our results of operations, cash flows,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customer support for our portals may adversely affect our relationships with our customers and harm our financial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Once our solutions are implemented, our customers use our support organization to resolve technical issues relating to our solutions. In addition, we also believe that our success in selling our solutions is highly dependent on our business reputation and on favorable recommendations from our existing customers. Any failure to maintain high-quality customer support, or a market perception that we do not maintain high-quality support, could harm our reputation, adversely affect our ability to maintain existing customers or sell our solutions to existing and prospective customers, and harm our business, operating results and financial condition.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unable to respond quickly enough to accommodate short-term increases in customer demand for support services. Increased customer demand for these services, without corresponding revenues, could also increase costs and adversely affect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revenues are concentrated in less than 50 customers, primarily large pharmaceutical manufacturers. Loss of one or more of our larger customers could have a negative impact on our operating results. In both 2021 and 2020, we had three customers that each represented slightly over 10% of our revenues; however only one customer represented over 10% of our revenues in both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we will continue to depend upon a relatively small number of customers for a significant portion of our total revenues for the foreseeable future. The loss of any of these customers or groups of customers for any reason, or a change of relationship with any of our key customers could cause a material decrease in our total revenues.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and electronic health record systems to generate our revenues received from customers Such arrangements subject us to a number of risks, including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 partners may experience financial, regulatory or operational difficulties, which may impair their ability to focus on and fulfill their contract obligations to 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disputes or disagreements, including the ownership of intellectual property, may occur with one or more of our partners and may lead to lengthy and expensive litigation or arbitration;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changes in a partner’s business strategy may adversely affect a partner’s willingness or ability to satisfy obligations under any such arrangement;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partner could terminate the partnership arrangement, which could negatively impact our ability to sell our solutions and achieve revenues.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need to maintain these relationships as well as diversify them. The inability to do so could adversely impact our business. We generated 53.9% and 52.7% of our revenue through our largest partner in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agreements with electronic prescription platforms and electronic health record systems are subject to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our ability to attract, retain customers, and the loss of existing customers, or failure to attract new ones, could adversely impact our business and future prospects.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work with many leading pharmaceutical companies, medical device manufacturers, associations, and other companies.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pricing model to attract and retain such customers. If we fail to attract new customers or fail to maintain or expand existing relationships in a cost-effective manner, our business and future prospects may be materially and adversely impacted.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including health-related information.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and not directly regulated by HIPAA, our customers or distributors might face significant contractual liability pursuant to such an agreement if the business associate breaches the agreement or causes the Covered Entity to fail to comply with HIPAA. It is possible that HIPAA compliance could become a substantial regulatory burden and expense to our operations as we expand our point of care technology solutions to help patients start and stay on therapies.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operate are competitive, continually evolving and, in some cases, subject to rapid change.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platforms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or changes in governmental funding for healthcare;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ind w:right="20"/>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solutions and services could be affected by:</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solutions and services of the types we provide.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solutions and services will continue to exist at current levels or that we will have adequate technical, financial and marketing resources to react to changes in those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may be impacted by acquisitions. We may not be able to identify suitable acquisition candidates, complete acquisitions or integrate acquisitions successfully.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growth is likely to depend to some degree on our ability to acquire and successfully integrate new businesses. 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has been largely dependent on the skills, experience and efforts of our key employees and the loss of the services of any of our executive officers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could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economic, political, regulatory and other risks arising from our international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Israel and Croatia, may involve risks that could adversely affect our business, including:</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natural or man-made disasters, political, social and economic instability, including wars, terrorism and political unrest, outbreak of disease (such as the recent outbreak of the novel coronavirus, or COVID-19), boycotts, curtailment of trade, and other business restrictions;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United States laws, such as the Foreign Corrupt Practices Act, export controls and economic sanctions, and local laws prohibiting corrupt payments to government officials;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favorable foreign intellectual property laws;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impact revenues and expenses of our international operations and expose us to foreign currency exchange rate risk;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profit repatriation and other restrictions on the transfer of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differing payment processing systems as well as consumer use and acceptance of electronic payment methods, such as payment cards;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different and more stringent user protection, data protection, privacy and other laws;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reliable broadband connectivity and wide area networks in targeted areas for expansion.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failure to manage any of these risks successfully could harm our international operations and our overall business, as well as results of our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in part, on our intellectual property. If we are not able to protect our proprietary rights or if those rights are invalidated or circumvented, our business may be adversely affected.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Global cybersecurity threats can range from uncoordinated individual attempts to gain unauthorized access to our information technology (IT) systems to sophisticated and targeted measures known as advanced persistent threats. While we employ comprehensive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litigation with customers and other parties, loss of trade secrets and other proprietary business data and increased cybersecurity protection and remediation costs, which in turn could adversely affect our competitiveness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is not maintained, shareholders may be unable to sell their shares.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innovations or new solutions and services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of our solutions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establishment of partnerships with other healthcare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results below or exceeding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or addition of any strategic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financial, domestic, international, economic, industry and other market trends or conditions;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We do not expect to pay dividends in the foreseeable future and any return on investment may be limited to the value of our common stock.</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was purchased.</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Anti-takeover” provisions may make it more difficult for a third party to acquire control of us, even if the change in control would be beneficial to shareholders.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Nevada corporation. Anti-takeover provisions in Nevada law and our charter and bylaws could make it more difficult for a third party to acquire control of us. These provisions could adversely affect the market price of the common stock and could reduce the amount that shareholders might receive if the Company is sold. For example, our charter provides that the board of directors may issue preferred stock without shareholder approval. In addition, our bylaws provide that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Failure to remediate the material weakness or any other material weaknesses that we identify in the future could result in material misstatements in our financial statements.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Original Filing, the Company has re-evaluated the effectiveness of the Company’s disclosure controls and procedures and internal control over financial reporting and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 see Item 9A, Controls and Procedures.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F-1</w:t>
            </w:r>
          </w:p>
        </w:tc>
        <w:tc>
          <w:tcPr>
            <w:tcW w:w="340" w:type="dxa"/>
            <w:vAlign w:val="bottom"/>
            <w:tcBorders>
              <w:bottom w:val="single" w:sz="8" w:color="CCEEFF"/>
            </w:tcBorders>
            <w:shd w:val="clear" w:color="auto" w:fill="CCEEFF"/>
          </w:tcPr>
          <w:p>
            <w:pPr>
              <w:spacing w:after="0"/>
              <w:rPr>
                <w:sz w:val="19"/>
                <w:szCs w:val="19"/>
                <w:color w:val="auto"/>
              </w:rPr>
            </w:pPr>
          </w:p>
        </w:tc>
        <w:tc>
          <w:tcPr>
            <w:tcW w:w="434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91"/>
              </w:rPr>
              <w:t>Reports of Independent Registered Public Accounting Firm;</w:t>
            </w:r>
          </w:p>
        </w:tc>
        <w:tc>
          <w:tcPr>
            <w:tcW w:w="5880" w:type="dxa"/>
            <w:vAlign w:val="bottom"/>
            <w:tcBorders>
              <w:bottom w:val="single" w:sz="8" w:color="CCEEFF"/>
            </w:tcBorders>
            <w:gridSpan w:val="5"/>
            <w:shd w:val="clear" w:color="auto" w:fill="CCEEFF"/>
          </w:tcPr>
          <w:p>
            <w:pPr>
              <w:spacing w:after="0"/>
              <w:rPr>
                <w:sz w:val="19"/>
                <w:szCs w:val="19"/>
                <w:color w:val="auto"/>
              </w:rPr>
            </w:pP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F-5</w:t>
            </w:r>
          </w:p>
        </w:tc>
        <w:tc>
          <w:tcPr>
            <w:tcW w:w="10560" w:type="dxa"/>
            <w:vAlign w:val="bottom"/>
            <w:gridSpan w:val="8"/>
          </w:tcPr>
          <w:p>
            <w:pPr>
              <w:ind w:left="340"/>
              <w:spacing w:after="0" w:line="176" w:lineRule="exact"/>
              <w:rPr>
                <w:sz w:val="20"/>
                <w:szCs w:val="20"/>
                <w:color w:val="auto"/>
              </w:rPr>
            </w:pPr>
            <w:r>
              <w:rPr>
                <w:rFonts w:ascii="Arial" w:cs="Arial" w:eastAsia="Arial" w:hAnsi="Arial"/>
                <w:sz w:val="18"/>
                <w:szCs w:val="18"/>
                <w:color w:val="0000EE"/>
              </w:rPr>
              <w:t>Consolidated Balance Sheets as of December 31, 2021 and 2020;</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F-6</w:t>
            </w:r>
          </w:p>
        </w:tc>
        <w:tc>
          <w:tcPr>
            <w:tcW w:w="34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9"/>
              </w:rPr>
              <w:t>Consolidated Statements of Operations for the years ended December 31, 2021 and 2020;</w:t>
            </w:r>
          </w:p>
        </w:tc>
        <w:tc>
          <w:tcPr>
            <w:tcW w:w="376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680" w:type="dxa"/>
            <w:vAlign w:val="bottom"/>
          </w:tcPr>
          <w:p>
            <w:pPr>
              <w:spacing w:after="0" w:line="176" w:lineRule="exact"/>
              <w:rPr>
                <w:sz w:val="20"/>
                <w:szCs w:val="20"/>
                <w:color w:val="auto"/>
              </w:rPr>
            </w:pPr>
            <w:r>
              <w:rPr>
                <w:rFonts w:ascii="Arial" w:cs="Arial" w:eastAsia="Arial" w:hAnsi="Arial"/>
                <w:sz w:val="18"/>
                <w:szCs w:val="18"/>
                <w:color w:val="auto"/>
              </w:rPr>
              <w:t>F-7</w:t>
            </w:r>
          </w:p>
        </w:tc>
        <w:tc>
          <w:tcPr>
            <w:tcW w:w="10560" w:type="dxa"/>
            <w:vAlign w:val="bottom"/>
            <w:gridSpan w:val="8"/>
          </w:tcPr>
          <w:p>
            <w:pPr>
              <w:ind w:left="340"/>
              <w:spacing w:after="0" w:line="176" w:lineRule="exact"/>
              <w:rPr>
                <w:sz w:val="20"/>
                <w:szCs w:val="20"/>
                <w:color w:val="auto"/>
              </w:rPr>
            </w:pPr>
            <w:r>
              <w:rPr>
                <w:rFonts w:ascii="Arial" w:cs="Arial" w:eastAsia="Arial" w:hAnsi="Arial"/>
                <w:sz w:val="18"/>
                <w:szCs w:val="18"/>
                <w:color w:val="0000EE"/>
              </w:rPr>
              <w:t>Consolidated Statement of Stockholders’ Equity for the year ended December 31, 2021;</w:t>
            </w:r>
          </w:p>
        </w:tc>
      </w:tr>
      <w:tr>
        <w:trPr>
          <w:trHeight w:val="21"/>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F-8</w:t>
            </w:r>
          </w:p>
        </w:tc>
        <w:tc>
          <w:tcPr>
            <w:tcW w:w="34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0"/>
              </w:rPr>
              <w:t>Consolidated Statement of Stockholders’ Equity for the year ended December 31, 2020;</w:t>
            </w:r>
          </w:p>
        </w:tc>
        <w:tc>
          <w:tcPr>
            <w:tcW w:w="388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F-9</w:t>
            </w:r>
          </w:p>
        </w:tc>
        <w:tc>
          <w:tcPr>
            <w:tcW w:w="10560" w:type="dxa"/>
            <w:vAlign w:val="bottom"/>
            <w:gridSpan w:val="8"/>
          </w:tcPr>
          <w:p>
            <w:pPr>
              <w:ind w:left="340"/>
              <w:spacing w:after="0" w:line="176" w:lineRule="exact"/>
              <w:rPr>
                <w:sz w:val="20"/>
                <w:szCs w:val="20"/>
                <w:color w:val="auto"/>
              </w:rPr>
            </w:pPr>
            <w:r>
              <w:rPr>
                <w:rFonts w:ascii="Arial" w:cs="Arial" w:eastAsia="Arial" w:hAnsi="Arial"/>
                <w:sz w:val="18"/>
                <w:szCs w:val="18"/>
                <w:color w:val="0000EE"/>
              </w:rPr>
              <w:t>Consolidated Statements of Cash Flows for the years ended December 31, 2021 and 2020; and</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F-10</w:t>
            </w:r>
          </w:p>
        </w:tc>
        <w:tc>
          <w:tcPr>
            <w:tcW w:w="340" w:type="dxa"/>
            <w:vAlign w:val="bottom"/>
            <w:shd w:val="clear" w:color="auto" w:fill="CCEEFF"/>
          </w:tcPr>
          <w:p>
            <w:pPr>
              <w:spacing w:after="0"/>
              <w:rPr>
                <w:sz w:val="17"/>
                <w:szCs w:val="17"/>
                <w:color w:val="auto"/>
              </w:rPr>
            </w:pPr>
          </w:p>
        </w:tc>
        <w:tc>
          <w:tcPr>
            <w:tcW w:w="102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r>
      <w:tr>
        <w:trPr>
          <w:trHeight w:val="655"/>
        </w:trPr>
        <w:tc>
          <w:tcPr>
            <w:tcW w:w="6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6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3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14350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143500" cy="471805"/>
                    </a:xfrm>
                    <a:prstGeom prst="rect">
                      <a:avLst/>
                    </a:prstGeom>
                    <a:noFill/>
                  </pic:spPr>
                </pic:pic>
              </a:graphicData>
            </a:graphic>
          </wp:anchor>
        </w:drawing>
      </w:r>
    </w:p>
    <w:p>
      <w:pPr>
        <w:spacing w:after="0" w:line="25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OptimizeRx Corporation and Subsidiaries (the “Company”) as of December 31, 2021 and 2020, and the related consolidated statements of operations,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and our report dated February 28, 2022, except for the restatement of the effectiveness of internal control over financial reporting for the material weakness related to the Company’s inability to obtain evidence about the effectiveness of controls over financial reporting at third-party service organizations, which is as of March 10, 2023, expressed an adverse opinion on the effectiveness of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they related.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Critical Audit Matter - Revenue Recognition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judgment is exercised by the Company in determining revenue recognition for these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 the Critical Audit Matter Was Addressed in the Audit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procedures we performed to address this critical audit matter included the following: (1) obtaining an understanding of the design and operating effectiveness of controls related to identifying distinct performance obligations, determining the timing of revenue recognition and any estimation of variable consideration, (2) selection of a sample of customer agreements and testing management’s identification and treatment of contract terms, and testing the mathematical accuracy of management’s calculations of revenue and the associated timing of revenue recognized in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February 28, 2022, except as to the restatement of the effectiveness of internal control over financial reporting for the material weakness, which is as of March 10,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143500"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143500" cy="471805"/>
                    </a:xfrm>
                    <a:prstGeom prst="rect">
                      <a:avLst/>
                    </a:prstGeom>
                    <a:noFill/>
                  </pic:spPr>
                </pic:pic>
              </a:graphicData>
            </a:graphic>
          </wp:anchor>
        </w:drawing>
      </w:r>
    </w:p>
    <w:p>
      <w:pPr>
        <w:spacing w:after="0" w:line="25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Opinion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OptimizeRx Corporation and Subsidiaries’ (the “Company”) internal control over financial reporting as of December 31, 2021,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because of the effect of the material weakness described in the following paragraph on the achievement of the objectives of the control criteria, the Company has not maintained effective internal control over financial reporting as of December 31, 2021, based on the criteria established in </w:t>
      </w:r>
      <w:r>
        <w:rPr>
          <w:rFonts w:ascii="Arial" w:cs="Arial" w:eastAsia="Arial" w:hAnsi="Arial"/>
          <w:sz w:val="18"/>
          <w:szCs w:val="18"/>
          <w:i w:val="1"/>
          <w:iCs w:val="1"/>
          <w:color w:val="auto"/>
        </w:rPr>
        <w:t>Internal Control---Integrated Framework (2013) issued by</w:t>
      </w:r>
      <w:r>
        <w:rPr>
          <w:rFonts w:ascii="Arial" w:cs="Arial" w:eastAsia="Arial" w:hAnsi="Arial"/>
          <w:sz w:val="18"/>
          <w:szCs w:val="18"/>
          <w:color w:val="auto"/>
        </w:rPr>
        <w:t xml:space="preserve"> COSO.</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material weakness is a control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has been identified and included in management’s assessment: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did not maintain effective control over and was unable to assess the effectiveness of controls at third-party service organizations. The Company utilizes data received from these service organizations in recording amounts pertaining to revenue, accounts receivable, revenue share expense and revenue share payable. Management’s inability to obtain evidence about the effectiveness of controls over financial reporting at these service organizations represents a material weakness.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and the related statements of operations, stockholders’ equity, and cash flows of the Company, and our report dated February 28, 2022, expressed an unqualified opinion. This material weakness was considered in determining the nature, timing, and extent of audit tests applied in our audit of the 2021 consolidated financial statements, and this report does not affect our report dated February 28, 2022, on those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February 28, 2022, except as to the restatement of the effectiveness of internal control over financial reporting for the material weakness, which is as of March 10, 2023</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84,681,770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10,516,776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24,800,585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17,885,705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5,630,655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4,456,611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115,113,010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32,859,092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14,740,031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4,589,126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5,251,822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2,155,026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2,349,570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328,820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445,974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3,902,502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4,519,552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Security deposits and 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12,859</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25,728,364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27,319,808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140,985,192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606,808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2,902,836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2,420,361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4,378,216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4,969,868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90,982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123,220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purchase price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1,389,907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285,795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9,368,749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10,028,307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236,726</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325,533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9,605,475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10,353,840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stock, $0.001 par value, 10,000,000 shares authorized, none issued and outstanding at December 31, 2021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2020,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166,666,667 shares authorized, 17,860,975 and 15,223,340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December 31, 2021 and 2020,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17,861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166,615,514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85,590,428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4"/>
                <w:szCs w:val="14"/>
                <w:color w:val="auto"/>
              </w:rPr>
            </w:pPr>
          </w:p>
        </w:tc>
        <w:tc>
          <w:tcPr>
            <w:tcW w:w="118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60" w:type="dxa"/>
            <w:vAlign w:val="bottom"/>
            <w:gridSpan w:val="3"/>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tcPr>
          <w:p>
            <w:pPr>
              <w:jc w:val="right"/>
              <w:ind w:right="220"/>
              <w:spacing w:after="0" w:line="68" w:lineRule="exact"/>
              <w:rPr>
                <w:sz w:val="20"/>
                <w:szCs w:val="20"/>
                <w:color w:val="auto"/>
              </w:rPr>
            </w:pPr>
            <w:r>
              <w:rPr>
                <w:rFonts w:ascii="Arial" w:cs="Arial" w:eastAsia="Arial" w:hAnsi="Arial"/>
                <w:sz w:val="7"/>
                <w:szCs w:val="7"/>
                <w:color w:val="auto"/>
              </w:rPr>
              <w:t>(35,253,658</w:t>
            </w:r>
          </w:p>
        </w:tc>
        <w:tc>
          <w:tcPr>
            <w:tcW w:w="160" w:type="dxa"/>
            <w:vAlign w:val="bottom"/>
          </w:tcPr>
          <w:p>
            <w:pPr>
              <w:spacing w:after="0"/>
              <w:rPr>
                <w:sz w:val="6"/>
                <w:szCs w:val="6"/>
                <w:color w:val="auto"/>
              </w:rPr>
            </w:pPr>
          </w:p>
        </w:tc>
        <w:tc>
          <w:tcPr>
            <w:tcW w:w="980" w:type="dxa"/>
            <w:vAlign w:val="bottom"/>
            <w:gridSpan w:val="2"/>
          </w:tcPr>
          <w:p>
            <w:pPr>
              <w:jc w:val="right"/>
              <w:ind w:right="20"/>
              <w:spacing w:after="0" w:line="68" w:lineRule="exact"/>
              <w:rPr>
                <w:sz w:val="20"/>
                <w:szCs w:val="20"/>
                <w:color w:val="auto"/>
              </w:rPr>
            </w:pPr>
            <w:r>
              <w:rPr>
                <w:rFonts w:ascii="Arial" w:cs="Arial" w:eastAsia="Arial" w:hAnsi="Arial"/>
                <w:sz w:val="7"/>
                <w:szCs w:val="7"/>
                <w:color w:val="auto"/>
              </w:rPr>
              <w:t>(35,631,737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131,379,717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49,973,914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140,985,192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December 31,</w:t>
            </w:r>
          </w:p>
        </w:tc>
        <w:tc>
          <w:tcPr>
            <w:tcW w:w="1220" w:type="dxa"/>
            <w:vAlign w:val="bottom"/>
            <w:gridSpan w:val="3"/>
          </w:tcPr>
          <w:p>
            <w:pPr>
              <w:jc w:val="right"/>
              <w:ind w:right="101"/>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61,292,598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43,313,323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25,654,384</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19,207,902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35,638,214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24,105,421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5,491,957</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3,172,840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noncash lease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2,086,454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2,075,888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27,698,703</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20,992,012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35,277,114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26,240,740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361,100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(2,135,319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16,979</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68,582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(140,390)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16,979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(71,808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378,079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(2,207,127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17,228,019</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14,827,923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17,690,489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14,827,923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(loss) per share – basic</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Income (loss) per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Paid-in</w:t>
            </w:r>
          </w:p>
        </w:tc>
        <w:tc>
          <w:tcPr>
            <w:tcW w:w="1320" w:type="dxa"/>
            <w:vAlign w:val="bottom"/>
            <w:gridSpan w:val="3"/>
          </w:tcPr>
          <w:p>
            <w:pPr>
              <w:jc w:val="right"/>
              <w:ind w:right="221"/>
              <w:spacing w:after="0"/>
              <w:rPr>
                <w:sz w:val="20"/>
                <w:szCs w:val="20"/>
                <w:color w:val="auto"/>
              </w:rPr>
            </w:pPr>
            <w:r>
              <w:rPr>
                <w:rFonts w:ascii="Arial" w:cs="Arial" w:eastAsia="Arial" w:hAnsi="Arial"/>
                <w:sz w:val="18"/>
                <w:szCs w:val="18"/>
                <w:color w:val="auto"/>
                <w:w w:val="96"/>
              </w:rPr>
              <w:t>Accumulated</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15,223,340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(35,631,737)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49,973,914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2,709,781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3,333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2,532,088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2,532,091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For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4,730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250,080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stock options 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1,105,822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4,863,125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Public offering of common shares,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1,523,750</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70,670,012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70,671,536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378,079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December 31,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17,860,975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17,861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166,615,514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(35,253,658</w:t>
            </w:r>
          </w:p>
        </w:tc>
        <w:tc>
          <w:tcPr>
            <w:tcW w:w="2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131,379,717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Paid-in</w:t>
            </w:r>
          </w:p>
        </w:tc>
        <w:tc>
          <w:tcPr>
            <w:tcW w:w="1320" w:type="dxa"/>
            <w:vAlign w:val="bottom"/>
            <w:gridSpan w:val="3"/>
          </w:tcPr>
          <w:p>
            <w:pPr>
              <w:jc w:val="right"/>
              <w:ind w:right="221"/>
              <w:spacing w:after="0"/>
              <w:rPr>
                <w:sz w:val="20"/>
                <w:szCs w:val="20"/>
                <w:color w:val="auto"/>
              </w:rPr>
            </w:pPr>
            <w:r>
              <w:rPr>
                <w:rFonts w:ascii="Arial" w:cs="Arial" w:eastAsia="Arial" w:hAnsi="Arial"/>
                <w:sz w:val="18"/>
                <w:szCs w:val="18"/>
                <w:color w:val="auto"/>
                <w:w w:val="96"/>
              </w:rPr>
              <w:t>Accumulated</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8"/>
                <w:szCs w:val="18"/>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14,600,579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(33,424,610)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44,862,259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1,884,202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84,746</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838,430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For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28,809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450,095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stock options 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414,705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2,487,979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For contingent purchase price and escrow hold back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94,501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1,657,454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1,657,548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(2,207,127)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(2,207,127)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15,223,340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15,223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(35,631,737</w:t>
            </w:r>
          </w:p>
        </w:tc>
        <w:tc>
          <w:tcPr>
            <w:tcW w:w="2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49,973,914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color w:val="auto"/>
                <w:w w:val="88"/>
              </w:rPr>
              <w:t>December 31,</w:t>
            </w:r>
          </w:p>
        </w:tc>
        <w:tc>
          <w:tcPr>
            <w:tcW w:w="1220" w:type="dxa"/>
            <w:vAlign w:val="bottom"/>
            <w:gridSpan w:val="4"/>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378,079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(2,207,127)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1,965,325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121,129</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bad debt reserve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5,491,957</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3,172,840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(6,994,880)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(10,667,680)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(1,174,044)</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(3,517,700)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(11,442)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(591,652)</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3,351,430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482,475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(125,020)</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(106,347)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1,104,112</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(294,219)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726,039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(6,310,386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(100,322)</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(68,041)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intangible assets, including intellectual property rights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(21,511)</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(11,932)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(364,166)</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offering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70,671,536</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4,864,231</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2,488,394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(1,610,813)</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(4,389,187)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73,924,954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(1,900,793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74,164,994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(8,335,904)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10,516,776</w:t>
            </w: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18,852,680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84,681,770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10,516,776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liabilities paid in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1,657,548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NATURE OF BUSINESS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OptimizeRx is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valuation allowance for the deferred tax asset, the timing of revenue recognition and related revenue share expenses, and inputs used in the calculation of stock based compensation. Actual results could differ from these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financial statements reflect the consolidated results of OptimizeRx Corporation, a Nevada corporation, and its wholly owned subsidiaries: OptimizeRx Corporation, a Michigan corporation, RMDY Health, Inc., a Delaware corporation, CareSpeak Communications, Inc., a New Jersey corporation, Cyberdiet, a controlled foreign corporation incorporated in Israel, and CareSpeak Communications D.O.O., a Controlled Foreign Corporation incorporated in Croatia. Together, these companies are referred to as “OptimizeRx” and “the Company.” All material intercompany transactions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previous year financial statements have been reclassified to match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functional currency is the U.S. dollar, however it pays certain expenses related to its two foreign subsidiaries in the local currency, which is the sheckel for its subsidiary in Israel and the kuna for its Croatian subsidiary. All transactions are recorded at the exchange rate at the time of payment. If there is a time lag between the time of recording the liability and the time of payment, a gain or loss is recorded in the Consolidated Statement of Operations due to any fluctuations in the exchange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consisting of money market accounts, with an initial maturity of three months or less to be cash equivalents.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values and carrying values of the Company’s financial assets and liabilities measured on a recurring basis as of December 31, 2021 and 2020 and the valuation techniques used by the Company to determine those fair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7"/>
                <w:szCs w:val="17"/>
                <w:color w:val="auto"/>
              </w:rPr>
            </w:pPr>
          </w:p>
        </w:tc>
      </w:tr>
      <w:tr>
        <w:trPr>
          <w:trHeight w:val="237"/>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Fair Value</w:t>
            </w:r>
          </w:p>
        </w:tc>
        <w:tc>
          <w:tcPr>
            <w:tcW w:w="2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Price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4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Fair Value</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w w:val="90"/>
              </w:rPr>
              <w:t>Carrying Value</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Price Payable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1,610,813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1,610,813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1,610,813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contingent consideration is based off achieving certain revenue milestones in each of the next two years. The Geometric-Brownian motion analysis was used to generate spot prices for use in an option pricing model. For 2020, the final payout had been determined and was paid in 2021.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summary of changes in fair value of the Company’s Level 3 financial instruments for the years ended December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Payment of CareSpeak Communication contingent consideration</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(1,389,187)</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Payment of RMDY Health, Inc. contingent consideration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(3,860,390)</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Increase in the value of the RMDY Health, Inc. contingent consideration</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140,390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Payment of CareSpeak Communication contingent consideration</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(1,610,813)</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$80,000 for the year ended December 31, 2021 and $200,000 for the year ended December 31, 2020. The allowance for doubtful accounts was $241,219 and $158,163 as of December 31, 2021 and 2020, respectively. From time to time, we may record revenue based on our revenue recognition policies described below in advance of being able to invoice the customer. Included in accounts receivable are unbilled amounts of $2,110,865 and $757,218 at December 31, 2021, and December 31,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are stated at cost. Finite-lived assets are being amortized over their estimated useful lives of fifteen to seventeen years for patents, eight years for customer relationships, fifteen years for tradenames, four years for covenants not to compete, and three to four years for software and websites, all using the straight-line method. These assets are evaluated when there is a triggering event. There was no impairment of our intangible assets in either year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evaluate goodwill for impairment during our fiscal fourth quarter, or more frequently if an event occurs or circumstances change. Our analysis determined that there was no impairment of our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contracts are generally all less than one year and the primary performance obligation is delivery of messages, or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majority of our revenue is earned from life sciences companies, such as pharmaceutical and biotech companies, or medical device makers. A small portion of our revenue is earned from other sources, such as associations and technology companies. A break down is set forth in the table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Life Science Companies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59,018,033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41,358,746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2,274,565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1,954,577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61,292,598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43,313,323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 (cont.)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instances, the Company also resells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There were no programs recorded on a net basis in the years presented. In instances where the Company resells these messaging solutions and has all financial risk and significant operation input and risk, the Company records the revenue based on the gross amount sold and the amount paid to the channel partner as a cost of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cost of revenue is revenue share expense. Based on the volume of transactions that are delivered through the channel partner network, the Company provides a revenue share to compensate the partner, or others, for their promotion of the campaign. Revenue shares are a negotiated percentage of the transaction fees and can also be specific to special considerations and campaigns.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2021 and 2020 the Company had $83,312,524 and $9,936,806, respectively, in cash balances in excess of federally insured limits, primarily at Bank of America/Merrill Lynch.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research and development expenses as incurred. There was no research and development expense for the years ended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restricted stock awards, the fair value is based on the market value of the Company’s common stock on the date of grant. For market based restricted stock units, the fair value is estimated using a Monte Carlo simulation model. This valuation technique includes estimating the movement of stock prices and the effects of volatility, interest rates and dividends.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 not expect to pay any dividends in the future.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0.19% - 0.67%</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0.16% - 1.63%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 years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 years</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 - 70%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 - 71%</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5.49</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options that were excluded from the diluted loss per common share calculation in 2020 was 820,059 related to options, and 91,667 related to restricted stock units, for a total of 911,726 because they are anti-dilutive, as a result of a net loss for the year ended December 31, 2020.</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computation of weighted average shares outstanding and the basic and diluted earnings per common share for the years ended December 31, 2021 and 2020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Per Share</w:t>
            </w:r>
          </w:p>
        </w:tc>
      </w:tr>
      <w:tr>
        <w:trPr>
          <w:trHeight w:val="237"/>
        </w:trPr>
        <w:tc>
          <w:tcPr>
            <w:tcW w:w="3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Net Income</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Amount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3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378,079</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17,228,019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34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378,079</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17,690,489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8"/>
        </w:trPr>
        <w:tc>
          <w:tcPr>
            <w:tcW w:w="3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Per Share</w:t>
            </w:r>
          </w:p>
        </w:tc>
      </w:tr>
      <w:tr>
        <w:trPr>
          <w:trHeight w:val="237"/>
        </w:trPr>
        <w:tc>
          <w:tcPr>
            <w:tcW w:w="38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Net (Loss)</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Amount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3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34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(2,207,127</w:t>
            </w:r>
            <w:r>
              <w:rPr>
                <w:rFonts w:ascii="Arial" w:cs="Arial" w:eastAsia="Arial" w:hAnsi="Arial"/>
                <w:sz w:val="29"/>
                <w:szCs w:val="29"/>
                <w:color w:val="auto"/>
                <w:vertAlign w:val="superscript"/>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14,827,923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(0.15</w:t>
            </w:r>
            <w:r>
              <w:rPr>
                <w:rFonts w:ascii="Arial" w:cs="Arial" w:eastAsia="Arial" w:hAnsi="Arial"/>
                <w:sz w:val="29"/>
                <w:szCs w:val="29"/>
                <w:color w:val="auto"/>
                <w:vertAlign w:val="superscript"/>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34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6"/>
                <w:szCs w:val="16"/>
                <w:color w:val="auto"/>
              </w:rPr>
              <w:t>(2,207,127</w:t>
            </w:r>
            <w:r>
              <w:rPr>
                <w:rFonts w:ascii="Arial" w:cs="Arial" w:eastAsia="Arial" w:hAnsi="Arial"/>
                <w:sz w:val="29"/>
                <w:szCs w:val="29"/>
                <w:color w:val="auto"/>
                <w:vertAlign w:val="superscript"/>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14,827,923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(0.15</w:t>
            </w:r>
            <w:r>
              <w:rPr>
                <w:rFonts w:ascii="Arial" w:cs="Arial" w:eastAsia="Arial" w:hAnsi="Arial"/>
                <w:sz w:val="29"/>
                <w:szCs w:val="29"/>
                <w:color w:val="auto"/>
                <w:vertAlign w:val="superscript"/>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1550"/>
              <w:spacing w:after="0"/>
              <w:rPr>
                <w:sz w:val="20"/>
                <w:szCs w:val="20"/>
                <w:color w:val="auto"/>
              </w:rPr>
            </w:pPr>
            <w:r>
              <w:rPr>
                <w:rFonts w:ascii="Arial" w:cs="Arial" w:eastAsia="Arial" w:hAnsi="Arial"/>
                <w:sz w:val="18"/>
                <w:szCs w:val="18"/>
                <w:color w:val="auto"/>
              </w:rPr>
              <w:t>F-15</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one reportable segment. Overall, our business involves connecting life science companies to patients and providers. We have a common customer base for all of our solutions, which are primarily all communications with healthcare providers or patients on behalf of life science customers. Our customers are geographically located in the U.S although we have two technology centers located internationally. We do not prepare separate internal income statements by solutions as our focus is on selling enterprise arrangements covering multiple solutions that span the entire patient journey with a specific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was effective for us as of January 1, 2021 The adoption of this standard did not have a material effect on our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ASU Topic 2021-08 Business Combinations (Topic 805), Accounting for 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Borders>
              <w:bottom w:val="single" w:sz="8" w:color="CCEEFF"/>
            </w:tcBorders>
          </w:tcPr>
          <w:p>
            <w:pPr>
              <w:spacing w:after="0"/>
              <w:rPr>
                <w:sz w:val="20"/>
                <w:szCs w:val="20"/>
                <w:color w:val="auto"/>
              </w:rPr>
            </w:pPr>
          </w:p>
        </w:tc>
        <w:tc>
          <w:tcPr>
            <w:tcW w:w="4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Prepaid revenue share and exclusivity payments</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4,266,668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EHR access fees</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317,726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Data</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Insurance</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156,327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77,887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789,198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281,590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4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5,630,655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4,456,611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3120"/>
              <w:spacing w:after="0"/>
              <w:rPr>
                <w:sz w:val="20"/>
                <w:szCs w:val="20"/>
                <w:color w:val="auto"/>
              </w:rPr>
            </w:pPr>
            <w:r>
              <w:rPr>
                <w:rFonts w:ascii="Arial" w:cs="Arial" w:eastAsia="Arial" w:hAnsi="Arial"/>
                <w:sz w:val="18"/>
                <w:szCs w:val="18"/>
                <w:color w:val="auto"/>
              </w:rPr>
              <w:t>F-16</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267,917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200,250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198,665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468,167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324,349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219,058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143,818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148,854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$105,360 and $95,202 for the years ended December 31, 2021 and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INTANBIGLE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goodwill is related to the acquisitions of RMDY Health, Inc. in 2019 and CareSpeak Communications in 2018. Goodwill is generally not amortizable for tax purposes and is not amortizable for financial statement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included on the consolidated balance sheets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December 31, 2021</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Gross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Average Life</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Remaining</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 rights</w:t>
            </w:r>
          </w:p>
        </w:tc>
        <w:tc>
          <w:tcPr>
            <w:tcW w:w="2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3,362,898</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1,207,872</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2,155,026</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Technology Assets</w:t>
            </w:r>
          </w:p>
        </w:tc>
        <w:tc>
          <w:tcPr>
            <w:tcW w:w="2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CEEFF"/>
            </w:tcBorders>
            <w:vMerge w:val="continue"/>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8,548,930</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3,959,804</w:t>
            </w:r>
          </w:p>
        </w:tc>
        <w:tc>
          <w:tcPr>
            <w:tcW w:w="2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4,589,126</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3,586,000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537,900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3,084,100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899,635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193,365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Customer relationships</w:t>
            </w:r>
          </w:p>
        </w:tc>
        <w:tc>
          <w:tcPr>
            <w:tcW w:w="2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923,000</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261,963</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661,037</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8.4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w:t>
            </w:r>
          </w:p>
        </w:tc>
        <w:tc>
          <w:tcPr>
            <w:tcW w:w="2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5,602,000</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1,699,498</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3,902,502</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Total Intangibles</w:t>
            </w:r>
          </w:p>
        </w:tc>
        <w:tc>
          <w:tcPr>
            <w:tcW w:w="2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17,513,828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6,867,174</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10,646,654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F-17</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NOTE 5 – INTANBIGLE ASSETS (CONTINUED)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December 31, 2020</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Gross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Average Life</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Remaining</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 rights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3,341,388</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991,818</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2,349,570</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Technology Assets</w:t>
            </w: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7"/>
              </w:rPr>
              <w:t>7.7</w:t>
            </w: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vMerge w:val="continue"/>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8,184,765</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2,932,943</w:t>
            </w:r>
          </w:p>
        </w:tc>
        <w:tc>
          <w:tcPr>
            <w:tcW w:w="2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5,251,822</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3,586,000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298,833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3,287,167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611,885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481,115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923,000</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171,730</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751,270</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9.8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5,602,000</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1,082,448</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4,519,552</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Total Intangibles</w:t>
            </w: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17,128,153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5,007,209</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12,120,944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260" w:type="dxa"/>
            <w:vAlign w:val="bottom"/>
            <w:gridSpan w:val="4"/>
          </w:tcPr>
          <w:p>
            <w:pPr>
              <w:spacing w:after="0"/>
              <w:rPr>
                <w:sz w:val="20"/>
                <w:szCs w:val="20"/>
                <w:color w:val="auto"/>
              </w:rPr>
            </w:pPr>
            <w:r>
              <w:rPr>
                <w:rFonts w:ascii="Arial" w:cs="Arial" w:eastAsia="Arial" w:hAnsi="Arial"/>
                <w:sz w:val="18"/>
                <w:szCs w:val="18"/>
                <w:color w:val="auto"/>
                <w:w w:val="94"/>
              </w:rPr>
              <w:t>Intangibles are being amortized on a straight-line basis over the following estimated useful lives.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 – 17 years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4 years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 – 15 years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Technology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 – 10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amortization expense of $1,859,965 and $1,875,882 in the years ended December 31, 2021 and 2020, respectively. Expected future amortization expenses of the intangibles assets as of December 31, 2021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Year ended December 31,</w:t>
            </w:r>
          </w:p>
        </w:tc>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6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1,532,756</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2023</w:t>
            </w:r>
          </w:p>
        </w:tc>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1,203,639</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6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1,203,639</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2025</w:t>
            </w:r>
          </w:p>
        </w:tc>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1,131,058</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6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1,009,499</w:t>
            </w:r>
          </w:p>
        </w:tc>
      </w:tr>
      <w:tr>
        <w:trPr>
          <w:trHeight w:val="237"/>
        </w:trPr>
        <w:tc>
          <w:tcPr>
            <w:tcW w:w="3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63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4,566,063</w:t>
            </w:r>
          </w:p>
        </w:tc>
        <w:tc>
          <w:tcPr>
            <w:tcW w:w="100" w:type="dxa"/>
            <w:vAlign w:val="bottom"/>
            <w:tcBorders>
              <w:bottom w:val="single" w:sz="8" w:color="CCEEFF"/>
            </w:tcBorders>
          </w:tcPr>
          <w:p>
            <w:pPr>
              <w:spacing w:after="0"/>
              <w:rPr>
                <w:sz w:val="20"/>
                <w:szCs w:val="20"/>
                <w:color w:val="auto"/>
              </w:rPr>
            </w:pPr>
          </w:p>
        </w:tc>
      </w:tr>
      <w:tr>
        <w:trPr>
          <w:trHeight w:val="250"/>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10,646,654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2"/>
          </w:tcPr>
          <w:p>
            <w:pPr>
              <w:jc w:val="right"/>
              <w:ind w:right="4330"/>
              <w:spacing w:after="0"/>
              <w:rPr>
                <w:sz w:val="20"/>
                <w:szCs w:val="20"/>
                <w:color w:val="auto"/>
              </w:rPr>
            </w:pPr>
            <w:r>
              <w:rPr>
                <w:rFonts w:ascii="Arial" w:cs="Arial" w:eastAsia="Arial" w:hAnsi="Arial"/>
                <w:sz w:val="18"/>
                <w:szCs w:val="18"/>
                <w:color w:val="auto"/>
              </w:rPr>
              <w:t>F-18</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DEFERRED REVENUE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$1,389,908 and $285,795 as of December 31, 2021 and 2020, respectively. These contracts are all short term in nature and all revenue is expected to be recognized within 12 months, or less. Following is a summary of activity in the deferred revenue account for the year ended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(18,006,973)</w:t>
            </w:r>
          </w:p>
        </w:tc>
        <w:tc>
          <w:tcPr>
            <w:tcW w:w="0" w:type="dxa"/>
            <w:vAlign w:val="bottom"/>
          </w:tcPr>
          <w:p>
            <w:pPr>
              <w:spacing w:after="0"/>
              <w:rPr>
                <w:sz w:val="1"/>
                <w:szCs w:val="1"/>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collected</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19,111,086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color w:val="auto"/>
              </w:rPr>
              <w:t>Following is a summary of activity in the deferred revenue account for the year ended December 31, 2020.</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Revenue recognized</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(16,260,166)</w:t>
            </w: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Amount collected</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15,680,152</w:t>
            </w:r>
          </w:p>
        </w:tc>
        <w:tc>
          <w:tcPr>
            <w:tcW w:w="0" w:type="dxa"/>
            <w:vAlign w:val="bottom"/>
          </w:tcPr>
          <w:p>
            <w:pPr>
              <w:spacing w:after="0"/>
              <w:rPr>
                <w:sz w:val="1"/>
                <w:szCs w:val="1"/>
                <w:color w:val="auto"/>
              </w:rPr>
            </w:pPr>
          </w:p>
        </w:tc>
      </w:tr>
      <w:tr>
        <w:trPr>
          <w:trHeight w:val="237"/>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285,795</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7 – RELATED PARTY TRANSACTIONS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$930,000 at the time of the acquisition and recorded the patent at that cost. That patent remains in Patents on the consolidated balance sheet as of December 31, 2021.</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Jim Lang, one of our Board Members, is the CEO of Eversana, a leading global provider of services to the life sciences industry. Eversana is similar to other customers we generate revenue from, such as agencies or resellers. During the year ended December 31, 2021, we have recognized $218,333 in revenue from contracts engaged with Eversana. No revenues were recognized in 2020 related to contracts with Eversana. These contracts were sourced by Eversana on behalf of life science customers of theirs. The contracts are at market rates and were generated in the normal course of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8 – CONTINGENT PURCHASE PRICE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purchase of CareSpeak Communications contained a contingent element that would be paid only if the Company achieved certain patient engagement revenues in 2019 and 2020. The total contingent payment could have been up to $3.0 million. The target patient engagement revenues were achieved in both 2019 and in 2020. The calculated fair value of the contingent payment was $3,000,000 at December 31, 2019 and $1,610,813 at December 31, 2020. The final required payment was made in 2021.</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purchase of RMDY Health, Inc. also contained a contingent element that would be paid only if the Company achieves certain revenues in 2020 and 2021 related to the RMDY business. The total contingent payment could have been up to $30.0 million. The minimum payment was $1.0 million in each of the two years. The calculated fair value of the contingent payment was $3,720,000 at December 31, 2019. We determined the fair value of the Contingent Purchase Price Payable at December 31, 2019 using a Geometric-Brownian motion analysis of the expected revenue and resulting earnout payment using inputs that include the spot price, a risk free rate of return of 1.4%, a term of 2 years, and volatility of 35%. During 2020, we reached agreement with the former shareholders of RMDY to fix the liability at $3.75 million, payable in a combination of cash and stock. Because of the change in the share price between the date of agreement and the date of payment, the amount recorded for the stock amount varied from the agreed amount. The liability was paid in full during 2020 and was paid with a $3.0 million cash payment and the remainder in shares of common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NOTE 8 – CONTINGENT PURCHASE PRICE (CONTINUED)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There was no contingent purchase price payable at December 31, 2021.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w w:val="98"/>
              </w:rPr>
              <w:t>The total fair value of contingent purchase price payable at December 31, 2020 is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CareSpeak Communications, Inc.</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1,610,813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RMDY Health</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1,610,813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1,610,813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 9 –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10,000,000 shares of preferred stock, $.001 par value per share, authorized as of December 31, 2021. No shares were issued or outstanding in either 2020 or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166,666,667 shares of common stock, $.001 par value per share, authorized as of December 31, 2021. There were 17,860,975 and 15,223,340 shares of common stock issued and outstanding at December 31, 2021 and 2020,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March 31, 2021, in an underwritten primary offering, we issued 1,523,750 shares of our common stock for gross proceeds of $75,425,625. In connection with this transaction, we incurred equity issuance costs of $4,754,089 related to payments to the underwriter, advisors and legal fees associated with the transaction, resulting in net proceeds to the Company of $70,671,536.</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a Director Compensation plan covering its independent non-employee Directors that was in effect through June 30, 2021. A total of 4,730 and 28,809 shares were granted and issued in the years ended December 31, 2021 and 2020, respectively, in connection with this compensation plan. These shares were valued at $250,085 and $450,124, respectively. The plan was changed to grant restricted stock units under the Company’s 2021 Equity compensation plan and those grants are reflected in the information in Note 10.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issued 1,105,822 shares of common stock and received proceeds of $4,864,231 in 2021 in connection with the exercise of options. We also issued 414,705 shares of common stock and received proceeds of $2,488,394 in 2020 in connection with the exercise of options.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issued 3,333 shares of common stock in 2021 and 84,746 shares of common in stock in 2020 in connection with the vesting of restricted stock units and discussed in greater detail in Note 10, Stock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10 – STOCK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sponsors two stock-based incentive compensation plans.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first plan is known as the 2013 Incentive Plan (the “2013 Plan”) and was established by the Board of Directors of the Company in June 2013. The 2013 Plan, as amended, authorized the issuance of 3,000,000 shares of Company common stock. The amended plan was approved by shareholders. A total of 671,011 shares of common stock underlying options and 145,550 shares of common stock underlying restricted stock unit awards were outstanding at December 31, 2021. In connection with the adoption of a new plan in 2021, the Company froze the 2013 Plan. At December 31, 2021, there were no shares available for grant under the 2013 Plan.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2021, the Company adopted a new plan known as the 2021 Equity Incentive Plan (“2021 Plan”). The plan was established by the Board of Directors and approved by shareholders in August 2021. A total of 2,500,000 shares are authorized for issuance under the 2021 Plan. A total of 112,536 shares of common stock underlying options and 254,188 shares of common stock underlying restricted stock unit awards were outstanding at December 31, 2021. At December 31, 2021, 2,133,276 shares were available for grant under the 2021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STOCK COMPENSATION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cost that has been charged against income related to options for the years ended December 31, 2021 and 2020, was $2,709,781 and $1,884,202, respectively. No income tax benefit was recognized in the consolidated statements of income and no compensation was capitalized in any of the years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 ended December 31,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Options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(years)</w:t>
            </w:r>
          </w:p>
        </w:tc>
        <w:tc>
          <w:tcPr>
            <w:tcW w:w="1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value $</w:t>
            </w: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3380" w:type="dxa"/>
            <w:vAlign w:val="bottom"/>
            <w:gridSpan w:val="3"/>
          </w:tcPr>
          <w:p>
            <w:pPr>
              <w:jc w:val="right"/>
              <w:ind w:right="260"/>
              <w:spacing w:after="0"/>
              <w:rPr>
                <w:sz w:val="20"/>
                <w:szCs w:val="20"/>
                <w:color w:val="auto"/>
              </w:rPr>
            </w:pPr>
            <w:r>
              <w:rPr>
                <w:rFonts w:ascii="Arial" w:cs="Arial" w:eastAsia="Arial" w:hAnsi="Arial"/>
                <w:sz w:val="18"/>
                <w:szCs w:val="18"/>
                <w:color w:val="auto"/>
              </w:rPr>
              <w:t>467,549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(420,586)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Expired or forfeited</w:t>
            </w:r>
          </w:p>
        </w:tc>
        <w:tc>
          <w:tcPr>
            <w:tcW w:w="3380" w:type="dxa"/>
            <w:vAlign w:val="bottom"/>
            <w:gridSpan w:val="3"/>
          </w:tcPr>
          <w:p>
            <w:pPr>
              <w:jc w:val="right"/>
              <w:ind w:right="200"/>
              <w:spacing w:after="0"/>
              <w:rPr>
                <w:sz w:val="20"/>
                <w:szCs w:val="20"/>
                <w:color w:val="auto"/>
              </w:rPr>
            </w:pPr>
            <w:r>
              <w:rPr>
                <w:rFonts w:ascii="Arial" w:cs="Arial" w:eastAsia="Arial" w:hAnsi="Arial"/>
                <w:sz w:val="18"/>
                <w:szCs w:val="18"/>
                <w:color w:val="auto"/>
              </w:rPr>
              <w:t>(125,666)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1,545,518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36,862,947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3380" w:type="dxa"/>
            <w:vAlign w:val="bottom"/>
            <w:gridSpan w:val="3"/>
          </w:tcPr>
          <w:p>
            <w:pPr>
              <w:jc w:val="right"/>
              <w:ind w:right="260"/>
              <w:spacing w:after="0"/>
              <w:rPr>
                <w:sz w:val="20"/>
                <w:szCs w:val="20"/>
                <w:color w:val="auto"/>
              </w:rPr>
            </w:pPr>
            <w:r>
              <w:rPr>
                <w:rFonts w:ascii="Arial" w:cs="Arial" w:eastAsia="Arial" w:hAnsi="Arial"/>
                <w:sz w:val="18"/>
                <w:szCs w:val="18"/>
                <w:color w:val="auto"/>
              </w:rPr>
              <w:t>424,588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54.34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(1,137,065)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Expired or forfeited</w:t>
            </w:r>
          </w:p>
        </w:tc>
        <w:tc>
          <w:tcPr>
            <w:tcW w:w="3380" w:type="dxa"/>
            <w:vAlign w:val="bottom"/>
            <w:gridSpan w:val="3"/>
          </w:tcPr>
          <w:p>
            <w:pPr>
              <w:jc w:val="right"/>
              <w:ind w:right="200"/>
              <w:spacing w:after="0"/>
              <w:rPr>
                <w:sz w:val="20"/>
                <w:szCs w:val="20"/>
                <w:color w:val="auto"/>
              </w:rPr>
            </w:pPr>
            <w:r>
              <w:rPr>
                <w:rFonts w:ascii="Arial" w:cs="Arial" w:eastAsia="Arial" w:hAnsi="Arial"/>
                <w:sz w:val="18"/>
                <w:szCs w:val="18"/>
                <w:color w:val="auto"/>
              </w:rPr>
              <w:t>(49,494)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24.57</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783,547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23,368,961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Exercisable, December 31, 2021</w:t>
            </w:r>
          </w:p>
        </w:tc>
        <w:tc>
          <w:tcPr>
            <w:tcW w:w="2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197,271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99"/>
              </w:rPr>
              <w:t>10,109,168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right"/>
              <w:ind w:right="1560"/>
              <w:spacing w:after="0"/>
              <w:rPr>
                <w:sz w:val="20"/>
                <w:szCs w:val="20"/>
                <w:color w:val="auto"/>
              </w:rPr>
            </w:pPr>
            <w:r>
              <w:rPr>
                <w:rFonts w:ascii="Arial" w:cs="Arial" w:eastAsia="Arial" w:hAnsi="Arial"/>
                <w:sz w:val="18"/>
                <w:szCs w:val="18"/>
                <w:color w:val="auto"/>
              </w:rPr>
              <w:t>F-21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NOTE 10 – STOCK COMPENSATION (CONTINUED)</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The table below reflects information for the total options outstanding at December 31, 2021</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Number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Options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(years)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$2.46 to $10.00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$10,00 to $20.00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166,945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 to $40.00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180,561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$40.00 to $60.00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196,500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$60.00 to $96.70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112,536</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783,547</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w w:val="97"/>
              </w:rPr>
              <w:t>The table below reflects information for the vested options outstanding at December 31,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Number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Options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(years)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$2.46 to $10.00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78,669</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$10,00 to $20.00</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89,938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 to $40.00</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28,664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$40.00 to $60.00</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$60.00 to $96.70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197,271</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 summary of the status of the Company’s nonvested options as of December 31, 2021, and changes during the year ended December 31, 2021,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Nonvested Options</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Options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331,006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424,588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(49,495)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586,276</w:t>
            </w:r>
          </w:p>
        </w:tc>
        <w:tc>
          <w:tcPr>
            <w:tcW w:w="14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is $9,685,867 of expense remaining to be recognized over a period of approximately 2.4 years related to options outstanding at December 31, 2021.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10 – STOCK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restricted stock unit (“RSU”) activity during the years ended December 31,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Grant date fair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contractual life</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RSUs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(years)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94,746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at December 31, 2020</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100,000</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11.51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303,556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61.82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at December 31,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399,738</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52.99</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granted restricted stock units of 303,556 and 94,746 units in 2021 and 2020, respectively, and valued at $20,125,861 and $850,985, respectively. These restricted stock units vest over a period of 1.6 to 5 years. The Company recognized expense of $2,532,091 and $838,514 in 2021 and 2020, respectively, related to these restricted stock units. A total of $18,389,797 remains to be recognized at December 31, 2021 over a period of 3.0 years.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restricted stock units issued in 2021, 182,938 are market-based awards that vest if the Company’s stock price hits certain price targets and maintains that price for 30 days. A total of 60,191, 60,191, and 62,016 units vest if the stock price hits $98.87, $131.82, $164.78, respectively.As described in Note 2, these market-based restricted stock units were valued using a Monte Carlo simulation model, with expected vesting in 1.6, 2.25, and 2.71 years, respectively, for the three price targets.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2016, the Financial Accounting Standards Board (“FASB”) issued new accounting guidance on leases. The accounting standard, effective January 1, 2019, requires virtually all leases to be recognized on the balance sheet. Under the guidance, we have elected not to separate lease and non-lease components in recognition of the lease-related assets and liabilities, as well as the related lease expense.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operating leases with terms greater than 12 months for office space in three multitenant facilities, which are recorded as assets and liabilities. The lease on our headquarters space in Rochester, Michigan expires November 30, 2023, with a renewal option through 2025, with monthly rent payable at rates ranging from $6,384 to $6,688. We have assumed renewal of the lease. We also have a lease on office space in Cranbury, New Jersey, which expired in January 2022 with a monthly payment of $3,158, as well as a lease of approximately $1,883 per month in Zagreb, Croatia expiring in 2024.</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11 – LEASES (CONTINUED)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2021 and 2020, the Company’s lease cost consisted of the following components, each of which is included in operating expenses within the Company’s consolidated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119,954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52,375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130,216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  Short-term lease cost includes any lease with a term of less than 12 months.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w w:val="90"/>
              </w:rPr>
              <w:t>The table below presents the future minimum lease payments to be made under operating leases as of December 31, 2021: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100,260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80,550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70,224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2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average remaining lease term for operating leases is 3.6 years and the weighted average discount rate used in calculating the operating lease asset and liability is 4.5%. Cash paid for amounts included in the measurement of lease liabilities was $124,919. For the year ended December 31, 2021, payments on lease obligations were $142,284 and amortization on the right of use assets was $121,129. For the year ended December 31, 2020, payments on lease obligations were $138,019 and amortization on the right of use assets was $104,805.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MAJOR CUSTOMERS AND VENDORS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had the following customers that accounted for 10% or greater of revenue in either 2021 or 2020. No other customers accounted for more than 10% of revenue in either year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14,268,819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5,037,888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5,206,305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4,824,454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3,157,075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5,469,126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accounts receivable included 2 agencies that represented multiple customers that individually made up more than 10% of our accounts receivable at December 31, 2021 in the percentages of 33.5% and 12.2%. As of December 31, 2020, our accounts receivable included 4 entities, including agencies that represented multiple customers that individually made up more than 10% of our accounts receivable in the percentages of 19.7%, 16.2%, 15.8% and 14.4%.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MAJOR CUSTOMERS AND VENDORS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generates its revenues through its EHR and ePrescribe partners. It had two key partners and/or vendors through which 10% or greater of its revenue was generated in either 2021 or 2020 as set forth below. The amounts in the table below reflect the amount of revenue generated through those partners.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Partner 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33,041,503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22,813,574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Partner B</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9,554,266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7,092,477</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13 –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the Company had net operating loss carry-forwards for federal income tax purposes of approximately $26.4 million, consisting of pre-2018 losses in the amount of approximately $13.2 million that expire from 2021 through 2037, and post-2017 losses in the amount of approximately $13.2 million that will never expire. These net operating losses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Federal income tax benefit (expense) attributable to:</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operations</w:t>
            </w:r>
          </w:p>
        </w:tc>
        <w:tc>
          <w:tcPr>
            <w:tcW w:w="3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State tax effect, net of federal benefit</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582,000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State rate change</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benefits, net of Section 162M limitations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permanent items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NOLs expiring</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(26,000)</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(209,000)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(3,006,000)</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(529,000)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provision for federal income tax</w:t>
            </w:r>
          </w:p>
        </w:tc>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3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tax benefit (expense) - Federal</w:t>
            </w:r>
          </w:p>
        </w:tc>
        <w:tc>
          <w:tcPr>
            <w:tcW w:w="3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Deferred tax benefit (expense) - Federal</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Adjustment of valuation allowance from business combination</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tax benefit (expense) on income</w:t>
            </w:r>
          </w:p>
        </w:tc>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3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2"/>
          </w:tcPr>
          <w:p>
            <w:pPr>
              <w:jc w:val="right"/>
              <w:ind w:right="3100"/>
              <w:spacing w:after="0"/>
              <w:rPr>
                <w:sz w:val="20"/>
                <w:szCs w:val="20"/>
                <w:color w:val="auto"/>
              </w:rPr>
            </w:pPr>
            <w:r>
              <w:rPr>
                <w:rFonts w:ascii="Arial" w:cs="Arial" w:eastAsia="Arial" w:hAnsi="Arial"/>
                <w:sz w:val="18"/>
                <w:szCs w:val="18"/>
                <w:color w:val="auto"/>
              </w:rPr>
              <w:t>F-25</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13 – INCOME TAXES (CONTINUED)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tax effect of significant items comprising our net deferred tax amount at the expected rate of 21% is as follows as of December 31, 2021 and 2020:</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 carryover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Fixed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85"/>
        <w:spacing w:after="0"/>
        <w:tabs>
          <w:tab w:leader="none" w:pos="1705"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2" w:lineRule="exact"/>
        <w:rPr>
          <w:sz w:val="20"/>
          <w:szCs w:val="20"/>
          <w:color w:val="auto"/>
        </w:rPr>
      </w:pPr>
    </w:p>
    <w:p>
      <w:pPr>
        <w:ind w:left="405" w:hanging="405"/>
        <w:spacing w:after="0"/>
        <w:tabs>
          <w:tab w:leader="none" w:pos="405" w:val="left"/>
        </w:tabs>
        <w:numPr>
          <w:ilvl w:val="0"/>
          <w:numId w:val="9"/>
        </w:numPr>
        <w:rPr>
          <w:rFonts w:ascii="Arial" w:cs="Arial" w:eastAsia="Arial" w:hAnsi="Arial"/>
          <w:sz w:val="18"/>
          <w:szCs w:val="18"/>
          <w:color w:val="auto"/>
        </w:rPr>
      </w:pPr>
      <w:r>
        <w:rPr>
          <w:rFonts w:ascii="Arial" w:cs="Arial" w:eastAsia="Arial" w:hAnsi="Arial"/>
          <w:sz w:val="18"/>
          <w:szCs w:val="18"/>
          <w:color w:val="auto"/>
        </w:rPr>
        <w:t>6,887,000   $    4,057,000</w:t>
      </w:r>
    </w:p>
    <w:p>
      <w:pPr>
        <w:spacing w:after="0" w:line="23" w:lineRule="exact"/>
        <w:rPr>
          <w:rFonts w:ascii="Arial" w:cs="Arial" w:eastAsia="Arial" w:hAnsi="Arial"/>
          <w:sz w:val="18"/>
          <w:szCs w:val="18"/>
          <w:color w:val="auto"/>
        </w:rPr>
      </w:pPr>
    </w:p>
    <w:p>
      <w:pPr>
        <w:ind w:left="545"/>
        <w:spacing w:after="0"/>
        <w:rPr>
          <w:rFonts w:ascii="Arial" w:cs="Arial" w:eastAsia="Arial" w:hAnsi="Arial"/>
          <w:sz w:val="18"/>
          <w:szCs w:val="18"/>
          <w:color w:val="auto"/>
        </w:rPr>
      </w:pPr>
      <w:r>
        <w:rPr>
          <w:rFonts w:ascii="Arial" w:cs="Arial" w:eastAsia="Arial" w:hAnsi="Arial"/>
          <w:sz w:val="18"/>
          <w:szCs w:val="18"/>
          <w:color w:val="auto"/>
        </w:rPr>
        <w:t>809,000</w:t>
      </w:r>
      <w:r>
        <w:rPr>
          <w:rFonts w:ascii="Arial" w:cs="Arial" w:eastAsia="Arial" w:hAnsi="Arial"/>
          <w:sz w:val="16"/>
          <w:szCs w:val="16"/>
          <w:color w:val="auto"/>
        </w:rPr>
        <w:t>353,000</w:t>
      </w:r>
    </w:p>
    <w:p>
      <w:pPr>
        <w:spacing w:after="0" w:line="9" w:lineRule="exact"/>
        <w:rPr>
          <w:rFonts w:ascii="Arial" w:cs="Arial" w:eastAsia="Arial" w:hAnsi="Arial"/>
          <w:sz w:val="18"/>
          <w:szCs w:val="18"/>
          <w:color w:val="auto"/>
        </w:rPr>
      </w:pPr>
    </w:p>
    <w:p>
      <w:pPr>
        <w:ind w:left="645"/>
        <w:spacing w:after="0"/>
        <w:rPr>
          <w:rFonts w:ascii="Arial" w:cs="Arial" w:eastAsia="Arial" w:hAnsi="Arial"/>
          <w:sz w:val="18"/>
          <w:szCs w:val="18"/>
          <w:color w:val="auto"/>
        </w:rPr>
      </w:pPr>
      <w:r>
        <w:rPr>
          <w:rFonts w:ascii="Arial" w:cs="Arial" w:eastAsia="Arial" w:hAnsi="Arial"/>
          <w:sz w:val="18"/>
          <w:szCs w:val="18"/>
          <w:color w:val="auto"/>
        </w:rPr>
        <w:t>88,000</w:t>
      </w:r>
      <w:r>
        <w:rPr>
          <w:rFonts w:ascii="Arial" w:cs="Arial" w:eastAsia="Arial" w:hAnsi="Arial"/>
          <w:sz w:val="16"/>
          <w:szCs w:val="16"/>
          <w:color w:val="auto"/>
        </w:rPr>
        <w:t>94,000</w:t>
      </w:r>
    </w:p>
    <w:p>
      <w:pPr>
        <w:spacing w:after="0" w:line="9" w:lineRule="exact"/>
        <w:rPr>
          <w:rFonts w:ascii="Arial" w:cs="Arial" w:eastAsia="Arial" w:hAnsi="Arial"/>
          <w:sz w:val="18"/>
          <w:szCs w:val="18"/>
          <w:color w:val="auto"/>
        </w:rPr>
      </w:pPr>
    </w:p>
    <w:p>
      <w:pPr>
        <w:ind w:left="645"/>
        <w:spacing w:after="0"/>
        <w:rPr>
          <w:rFonts w:ascii="Arial" w:cs="Arial" w:eastAsia="Arial" w:hAnsi="Arial"/>
          <w:sz w:val="18"/>
          <w:szCs w:val="18"/>
          <w:color w:val="auto"/>
        </w:rPr>
      </w:pPr>
      <w:r>
        <w:rPr>
          <w:rFonts w:ascii="Arial" w:cs="Arial" w:eastAsia="Arial" w:hAnsi="Arial"/>
          <w:sz w:val="18"/>
          <w:szCs w:val="18"/>
          <w:color w:val="auto"/>
        </w:rPr>
        <w:t>13,000—</w:t>
      </w:r>
    </w:p>
    <w:p>
      <w:pPr>
        <w:spacing w:after="0" w:line="9" w:lineRule="exact"/>
        <w:rPr>
          <w:rFonts w:ascii="Arial" w:cs="Arial" w:eastAsia="Arial" w:hAnsi="Arial"/>
          <w:sz w:val="18"/>
          <w:szCs w:val="18"/>
          <w:color w:val="auto"/>
        </w:rPr>
      </w:pPr>
    </w:p>
    <w:p>
      <w:pPr>
        <w:ind w:left="645"/>
        <w:spacing w:after="0"/>
        <w:rPr>
          <w:rFonts w:ascii="Arial" w:cs="Arial" w:eastAsia="Arial" w:hAnsi="Arial"/>
          <w:sz w:val="18"/>
          <w:szCs w:val="18"/>
          <w:color w:val="auto"/>
        </w:rPr>
      </w:pPr>
      <w:r>
        <w:rPr>
          <w:rFonts w:ascii="Arial" w:cs="Arial" w:eastAsia="Arial" w:hAnsi="Arial"/>
          <w:sz w:val="18"/>
          <w:szCs w:val="18"/>
          <w:color w:val="auto"/>
        </w:rPr>
        <w:t>85,000</w:t>
      </w:r>
      <w:r>
        <w:rPr>
          <w:rFonts w:ascii="Arial" w:cs="Arial" w:eastAsia="Arial" w:hAnsi="Arial"/>
          <w:sz w:val="16"/>
          <w:szCs w:val="16"/>
          <w:color w:val="auto"/>
        </w:rPr>
        <w:t>44,000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-679450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-405130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-130810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2"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7,882,000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4,548,000</w:t>
      </w:r>
    </w:p>
    <w:p>
      <w:pPr>
        <w:spacing w:after="0" w:line="23" w:lineRule="exact"/>
        <w:rPr>
          <w:sz w:val="20"/>
          <w:szCs w:val="20"/>
          <w:color w:val="auto"/>
        </w:rPr>
      </w:pPr>
    </w:p>
    <w:p>
      <w:pPr>
        <w:sectPr>
          <w:pgSz w:w="11900" w:h="16838" w:orient="portrait"/>
          <w:cols w:equalWidth="0" w:num="2">
            <w:col w:w="7955" w:space="720"/>
            <w:col w:w="2565"/>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liabilities attributable to:</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(2,490,000)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(88,000)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(5,263,000)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(2,257,000)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deferred tax asset, net of valuation allowance</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years 2018 to 2021 remain open for potential audit by the Internal Revenue Service. There are no uncertain tax positions as of December 31, 2020 or December 31, 2021,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contracts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 From time to time the Company enters into arrangements with a partner to acquire minimum amounts of messaging capabilities. As of December 31, 2021, the Company had commitments for future minimum payments of $3.4 million that will be reflected in cost of revenues during the years from 2022 through 2023. Minimum payments are due in 2022 and 2023, in the amounts of $2.65 million and $0.75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NOTE 15 – RETIREMENT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$343,221 and $373,027 recorded in 2021 and 2020, respectively, for the Company’s contributions to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Company’s Original Filing, 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at the time the Company filed the Original Filing, our Chief Executive Officer and our Chief Financial Officer concluded that, as of the end of the period covered by this report, our disclosure controls and procedures, as defined in Rule 13a-15(e), were effective at the reasonable assurance level.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because of the material weakness in our internal control over financial reporting identified by a subsequent review described below, our management, with the participation of our Chief Executive Officer and Chief Financial Officer, re-evaluated our disclosure controls and procedures and concluded such controls were not effective as of December 31, 2021.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Notwithstanding the material weakness, our management has concluded, based on substantive testing performed, that the Company’s consolidated financial statements included in the Original Filing fairly present in all material respects the Company’s financial condition, results of operations and cash flows of the Company as of, and for, the periods presented in this report, in conformity with accounting principles generally accepted in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7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 xml:space="preserve">The Company’s management assessed the effectiveness of the Company’s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 Integrated Framework (2013)</w:t>
      </w:r>
      <w:r>
        <w:rPr>
          <w:rFonts w:ascii="Arial" w:cs="Arial" w:eastAsia="Arial" w:hAnsi="Arial"/>
          <w:sz w:val="17"/>
          <w:szCs w:val="17"/>
          <w:color w:val="auto"/>
        </w:rPr>
        <w:t>. Based on this assessment using those criteria, at the time the Company filed the Original Filing,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the Company’s internal control over financial reporting was effective as of December 31, 2021.</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Subsequent to the Original Filing, UHY LLP, our independent registered public accounting firm, advised the Company that in the course of a post-engagement review, they believed that a potential undisclosed weakness in our internal control over financial reporting may have existed as of December 31, 2021. As a result, we re-evaluated, under the supervision and with the participation of our management, including our Chief Executive Officer and Chief Financial Officer, the effectiveness of the Company’s internal control over financial reporting and identified the following material weakness existed as of December 31, 2021: inadequate controls to ensure that data received from third-party service organizations is complete and accurate. As a result, the Company’s management has concluded that we did not maintain effective internal control over financial reporting as of December 31, 2021, based on the criteria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Accordingly, management has revised its report on internal control over financial reporting.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UHY LLP, our independent registered public accounting firm that audited the consolidated financial statements included in our previously filed Annual Report on Form 10-K for the year ended December 31, 2021, has reissued an adverse audit report on the effectiveness of the Company’s internal control over financial reporting as of December 31, 2021 dated February 28, 2022, except as to the restatement of the effectiveness of internal control over financial reporting which is as of March 10, 2023. This reissued audit report is included in Item 8 of this Amendment No. 1 and is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actively engaged in the planning for, and implementation of, remediation efforts to address the material weakness identified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implement the following remediation steps:</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will require each third-party service organization to provide a SOC-1, Type 2 report to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believes the measures described above will remediate the material weakness that we have identified.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 13a-15(f) under the Exchange Act), that occurred during the quarter ended December 31, 2021 that has materially affected, or is reasonably likely to materially affect, our internal control over financial reporting.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 Schedules</w:t>
      </w:r>
    </w:p>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consolidated financial statements and exhibits listed below are filed as part of this Annual Report on Form 10-K.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Company’s consolidated financial statements, the notes thereto and the report of the Independent Registered Public Accounting Firm are included in PART II, Item 8. “Financial Statements and Supplementary Data.”</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not applicable, not required, or the required information is included in the Consolidated Financial Statements or Notes thereto.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Exhibits. Reference is made to Item 15(b) below.</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The Exhibit Index, which immediately precedes the signature page, is incorporated by reference into this Annual Report on Form 10-K.</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Reference is made to Item 15(a)(2)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20" w:type="dxa"/>
            <w:vAlign w:val="bottom"/>
            <w:gridSpan w:val="12"/>
          </w:tcPr>
          <w:p>
            <w:pPr>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2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8"/>
              </w:rPr>
            </w:pPr>
            <w:hyperlink r:id="rId54">
              <w:r>
                <w:rPr>
                  <w:rFonts w:ascii="Arial" w:cs="Arial" w:eastAsia="Arial" w:hAnsi="Arial"/>
                  <w:sz w:val="18"/>
                  <w:szCs w:val="18"/>
                  <w:color w:val="0000EE"/>
                  <w:w w:val="98"/>
                </w:rPr>
                <w:t>Articles of Incorporation of OptimizeRx Corporation (the “Company”) Incorporated by reference to Exhibit 3.1 to the Company’s</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2"/>
            <w:shd w:val="clear" w:color="auto" w:fill="CCEEFF"/>
          </w:tcPr>
          <w:p>
            <w:pPr>
              <w:ind w:left="20"/>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Registration Statement on Form S-1 (Registration No. 333-155280) filed on November 12, 2008.</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Certificate of Correction, dated April 30, 2018. Incorporated by reference to Exhibit 3.5 to the Company’s Annual Report on Form 10-K</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for the year ended December 31, 2018.</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10000" w:type="dxa"/>
            <w:vAlign w:val="bottom"/>
            <w:gridSpan w:val="22"/>
            <w:shd w:val="clear" w:color="auto" w:fill="CCEEFF"/>
          </w:tcPr>
          <w:p>
            <w:pPr>
              <w:ind w:left="20"/>
              <w:spacing w:after="0" w:line="17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Second Amended and Restated Bylaws of the Company. Incorporated by reference to Exhibit 3.1 to the Company’s Current Report on</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0000EE"/>
              <w:bottom w:val="single" w:sz="8" w:color="0000EE"/>
            </w:tcBorders>
            <w:gridSpan w:val="5"/>
            <w:shd w:val="clear" w:color="auto" w:fill="CCEEFF"/>
          </w:tcPr>
          <w:p>
            <w:pPr>
              <w:ind w:left="20"/>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Form 8-K filed on June 25, 2021.</w:t>
              </w:r>
            </w:hyperlink>
          </w:p>
        </w:tc>
        <w:tc>
          <w:tcPr>
            <w:tcW w:w="7560" w:type="dxa"/>
            <w:vAlign w:val="bottom"/>
            <w:tcBorders>
              <w:top w:val="single" w:sz="8" w:color="0000EE"/>
              <w:bottom w:val="single" w:sz="8" w:color="CCEEFF"/>
            </w:tcBorders>
            <w:gridSpan w:val="1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4"/>
              </w:rPr>
            </w:pPr>
            <w:hyperlink r:id="rId57">
              <w:r>
                <w:rPr>
                  <w:rFonts w:ascii="Arial" w:cs="Arial" w:eastAsia="Arial" w:hAnsi="Arial"/>
                  <w:sz w:val="18"/>
                  <w:szCs w:val="18"/>
                  <w:color w:val="0000EE"/>
                  <w:w w:val="94"/>
                </w:rPr>
                <w:t>Description of the Registrant’s Securities Registered Pursuant to Section 12 of the Securities Exchange Act of 1934. Incorporated by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2"/>
          </w:tcPr>
          <w:p>
            <w:pPr>
              <w:ind w:left="20"/>
              <w:spacing w:after="0" w:line="196" w:lineRule="exact"/>
              <w:rPr>
                <w:rFonts w:ascii="Arial" w:cs="Arial" w:eastAsia="Arial" w:hAnsi="Arial"/>
                <w:sz w:val="18"/>
                <w:szCs w:val="18"/>
                <w:color w:val="0000EE"/>
                <w:w w:val="94"/>
              </w:rPr>
            </w:pPr>
            <w:hyperlink r:id="rId57">
              <w:r>
                <w:rPr>
                  <w:rFonts w:ascii="Arial" w:cs="Arial" w:eastAsia="Arial" w:hAnsi="Arial"/>
                  <w:sz w:val="18"/>
                  <w:szCs w:val="18"/>
                  <w:color w:val="0000EE"/>
                  <w:w w:val="94"/>
                </w:rPr>
                <w:t>reference to Exhibit 4.1 to the Company’s Annual Report on Form 10-K for the year ended December 31, 2021 filed on February 28,</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20"/>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2022.</w:t>
              </w:r>
            </w:hyperlink>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Fourth Amended and Restated 2013 Equity Incentive Plan. Incorporated by reference to Exhibit 10.1 to the Company’s Current Report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0000EE"/>
            </w:tcBorders>
            <w:gridSpan w:val="6"/>
            <w:shd w:val="clear" w:color="auto" w:fill="CCEEFF"/>
          </w:tcPr>
          <w:p>
            <w:pPr>
              <w:ind w:left="20"/>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Form 8-K filed on March 12, 2020.</w:t>
              </w:r>
            </w:hyperlink>
          </w:p>
        </w:tc>
        <w:tc>
          <w:tcPr>
            <w:tcW w:w="7440" w:type="dxa"/>
            <w:vAlign w:val="bottom"/>
            <w:tcBorders>
              <w:bottom w:val="single" w:sz="8" w:color="CCEEFF"/>
            </w:tcBorders>
            <w:gridSpan w:val="16"/>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10.2†</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OptimizeRx 2021 Equity Incentive Plan. Incorporated by reference to Exhibit 10.1 to the Company’s Current Report on Form 8-K filed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August 25, 2021.</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5"/>
              </w:rPr>
            </w:pPr>
            <w:hyperlink r:id="rId60">
              <w:r>
                <w:rPr>
                  <w:rFonts w:ascii="Arial" w:cs="Arial" w:eastAsia="Arial" w:hAnsi="Arial"/>
                  <w:sz w:val="18"/>
                  <w:szCs w:val="18"/>
                  <w:color w:val="0000EE"/>
                  <w:w w:val="95"/>
                </w:rPr>
                <w:t>Form of Stock Option Award for grants under the OptimizeRx Corporation 2021 Equity Incentive Plan. Incorporated by reference to</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0000EE"/>
            </w:tcBorders>
            <w:gridSpan w:val="17"/>
            <w:shd w:val="clear" w:color="auto" w:fill="CCEEFF"/>
          </w:tcPr>
          <w:p>
            <w:pPr>
              <w:ind w:left="20"/>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Exhibit 10.2 to the Company’s Current Report on Form 8-K filed on August 25, 2021.</w:t>
              </w:r>
            </w:hyperlink>
          </w:p>
        </w:tc>
        <w:tc>
          <w:tcPr>
            <w:tcW w:w="378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10.4†</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5"/>
              </w:rPr>
            </w:pPr>
            <w:hyperlink r:id="rId61">
              <w:r>
                <w:rPr>
                  <w:rFonts w:ascii="Arial" w:cs="Arial" w:eastAsia="Arial" w:hAnsi="Arial"/>
                  <w:sz w:val="18"/>
                  <w:szCs w:val="18"/>
                  <w:color w:val="0000EE"/>
                  <w:w w:val="95"/>
                </w:rPr>
                <w:t>Form of Performance Stock Option Award for grants under the OptimizeRx Corporation 2021 Equity Incentive Plan. Incorporated by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 to Exhibit 10.3 to the Company’s Current Report on Form 8-K filed on August 25, 2021.</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Form of Restricted Stock Unit Award for grants under the OptimizeRx Corporation 2021 Equity Incentive Plan. Incorporated by reference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0" w:type="dxa"/>
            <w:vAlign w:val="bottom"/>
            <w:tcBorders>
              <w:bottom w:val="single" w:sz="8" w:color="0000EE"/>
            </w:tcBorders>
            <w:gridSpan w:val="18"/>
            <w:shd w:val="clear" w:color="auto" w:fill="CCEEFF"/>
          </w:tcPr>
          <w:p>
            <w:pPr>
              <w:ind w:left="20"/>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to Exhibit 10.4 to the Company’s Current Report on Form 8-K filed on August 25, 2021.</w:t>
              </w:r>
            </w:hyperlink>
          </w:p>
        </w:tc>
        <w:tc>
          <w:tcPr>
            <w:tcW w:w="360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10.6†</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5"/>
              </w:rPr>
            </w:pPr>
            <w:hyperlink r:id="rId63">
              <w:r>
                <w:rPr>
                  <w:rFonts w:ascii="Arial" w:cs="Arial" w:eastAsia="Arial" w:hAnsi="Arial"/>
                  <w:sz w:val="18"/>
                  <w:szCs w:val="18"/>
                  <w:color w:val="0000EE"/>
                  <w:w w:val="95"/>
                </w:rPr>
                <w:t>Form of Performance Restricted Stock Unit Award for grants under the OptimizeRx Corporation 2021. Incorporated by reference to</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Exhibit 10.5 to the Company’s Current Report on Form 8-K filed on August 25, 2021</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Amended Employment Agreement by and between the Company and William J. Febbo. Incorporated by reference to Exhibit 10.1 to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0000EE"/>
            </w:tcBorders>
            <w:gridSpan w:val="15"/>
            <w:shd w:val="clear" w:color="auto" w:fill="CCEEFF"/>
          </w:tcPr>
          <w:p>
            <w:pPr>
              <w:ind w:left="20"/>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Company’s Current Report on Form 8-K filed on February 26, 2019.</w:t>
              </w:r>
            </w:hyperlink>
          </w:p>
        </w:tc>
        <w:tc>
          <w:tcPr>
            <w:tcW w:w="504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10.8†</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5"/>
              </w:rPr>
            </w:pPr>
            <w:hyperlink r:id="rId65">
              <w:r>
                <w:rPr>
                  <w:rFonts w:ascii="Arial" w:cs="Arial" w:eastAsia="Arial" w:hAnsi="Arial"/>
                  <w:sz w:val="18"/>
                  <w:szCs w:val="18"/>
                  <w:color w:val="0000EE"/>
                  <w:w w:val="95"/>
                </w:rPr>
                <w:t>Amendment to the Employment Agreement with William Febbo. Incorporated by reference to Exhibit 10.4 to the Company’s Annual</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Report on Form 10-K for the year ended December 31, 2019.</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10.9 †</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Addendum to the Employment Agreement with William J. Febbo. Incorporated by reference to Exhibit 10.1 to the Company’s Quarterly</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20" w:type="dxa"/>
            <w:vAlign w:val="bottom"/>
            <w:tcBorders>
              <w:bottom w:val="single" w:sz="8" w:color="0000EE"/>
            </w:tcBorders>
            <w:gridSpan w:val="13"/>
            <w:shd w:val="clear" w:color="auto" w:fill="CCEEFF"/>
          </w:tcPr>
          <w:p>
            <w:pPr>
              <w:ind w:left="20"/>
              <w:spacing w:after="0" w:line="19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Report on Form 10-Q for the quarter ended June 30, 2021.</w:t>
              </w:r>
            </w:hyperlink>
          </w:p>
        </w:tc>
        <w:tc>
          <w:tcPr>
            <w:tcW w:w="578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10.10*†</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5"/>
              </w:rPr>
            </w:pPr>
            <w:hyperlink r:id="rId67">
              <w:r>
                <w:rPr>
                  <w:rFonts w:ascii="Arial" w:cs="Arial" w:eastAsia="Arial" w:hAnsi="Arial"/>
                  <w:sz w:val="18"/>
                  <w:szCs w:val="18"/>
                  <w:color w:val="0000EE"/>
                  <w:w w:val="95"/>
                </w:rPr>
                <w:t>Third Addendum to the Employment Agreement with William J. Febbo,. Incorporated by reference to Exhibit 10.1 to the Company’s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Current Report on Form 8-K filed on October 19,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Amended Employment Agreement with Miriam Paramore. Incorporated by reference to Exhibit 10.2 to the Company’s Current Report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0000EE"/>
            </w:tcBorders>
            <w:gridSpan w:val="8"/>
            <w:shd w:val="clear" w:color="auto" w:fill="CCEEFF"/>
          </w:tcPr>
          <w:p>
            <w:pPr>
              <w:ind w:left="20"/>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Form 8-K filed on September 14, 2018.</w:t>
              </w:r>
            </w:hyperlink>
          </w:p>
        </w:tc>
        <w:tc>
          <w:tcPr>
            <w:tcW w:w="7140" w:type="dxa"/>
            <w:vAlign w:val="bottom"/>
            <w:tcBorders>
              <w:bottom w:val="single" w:sz="8" w:color="CCEEFF"/>
            </w:tcBorders>
            <w:gridSpan w:val="14"/>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10.12†</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Amendment to the Employment Agreement with Miriam Paramore. Incorporated by reference to Exhibit 10.6 to the Company’s Annual</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Report on Form 10-K for the year ended December 31, 2019.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5"/>
              </w:rPr>
            </w:pPr>
            <w:hyperlink r:id="rId70">
              <w:r>
                <w:rPr>
                  <w:rFonts w:ascii="Arial" w:cs="Arial" w:eastAsia="Arial" w:hAnsi="Arial"/>
                  <w:sz w:val="18"/>
                  <w:szCs w:val="18"/>
                  <w:color w:val="0000EE"/>
                  <w:w w:val="95"/>
                </w:rPr>
                <w:t>Letter Agreement by and between the Company and Miriam Paramore. Incorporated by reference to Exhibit 10.1 to the Company’s</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2"/>
            <w:shd w:val="clear" w:color="auto" w:fill="CCEEFF"/>
          </w:tcPr>
          <w:p>
            <w:pPr>
              <w:ind w:left="20"/>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Current Report on Form 8-K filed on December 22, 2021.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10.14†</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Employment Agreement by and between the Company and Stephen Silvestro. Incorporated by reference to Exhibit 10.1 to the Company’s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Current Report on Form 8-K filed on May 3, 2019.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10000" w:type="dxa"/>
            <w:vAlign w:val="bottom"/>
            <w:gridSpan w:val="22"/>
            <w:shd w:val="clear" w:color="auto" w:fill="CCEEFF"/>
          </w:tcPr>
          <w:p>
            <w:pPr>
              <w:ind w:left="20"/>
              <w:spacing w:after="0" w:line="17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Amendment to the Employment Agreement with Stephen Silvestro. Incorporated by reference to Exhibit 10.5 to the Company’s Annual</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21"/>
            <w:shd w:val="clear" w:color="auto" w:fill="CCEEFF"/>
          </w:tcPr>
          <w:p>
            <w:pPr>
              <w:ind w:left="20"/>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Report on Form 10-K for the year ended December 31, 2019.</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gridSpan w:val="2"/>
          </w:tcPr>
          <w:p>
            <w:pPr>
              <w:spacing w:after="0" w:line="176" w:lineRule="exact"/>
              <w:rPr>
                <w:sz w:val="20"/>
                <w:szCs w:val="20"/>
                <w:color w:val="auto"/>
              </w:rPr>
            </w:pPr>
            <w:r>
              <w:rPr>
                <w:rFonts w:ascii="Arial" w:cs="Arial" w:eastAsia="Arial" w:hAnsi="Arial"/>
                <w:sz w:val="18"/>
                <w:szCs w:val="18"/>
                <w:color w:val="auto"/>
              </w:rPr>
              <w:t>10.16†</w:t>
            </w: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Employment Agreement with Marion Odence-Ford. Incorporated by reference to Exhibit 10.1 to the Company’s Current Report on Form</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2"/>
          </w:tcPr>
          <w:p>
            <w:pPr>
              <w:ind w:left="20"/>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8-K filed on February 11,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0000" w:type="dxa"/>
            <w:vAlign w:val="bottom"/>
            <w:tcBorders>
              <w:bottom w:val="single" w:sz="8" w:color="0000EE"/>
            </w:tcBorders>
            <w:gridSpan w:val="22"/>
            <w:shd w:val="clear" w:color="auto" w:fill="CCEEFF"/>
          </w:tcPr>
          <w:p>
            <w:pPr>
              <w:ind w:left="20"/>
              <w:spacing w:after="0" w:line="17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Offer Letter by and between the Company and Edward Stelmakh. Incorporated by reference to Exhibit 10.1 to the Company’s Current</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0000EE"/>
            </w:tcBorders>
            <w:gridSpan w:val="9"/>
            <w:shd w:val="clear" w:color="auto" w:fill="CCEEFF"/>
          </w:tcPr>
          <w:p>
            <w:pPr>
              <w:ind w:left="20"/>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Report on Form 8-K filed on September 30, 2021.</w:t>
              </w:r>
            </w:hyperlink>
          </w:p>
        </w:tc>
        <w:tc>
          <w:tcPr>
            <w:tcW w:w="6380" w:type="dxa"/>
            <w:vAlign w:val="bottom"/>
            <w:tcBorders>
              <w:bottom w:val="single" w:sz="8" w:color="CCEEFF"/>
            </w:tcBorders>
            <w:gridSpan w:val="1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2"/>
          </w:tcPr>
          <w:p>
            <w:pPr>
              <w:ind w:left="20"/>
              <w:spacing w:after="0" w:line="17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Code of Business Conduct and Ethics Incorporated by reference to Exhibit 14.1 to the Company’s Current Report on Form 8-K filed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5"/>
              </w:rPr>
            </w:pPr>
            <w:hyperlink r:id="rId75">
              <w:r>
                <w:rPr>
                  <w:rFonts w:ascii="Arial" w:cs="Arial" w:eastAsia="Arial" w:hAnsi="Arial"/>
                  <w:sz w:val="18"/>
                  <w:szCs w:val="18"/>
                  <w:color w:val="0000EE"/>
                  <w:w w:val="85"/>
                </w:rPr>
                <w:t>June 25, 2021.</w:t>
              </w:r>
            </w:hyperlink>
          </w:p>
        </w:tc>
        <w:tc>
          <w:tcPr>
            <w:tcW w:w="8940" w:type="dxa"/>
            <w:vAlign w:val="bottom"/>
            <w:gridSpan w:val="20"/>
          </w:tcPr>
          <w:p>
            <w:pPr>
              <w:spacing w:after="0"/>
              <w:rPr>
                <w:sz w:val="17"/>
                <w:szCs w:val="17"/>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5"/>
          </w:tcPr>
          <w:p>
            <w:pPr>
              <w:ind w:left="4300"/>
              <w:spacing w:after="0"/>
              <w:rPr>
                <w:sz w:val="20"/>
                <w:szCs w:val="20"/>
                <w:color w:val="auto"/>
              </w:rPr>
            </w:pPr>
            <w:r>
              <w:rPr>
                <w:rFonts w:ascii="Arial" w:cs="Arial" w:eastAsia="Arial" w:hAnsi="Arial"/>
                <w:sz w:val="18"/>
                <w:szCs w:val="18"/>
                <w:color w:val="auto"/>
              </w:rPr>
              <w:t>14</w:t>
            </w: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21.1</w:t>
            </w:r>
          </w:p>
        </w:tc>
        <w:tc>
          <w:tcPr>
            <w:tcW w:w="10000" w:type="dxa"/>
            <w:vAlign w:val="bottom"/>
            <w:tcBorders>
              <w:bottom w:val="single" w:sz="8" w:color="0000EE"/>
            </w:tcBorders>
            <w:gridSpan w:val="6"/>
            <w:shd w:val="clear" w:color="auto" w:fill="CCEEFF"/>
          </w:tcPr>
          <w:p>
            <w:pPr>
              <w:ind w:left="20"/>
              <w:spacing w:after="0"/>
              <w:rPr>
                <w:rFonts w:ascii="Arial" w:cs="Arial" w:eastAsia="Arial" w:hAnsi="Arial"/>
                <w:sz w:val="18"/>
                <w:szCs w:val="18"/>
                <w:color w:val="0000EE"/>
                <w:w w:val="98"/>
              </w:rPr>
            </w:pPr>
            <w:hyperlink r:id="rId76">
              <w:r>
                <w:rPr>
                  <w:rFonts w:ascii="Arial" w:cs="Arial" w:eastAsia="Arial" w:hAnsi="Arial"/>
                  <w:sz w:val="18"/>
                  <w:szCs w:val="18"/>
                  <w:color w:val="0000EE"/>
                  <w:w w:val="98"/>
                </w:rPr>
                <w:t>List of Subsidiaries Incorporated by reference to Exhibit 21.1 to the Company’s Annual Report on Form 10-K for the year ended</w:t>
              </w:r>
            </w:hyperlink>
          </w:p>
        </w:tc>
      </w:tr>
      <w:tr>
        <w:trPr>
          <w:trHeight w:val="217"/>
        </w:trPr>
        <w:tc>
          <w:tcPr>
            <w:tcW w:w="124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0000EE"/>
            </w:tcBorders>
            <w:gridSpan w:val="4"/>
            <w:shd w:val="clear" w:color="auto" w:fill="CCEEFF"/>
          </w:tcPr>
          <w:p>
            <w:pPr>
              <w:ind w:left="20"/>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December 31, 2021 filed on February 28, 2022.</w:t>
              </w:r>
            </w:hyperlink>
          </w:p>
        </w:tc>
        <w:tc>
          <w:tcPr>
            <w:tcW w:w="656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124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00" w:type="dxa"/>
            <w:vAlign w:val="bottom"/>
            <w:gridSpan w:val="6"/>
          </w:tcPr>
          <w:p>
            <w:pPr>
              <w:ind w:left="20"/>
              <w:spacing w:after="0" w:line="176" w:lineRule="exact"/>
              <w:rPr>
                <w:sz w:val="20"/>
                <w:szCs w:val="20"/>
                <w:color w:val="auto"/>
              </w:rPr>
            </w:pPr>
            <w:r>
              <w:rPr>
                <w:rFonts w:ascii="Arial" w:cs="Arial" w:eastAsia="Arial" w:hAnsi="Arial"/>
                <w:sz w:val="18"/>
                <w:szCs w:val="18"/>
                <w:color w:val="0000EE"/>
              </w:rPr>
              <w:t>Consent of UHY LLP</w:t>
            </w:r>
          </w:p>
        </w:tc>
      </w:tr>
      <w:tr>
        <w:trPr>
          <w:trHeight w:val="20"/>
        </w:trPr>
        <w:tc>
          <w:tcPr>
            <w:tcW w:w="124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0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0000EE"/>
                <w:w w:val="93"/>
              </w:rPr>
              <w:t>Certification of Chief Executive Officer pursuant to Securities Exchange Act Rule 13a-14(a)/15d-14(a), as adopted pursuant to Section</w:t>
            </w:r>
          </w:p>
        </w:tc>
      </w:tr>
      <w:tr>
        <w:trPr>
          <w:trHeight w:val="217"/>
        </w:trPr>
        <w:tc>
          <w:tcPr>
            <w:tcW w:w="124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0000EE"/>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716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2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000" w:type="dxa"/>
            <w:vAlign w:val="bottom"/>
            <w:gridSpan w:val="6"/>
          </w:tcPr>
          <w:p>
            <w:pPr>
              <w:ind w:left="20"/>
              <w:spacing w:after="0" w:line="176" w:lineRule="exact"/>
              <w:rPr>
                <w:sz w:val="20"/>
                <w:szCs w:val="20"/>
                <w:color w:val="auto"/>
              </w:rPr>
            </w:pPr>
            <w:r>
              <w:rPr>
                <w:rFonts w:ascii="Arial" w:cs="Arial" w:eastAsia="Arial" w:hAnsi="Arial"/>
                <w:sz w:val="18"/>
                <w:szCs w:val="18"/>
                <w:color w:val="0000EE"/>
                <w:w w:val="90"/>
              </w:rPr>
              <w:t>Certification of Chief Financial Officer pursuant to Securities Exchange Act Rule 13a-14(a)/15d-14(a), as adopted pursuant to Section 302</w:t>
            </w:r>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5"/>
          </w:tcPr>
          <w:p>
            <w:pPr>
              <w:ind w:left="20"/>
              <w:spacing w:after="0" w:line="196" w:lineRule="exact"/>
              <w:rPr>
                <w:sz w:val="20"/>
                <w:szCs w:val="20"/>
                <w:color w:val="auto"/>
              </w:rPr>
            </w:pPr>
            <w:r>
              <w:rPr>
                <w:rFonts w:ascii="Arial" w:cs="Arial" w:eastAsia="Arial" w:hAnsi="Arial"/>
                <w:sz w:val="18"/>
                <w:szCs w:val="18"/>
                <w:color w:val="0000EE"/>
              </w:rPr>
              <w:t>of the Sarbanes-Oxley Act of 2002</w:t>
            </w:r>
          </w:p>
        </w:tc>
        <w:tc>
          <w:tcPr>
            <w:tcW w:w="20" w:type="dxa"/>
            <w:vAlign w:val="bottom"/>
          </w:tcPr>
          <w:p>
            <w:pPr>
              <w:spacing w:after="0"/>
              <w:rPr>
                <w:sz w:val="17"/>
                <w:szCs w:val="17"/>
                <w:color w:val="auto"/>
              </w:rPr>
            </w:pPr>
          </w:p>
        </w:tc>
      </w:tr>
      <w:tr>
        <w:trPr>
          <w:trHeight w:val="21"/>
        </w:trPr>
        <w:tc>
          <w:tcPr>
            <w:tcW w:w="124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0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0000EE"/>
                <w:w w:val="93"/>
              </w:rPr>
              <w:t>Certification of Chief Executive Officer and Chief Financial Officer pursuant to 18 U.S.C. Section 1350, as adopted pursuant to Section</w:t>
            </w:r>
          </w:p>
        </w:tc>
      </w:tr>
      <w:tr>
        <w:trPr>
          <w:trHeight w:val="216"/>
        </w:trPr>
        <w:tc>
          <w:tcPr>
            <w:tcW w:w="124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0000EE"/>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7160" w:type="dxa"/>
            <w:vAlign w:val="bottom"/>
            <w:tcBorders>
              <w:bottom w:val="single" w:sz="8" w:color="CCEEFF"/>
            </w:tcBorders>
            <w:gridSpan w:val="3"/>
            <w:shd w:val="clear" w:color="auto" w:fill="CCEEFF"/>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Inline XBRL Schema Document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Calculation Linkbase Document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Inline XBRL Definition Linkbase Document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Label Linkbase Document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Inline Presentation Linkbase Document</w:t>
            </w:r>
          </w:p>
        </w:tc>
      </w:tr>
    </w:tbl>
    <w:p>
      <w:pPr>
        <w:ind w:left="1260" w:hanging="1252"/>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Contracts and Compensatory Plans, Contracts or Arrangements.</w:t>
      </w:r>
    </w:p>
    <w:p>
      <w:pPr>
        <w:spacing w:after="0" w:line="225"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have been omitted pursuant to Item 601(a)(5) of Regulation S-K. The Company agrees to furnish supplementally a copy of any omitted exhibit to the SEC upon request.</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10, 2023</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Edward Stelmakh</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Operations Officer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10,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4937760" cy="454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49377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on Form S-3 (File No. 333-252844) and Forms S-8 (File Nos. 333-259218; 333-23760; 333-230212, 333-210653 and 333-189439) of OptimizeRx Corporation and Subsidiaries (the “Company”) of our reports dated February 28, 2022, except as to the restatement of the effectiveness of internal control over financial reporting for the material weakness related to the Company’s inability to obtain evidence about the effectiveness of controls at third-party service organizations, which is as of March 10, 2023, with respect to the consolidated financial statements of OptimizeRx Corporation and Subsidiaries as of and for the years ended December 31, 2021 and 2020, and the effectiveness of internal control over financial reporting of OptimizeRx Corporation and Subsidiaries as of December 31, 2021, which reports appear in this annual report on Form 10-K/A of the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 dated February 28, 2022, except as to the restatement of the effectiveness of internal control over financial reporting for the material weakness related to the Company’s inability to obtain evidence about the effectiveness of controls over financial reporting at third-party service organizations, which is as of March 10, 2023, on the effectiveness of internal control over financial reporting as of December 31, 2021, expresses our opinion that the Company did not maintain effective internal controls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December 31, 2021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J.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 Principal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Edward Stelmakh,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December 31, 2021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Edward Stelmakh</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OptimizeRx Corp (the “Company”) on Form 10-K/A for the year ended December 31, 2021 filed with the Securities and Exchange Commission (the “Report”), I, William J. Febbo, Chief Executive Officer of the Company, and I, Edward Stelmakh, certify, pursuant to 18 U.S.C. Section 1350, as adopted pursuant to Section 906 of the Sarbanes-Oxley Act of 2002, that:</w:t>
      </w:r>
    </w:p>
    <w:p>
      <w:pPr>
        <w:spacing w:after="0" w:line="2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William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6"/>
              </w:rPr>
              <w:t>Chief Executive Officer, Principal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March 10, 2023</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Stelmakh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9"/>
              </w:rPr>
              <w:t>Chief Financial Officer, Principal Financial Officer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March 10, 2023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lvl w:ilvl="1">
      <w:lvlJc w:val="left"/>
      <w:lvlText w:val="(%2)"/>
      <w:numFmt w:val="decimal"/>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jpeg"/><Relationship Id="rId82" Type="http://schemas.openxmlformats.org/officeDocument/2006/relationships/image" Target="media/image52.png"/><Relationship Id="rId83" Type="http://schemas.openxmlformats.org/officeDocument/2006/relationships/image" Target="media/image53.png"/><Relationship Id="rId54" Type="http://schemas.openxmlformats.org/officeDocument/2006/relationships/hyperlink" Target="http://www.sec.gov/Archives/edgar/data/1448431/000136110608000414/optimizerx_s1-ex0301.htm" TargetMode="External"/><Relationship Id="rId55" Type="http://schemas.openxmlformats.org/officeDocument/2006/relationships/hyperlink" Target="http://www.sec.gov/Archives/edgar/data/1448431/000121390019003962/f10k2018ex3-5_optimizerx.htm" TargetMode="External"/><Relationship Id="rId56" Type="http://schemas.openxmlformats.org/officeDocument/2006/relationships/hyperlink" Target="http://www.sec.gov/Archives/edgar/data/1448431/000121390021034240/ea143323ex3-1_optimizrex.htm" TargetMode="External"/><Relationship Id="rId57" Type="http://schemas.openxmlformats.org/officeDocument/2006/relationships/hyperlink" Target="http://www.sec.gov/Archives/edgar/data/1448431/000121390022009736/f10k2021ex4-1_optimizerx.htm" TargetMode="External"/><Relationship Id="rId58" Type="http://schemas.openxmlformats.org/officeDocument/2006/relationships/hyperlink" Target="http://www.sec.gov/Archives/edgar/data/1448431/000121390020006161/ea119535ex10-1_optimize.htm" TargetMode="External"/><Relationship Id="rId59" Type="http://schemas.openxmlformats.org/officeDocument/2006/relationships/hyperlink" Target="http://www.sec.gov/Archives/edgar/data/1448431/000121390021044810/ea146392ex10-1_optimizerx.htm" TargetMode="External"/><Relationship Id="rId60" Type="http://schemas.openxmlformats.org/officeDocument/2006/relationships/hyperlink" Target="http://www.sec.gov/Archives/edgar/data/1448431/000121390021044810/ea146392ex10-2_optimizerx.htm" TargetMode="External"/><Relationship Id="rId61" Type="http://schemas.openxmlformats.org/officeDocument/2006/relationships/hyperlink" Target="http://www.sec.gov/Archives/edgar/data/1448431/000121390021044810/ea146392ex10-3_optimizerx.htm" TargetMode="External"/><Relationship Id="rId62" Type="http://schemas.openxmlformats.org/officeDocument/2006/relationships/hyperlink" Target="http://www.sec.gov/Archives/edgar/data/1448431/000121390021044810/ea146392ex10-4_optimizerx.htm" TargetMode="External"/><Relationship Id="rId63" Type="http://schemas.openxmlformats.org/officeDocument/2006/relationships/hyperlink" Target="http://www.sec.gov/Archives/edgar/data/1448431/000121390021044810/ea146392ex10-5_optimizerx.htm" TargetMode="External"/><Relationship Id="rId64" Type="http://schemas.openxmlformats.org/officeDocument/2006/relationships/hyperlink" Target="http://www.sec.gov/Archives/edgar/data/1448431/000121390019003159/f8k022519ex10-1_optimizerx.htm" TargetMode="External"/><Relationship Id="rId65" Type="http://schemas.openxmlformats.org/officeDocument/2006/relationships/hyperlink" Target="http://www.sec.gov/Archives/edgar/data/1448431/000121390020007491/f10k2019ex10-4_optimizerx.htm" TargetMode="External"/><Relationship Id="rId66" Type="http://schemas.openxmlformats.org/officeDocument/2006/relationships/hyperlink" Target="http://www.sec.gov/Archives/edgar/data/1448431/000121390021040306/f10q0621ex10-1_optimizerx.htm" TargetMode="External"/><Relationship Id="rId67" Type="http://schemas.openxmlformats.org/officeDocument/2006/relationships/hyperlink" Target="http://www.sec.gov/Archives/edgar/data/1448431/000121390021053525/ea149083ex10-1_optimizerx.htm" TargetMode="External"/><Relationship Id="rId68" Type="http://schemas.openxmlformats.org/officeDocument/2006/relationships/hyperlink" Target="http://www.sec.gov/Archives/edgar/data/1448431/000121390018012576/f8k091218ex10-2_optimizerx.htm" TargetMode="External"/><Relationship Id="rId69" Type="http://schemas.openxmlformats.org/officeDocument/2006/relationships/hyperlink" Target="http://www.sec.gov/Archives/edgar/data/1448431/000121390020007491/f10k2019ex10-6_optimizerx.htm" TargetMode="External"/><Relationship Id="rId70" Type="http://schemas.openxmlformats.org/officeDocument/2006/relationships/hyperlink" Target="http://www.sec.gov/Archives/edgar/data/1448431/000121390021067049/ea152841ex10-1_optimizerx.htm" TargetMode="External"/><Relationship Id="rId71" Type="http://schemas.openxmlformats.org/officeDocument/2006/relationships/hyperlink" Target="http://www.sec.gov/Archives/edgar/data/1448431/000121390019007803/f8k042919ex10-1_optimizerx.htm" TargetMode="External"/><Relationship Id="rId72" Type="http://schemas.openxmlformats.org/officeDocument/2006/relationships/hyperlink" Target="http://www.sec.gov/Archives/edgar/data/1448431/000121390020007491/f10k2019ex10-5_optimizerx.htm" TargetMode="External"/><Relationship Id="rId73" Type="http://schemas.openxmlformats.org/officeDocument/2006/relationships/hyperlink" Target="http://www.sec.gov/Archives/edgar/data/1448431/000121390021008493/ea135275ex10-1_optimizerx.htm" TargetMode="External"/><Relationship Id="rId74" Type="http://schemas.openxmlformats.org/officeDocument/2006/relationships/hyperlink" Target="http://www.sec.gov/Archives/edgar/data/1448431/000121390021050817/ea148140ex10-1_optimizerx.htm" TargetMode="External"/><Relationship Id="rId75" Type="http://schemas.openxmlformats.org/officeDocument/2006/relationships/hyperlink" Target="http://www.sec.gov/Archives/edgar/data/1448431/000121390021034240/ea143323ex14-1_optimizrex.htm" TargetMode="External"/><Relationship Id="rId76" Type="http://schemas.openxmlformats.org/officeDocument/2006/relationships/hyperlink" Target="https://www.sec.gov/Archives/edgar/data/1448431/000121390022009736/f10k2021ex21-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2023-03-10T22:05:10Z</dcterms:created>
  <dcterms:modified xsi:type="dcterms:W3CDTF">2023-03-10T22:05:10Z</dcterms:modified>
</cp:coreProperties>
</file>