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300" w:type="dxa"/>
            <w:vAlign w:val="bottom"/>
            <w:gridSpan w:val="4"/>
          </w:tcPr>
          <w:p>
            <w:pPr>
              <w:jc w:val="center"/>
              <w:ind w:right="1500"/>
              <w:spacing w:after="0"/>
              <w:rPr>
                <w:sz w:val="20"/>
                <w:szCs w:val="20"/>
                <w:color w:val="auto"/>
              </w:rPr>
            </w:pPr>
            <w:r>
              <w:rPr>
                <w:rFonts w:ascii="Arial" w:cs="Arial" w:eastAsia="Arial" w:hAnsi="Arial"/>
                <w:sz w:val="18"/>
                <w:szCs w:val="18"/>
                <w:b w:val="1"/>
                <w:bCs w:val="1"/>
                <w:color w:val="auto"/>
              </w:rPr>
              <w:t>FORM 8-K</w:t>
            </w:r>
          </w:p>
        </w:tc>
        <w:tc>
          <w:tcPr>
            <w:tcW w:w="322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00" w:type="dxa"/>
            <w:vAlign w:val="bottom"/>
            <w:gridSpan w:val="4"/>
          </w:tcPr>
          <w:p>
            <w:pPr>
              <w:jc w:val="center"/>
              <w:ind w:right="1500"/>
              <w:spacing w:after="0"/>
              <w:rPr>
                <w:sz w:val="20"/>
                <w:szCs w:val="20"/>
                <w:color w:val="auto"/>
              </w:rPr>
            </w:pPr>
            <w:r>
              <w:rPr>
                <w:rFonts w:ascii="Arial" w:cs="Arial" w:eastAsia="Arial" w:hAnsi="Arial"/>
                <w:sz w:val="18"/>
                <w:szCs w:val="18"/>
                <w:b w:val="1"/>
                <w:bCs w:val="1"/>
                <w:color w:val="auto"/>
                <w:w w:val="99"/>
              </w:rPr>
              <w:t>CURRENT REPORT</w:t>
            </w:r>
          </w:p>
        </w:tc>
        <w:tc>
          <w:tcPr>
            <w:tcW w:w="322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80" w:type="dxa"/>
            <w:vAlign w:val="bottom"/>
            <w:gridSpan w:val="5"/>
          </w:tcPr>
          <w:p>
            <w:pPr>
              <w:jc w:val="center"/>
              <w:ind w:right="600"/>
              <w:spacing w:after="0"/>
              <w:rPr>
                <w:sz w:val="20"/>
                <w:szCs w:val="20"/>
                <w:color w:val="auto"/>
              </w:rPr>
            </w:pPr>
            <w:r>
              <w:rPr>
                <w:rFonts w:ascii="Arial" w:cs="Arial" w:eastAsia="Arial" w:hAnsi="Arial"/>
                <w:sz w:val="18"/>
                <w:szCs w:val="18"/>
                <w:b w:val="1"/>
                <w:bCs w:val="1"/>
                <w:color w:val="auto"/>
                <w:w w:val="97"/>
              </w:rPr>
              <w:t>PURSUANT TO SECTION 13 OR 15(d) OF</w:t>
            </w:r>
          </w:p>
        </w:tc>
        <w:tc>
          <w:tcPr>
            <w:tcW w:w="3220" w:type="dxa"/>
            <w:vAlign w:val="bottom"/>
          </w:tcPr>
          <w:p>
            <w:pPr>
              <w:spacing w:after="0"/>
              <w:rPr>
                <w:sz w:val="18"/>
                <w:szCs w:val="18"/>
                <w:color w:val="auto"/>
              </w:rPr>
            </w:pPr>
          </w:p>
        </w:tc>
      </w:tr>
      <w:tr>
        <w:trPr>
          <w:trHeight w:val="234"/>
        </w:trPr>
        <w:tc>
          <w:tcPr>
            <w:tcW w:w="3620" w:type="dxa"/>
            <w:vAlign w:val="bottom"/>
          </w:tcPr>
          <w:p>
            <w:pPr>
              <w:spacing w:after="0"/>
              <w:rPr>
                <w:sz w:val="20"/>
                <w:szCs w:val="20"/>
                <w:color w:val="auto"/>
              </w:rPr>
            </w:pPr>
          </w:p>
        </w:tc>
        <w:tc>
          <w:tcPr>
            <w:tcW w:w="440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20" w:type="dxa"/>
            <w:vAlign w:val="bottom"/>
          </w:tcPr>
          <w:p>
            <w:pPr>
              <w:spacing w:after="0"/>
              <w:rPr>
                <w:sz w:val="20"/>
                <w:szCs w:val="20"/>
                <w:color w:val="auto"/>
              </w:rPr>
            </w:pPr>
          </w:p>
        </w:tc>
      </w:tr>
      <w:tr>
        <w:trPr>
          <w:trHeight w:val="432"/>
        </w:trPr>
        <w:tc>
          <w:tcPr>
            <w:tcW w:w="8020" w:type="dxa"/>
            <w:vAlign w:val="bottom"/>
            <w:gridSpan w:val="7"/>
          </w:tcPr>
          <w:p>
            <w:pPr>
              <w:jc w:val="center"/>
              <w:ind w:left="3130"/>
              <w:spacing w:after="0"/>
              <w:rPr>
                <w:sz w:val="20"/>
                <w:szCs w:val="20"/>
                <w:color w:val="auto"/>
              </w:rPr>
            </w:pPr>
            <w:r>
              <w:rPr>
                <w:rFonts w:ascii="Arial" w:cs="Arial" w:eastAsia="Arial" w:hAnsi="Arial"/>
                <w:sz w:val="18"/>
                <w:szCs w:val="18"/>
                <w:color w:val="auto"/>
                <w:w w:val="91"/>
              </w:rPr>
              <w:t>Date of Report (Date of earliest event reported): April 27, 2021</w:t>
            </w:r>
          </w:p>
        </w:tc>
        <w:tc>
          <w:tcPr>
            <w:tcW w:w="3220" w:type="dxa"/>
            <w:vAlign w:val="bottom"/>
          </w:tcPr>
          <w:p>
            <w:pPr>
              <w:spacing w:after="0"/>
              <w:rPr>
                <w:sz w:val="24"/>
                <w:szCs w:val="24"/>
                <w:color w:val="auto"/>
              </w:rPr>
            </w:pPr>
          </w:p>
        </w:tc>
      </w:tr>
      <w:tr>
        <w:trPr>
          <w:trHeight w:val="391"/>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00" w:type="dxa"/>
            <w:vAlign w:val="bottom"/>
            <w:gridSpan w:val="4"/>
          </w:tcPr>
          <w:p>
            <w:pPr>
              <w:jc w:val="center"/>
              <w:ind w:right="1500"/>
              <w:spacing w:after="0"/>
              <w:rPr>
                <w:sz w:val="20"/>
                <w:szCs w:val="20"/>
                <w:color w:val="auto"/>
              </w:rPr>
            </w:pPr>
            <w:r>
              <w:rPr>
                <w:rFonts w:ascii="Arial" w:cs="Arial" w:eastAsia="Arial" w:hAnsi="Arial"/>
                <w:sz w:val="18"/>
                <w:szCs w:val="18"/>
                <w:color w:val="auto"/>
                <w:w w:val="93"/>
              </w:rPr>
              <w:t>OptimizeRx Corporation</w:t>
            </w:r>
          </w:p>
        </w:tc>
        <w:tc>
          <w:tcPr>
            <w:tcW w:w="3220" w:type="dxa"/>
            <w:vAlign w:val="bottom"/>
          </w:tcPr>
          <w:p>
            <w:pPr>
              <w:spacing w:after="0"/>
              <w:rPr>
                <w:sz w:val="24"/>
                <w:szCs w:val="24"/>
                <w:color w:val="auto"/>
              </w:rPr>
            </w:pPr>
          </w:p>
        </w:tc>
      </w:tr>
      <w:tr>
        <w:trPr>
          <w:trHeight w:val="20"/>
        </w:trPr>
        <w:tc>
          <w:tcPr>
            <w:tcW w:w="36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37"/>
        </w:trPr>
        <w:tc>
          <w:tcPr>
            <w:tcW w:w="3620" w:type="dxa"/>
            <w:vAlign w:val="bottom"/>
          </w:tcPr>
          <w:p>
            <w:pPr>
              <w:spacing w:after="0"/>
              <w:rPr>
                <w:sz w:val="20"/>
                <w:szCs w:val="20"/>
                <w:color w:val="auto"/>
              </w:rPr>
            </w:pPr>
          </w:p>
        </w:tc>
        <w:tc>
          <w:tcPr>
            <w:tcW w:w="4400" w:type="dxa"/>
            <w:vAlign w:val="bottom"/>
            <w:gridSpan w:val="6"/>
          </w:tcPr>
          <w:p>
            <w:pPr>
              <w:jc w:val="center"/>
              <w:ind w:right="400"/>
              <w:spacing w:after="0"/>
              <w:rPr>
                <w:sz w:val="20"/>
                <w:szCs w:val="20"/>
                <w:color w:val="auto"/>
              </w:rPr>
            </w:pPr>
            <w:r>
              <w:rPr>
                <w:rFonts w:ascii="Arial" w:cs="Arial" w:eastAsia="Arial" w:hAnsi="Arial"/>
                <w:sz w:val="18"/>
                <w:szCs w:val="18"/>
                <w:color w:val="auto"/>
                <w:w w:val="90"/>
              </w:rPr>
              <w:t>(Exact name of registrant as specified in its charter)</w:t>
            </w:r>
          </w:p>
        </w:tc>
        <w:tc>
          <w:tcPr>
            <w:tcW w:w="3220" w:type="dxa"/>
            <w:vAlign w:val="bottom"/>
          </w:tcPr>
          <w:p>
            <w:pPr>
              <w:spacing w:after="0"/>
              <w:rPr>
                <w:sz w:val="20"/>
                <w:szCs w:val="20"/>
                <w:color w:val="auto"/>
              </w:rPr>
            </w:pPr>
          </w:p>
        </w:tc>
      </w:tr>
      <w:tr>
        <w:trPr>
          <w:trHeight w:val="453"/>
        </w:trPr>
        <w:tc>
          <w:tcPr>
            <w:tcW w:w="362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2900" w:type="dxa"/>
            <w:vAlign w:val="bottom"/>
            <w:gridSpan w:val="3"/>
          </w:tcPr>
          <w:p>
            <w:pPr>
              <w:jc w:val="center"/>
              <w:ind w:left="1030"/>
              <w:spacing w:after="0"/>
              <w:rPr>
                <w:sz w:val="20"/>
                <w:szCs w:val="20"/>
                <w:color w:val="auto"/>
              </w:rPr>
            </w:pPr>
            <w:r>
              <w:rPr>
                <w:rFonts w:ascii="Arial" w:cs="Arial" w:eastAsia="Arial" w:hAnsi="Arial"/>
                <w:sz w:val="18"/>
                <w:szCs w:val="18"/>
                <w:color w:val="auto"/>
                <w:w w:val="90"/>
              </w:rPr>
              <w:t>001-38543</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20" w:type="dxa"/>
            <w:vAlign w:val="bottom"/>
          </w:tcPr>
          <w:p>
            <w:pPr>
              <w:jc w:val="right"/>
              <w:ind w:right="1270"/>
              <w:spacing w:after="0"/>
              <w:rPr>
                <w:sz w:val="20"/>
                <w:szCs w:val="20"/>
                <w:color w:val="auto"/>
              </w:rPr>
            </w:pPr>
            <w:r>
              <w:rPr>
                <w:rFonts w:ascii="Arial" w:cs="Arial" w:eastAsia="Arial" w:hAnsi="Arial"/>
                <w:sz w:val="18"/>
                <w:szCs w:val="18"/>
                <w:color w:val="auto"/>
              </w:rPr>
              <w:t>26-1265381</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 incorporation)</w:t>
            </w: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720" w:type="dxa"/>
            <w:vAlign w:val="bottom"/>
            <w:tcBorders>
              <w:top w:val="single" w:sz="8" w:color="auto"/>
            </w:tcBorders>
            <w:gridSpan w:val="2"/>
          </w:tcPr>
          <w:p>
            <w:pPr>
              <w:jc w:val="center"/>
              <w:ind w:right="880"/>
              <w:spacing w:after="0" w:line="201" w:lineRule="exact"/>
              <w:rPr>
                <w:sz w:val="20"/>
                <w:szCs w:val="20"/>
                <w:color w:val="auto"/>
              </w:rPr>
            </w:pPr>
            <w:r>
              <w:rPr>
                <w:rFonts w:ascii="Arial" w:cs="Arial" w:eastAsia="Arial" w:hAnsi="Arial"/>
                <w:sz w:val="18"/>
                <w:szCs w:val="18"/>
                <w:color w:val="auto"/>
                <w:w w:val="91"/>
              </w:rPr>
              <w:t>(Commission</w:t>
            </w: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tcPr>
          <w:p>
            <w:pPr>
              <w:jc w:val="center"/>
              <w:ind w:right="270"/>
              <w:spacing w:after="0" w:line="201"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300" w:type="dxa"/>
            <w:vAlign w:val="bottom"/>
            <w:gridSpan w:val="4"/>
          </w:tcPr>
          <w:p>
            <w:pPr>
              <w:jc w:val="center"/>
              <w:ind w:right="1460"/>
              <w:spacing w:after="0"/>
              <w:rPr>
                <w:sz w:val="20"/>
                <w:szCs w:val="20"/>
                <w:color w:val="auto"/>
              </w:rPr>
            </w:pPr>
            <w:r>
              <w:rPr>
                <w:rFonts w:ascii="Arial" w:cs="Arial" w:eastAsia="Arial" w:hAnsi="Arial"/>
                <w:sz w:val="18"/>
                <w:szCs w:val="18"/>
                <w:color w:val="auto"/>
                <w:w w:val="92"/>
              </w:rPr>
              <w:t>File Number)</w:t>
            </w:r>
          </w:p>
        </w:tc>
        <w:tc>
          <w:tcPr>
            <w:tcW w:w="3220" w:type="dxa"/>
            <w:vAlign w:val="bottom"/>
          </w:tcPr>
          <w:p>
            <w:pPr>
              <w:spacing w:after="0"/>
              <w:rPr>
                <w:sz w:val="20"/>
                <w:szCs w:val="20"/>
                <w:color w:val="auto"/>
              </w:rPr>
            </w:pPr>
          </w:p>
        </w:tc>
      </w:tr>
      <w:tr>
        <w:trPr>
          <w:trHeight w:val="453"/>
        </w:trPr>
        <w:tc>
          <w:tcPr>
            <w:tcW w:w="8020" w:type="dxa"/>
            <w:vAlign w:val="bottom"/>
            <w:gridSpan w:val="7"/>
          </w:tcPr>
          <w:p>
            <w:pPr>
              <w:jc w:val="center"/>
              <w:ind w:right="580"/>
              <w:spacing w:after="0"/>
              <w:rPr>
                <w:sz w:val="20"/>
                <w:szCs w:val="20"/>
                <w:color w:val="auto"/>
              </w:rPr>
            </w:pPr>
            <w:r>
              <w:rPr>
                <w:rFonts w:ascii="Arial" w:cs="Arial" w:eastAsia="Arial" w:hAnsi="Arial"/>
                <w:sz w:val="18"/>
                <w:szCs w:val="18"/>
                <w:color w:val="auto"/>
                <w:w w:val="89"/>
              </w:rPr>
              <w:t>400 Water Street, Suite 200, Rochester, MI</w:t>
            </w:r>
          </w:p>
        </w:tc>
        <w:tc>
          <w:tcPr>
            <w:tcW w:w="3220" w:type="dxa"/>
            <w:vAlign w:val="bottom"/>
          </w:tcPr>
          <w:p>
            <w:pPr>
              <w:jc w:val="right"/>
              <w:ind w:right="1490"/>
              <w:spacing w:after="0"/>
              <w:rPr>
                <w:sz w:val="20"/>
                <w:szCs w:val="20"/>
                <w:color w:val="auto"/>
              </w:rPr>
            </w:pPr>
            <w:r>
              <w:rPr>
                <w:rFonts w:ascii="Arial" w:cs="Arial" w:eastAsia="Arial" w:hAnsi="Arial"/>
                <w:sz w:val="18"/>
                <w:szCs w:val="18"/>
                <w:color w:val="auto"/>
              </w:rPr>
              <w:t>48307</w:t>
            </w:r>
          </w:p>
        </w:tc>
      </w:tr>
      <w:tr>
        <w:trPr>
          <w:trHeight w:val="230"/>
        </w:trPr>
        <w:tc>
          <w:tcPr>
            <w:tcW w:w="744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220" w:type="dxa"/>
            <w:vAlign w:val="bottom"/>
            <w:tcBorders>
              <w:top w:val="single" w:sz="8" w:color="auto"/>
            </w:tcBorders>
          </w:tcPr>
          <w:p>
            <w:pPr>
              <w:jc w:val="center"/>
              <w:ind w:right="2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288925</wp:posOffset>
            </wp:positionV>
            <wp:extent cx="342011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6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6"/>
              </w:rPr>
              <w:t>Title of each class</w:t>
            </w:r>
          </w:p>
        </w:tc>
        <w:tc>
          <w:tcPr>
            <w:tcW w:w="30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9"/>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center"/>
              <w:ind w:right="670"/>
              <w:spacing w:after="0"/>
              <w:rPr>
                <w:sz w:val="20"/>
                <w:szCs w:val="20"/>
                <w:color w:val="auto"/>
              </w:rPr>
            </w:pPr>
            <w:r>
              <w:rPr>
                <w:rFonts w:ascii="Arial" w:cs="Arial" w:eastAsia="Arial" w:hAnsi="Arial"/>
                <w:sz w:val="18"/>
                <w:szCs w:val="18"/>
                <w:color w:val="auto"/>
                <w:w w:val="93"/>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16"/>
        </w:trPr>
        <w:tc>
          <w:tcPr>
            <w:tcW w:w="3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682"/>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April 27, 2021, we issued a press release announcing the details of our earnings conference call, to be held on Thursday, May 6, 2021, at 4:30 p.m.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Eastern time.</w:t>
      </w:r>
    </w:p>
    <w:p>
      <w:pPr>
        <w:spacing w:after="0" w:line="21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press release is furnished with this Current Report on Form 8-K as Exhibit 99.1. 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On April 28, 2021, we issued a press release announcing our latest platform expansion at point-of-care with several new health information technology (HIT) partnerships to further connect the digital channels used by healthcare professionals (HCPs) within the care setting. A copy of the press release is attached as Exhibit 99.1 to this Current Report on Form 8-K.</w:t>
      </w:r>
    </w:p>
    <w:p>
      <w:pPr>
        <w:spacing w:after="0" w:line="184"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The information in Item 8.01 of this Current Report on Form 8-K (including Exhibit 99.2)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85"/>
              </w:rPr>
              <w:t>99.1</w:t>
            </w:r>
          </w:p>
        </w:tc>
        <w:tc>
          <w:tcPr>
            <w:tcW w:w="2520" w:type="dxa"/>
            <w:vAlign w:val="bottom"/>
            <w:tcBorders>
              <w:bottom w:val="single" w:sz="8" w:color="0000EE"/>
            </w:tcBorders>
            <w:shd w:val="clear" w:color="auto" w:fill="CCEEFF"/>
          </w:tcPr>
          <w:p>
            <w:pPr>
              <w:ind w:left="20"/>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Press release, dated April 27, 2021</w:t>
              </w:r>
            </w:hyperlink>
          </w:p>
        </w:tc>
        <w:tc>
          <w:tcPr>
            <w:tcW w:w="7480" w:type="dxa"/>
            <w:vAlign w:val="bottom"/>
            <w:tcBorders>
              <w:bottom w:val="single" w:sz="8" w:color="CCEEFF"/>
            </w:tcBorders>
            <w:shd w:val="clear" w:color="auto" w:fill="CCEEFF"/>
          </w:tcPr>
          <w:p>
            <w:pPr>
              <w:spacing w:after="0"/>
              <w:rPr>
                <w:sz w:val="19"/>
                <w:szCs w:val="19"/>
                <w:color w:val="auto"/>
              </w:rPr>
            </w:pPr>
          </w:p>
        </w:tc>
      </w:tr>
      <w:tr>
        <w:trPr>
          <w:trHeight w:val="175"/>
        </w:trPr>
        <w:tc>
          <w:tcPr>
            <w:tcW w:w="1240" w:type="dxa"/>
            <w:vAlign w:val="bottom"/>
          </w:tcPr>
          <w:p>
            <w:pPr>
              <w:jc w:val="right"/>
              <w:ind w:right="830"/>
              <w:spacing w:after="0" w:line="176" w:lineRule="exact"/>
              <w:rPr>
                <w:sz w:val="20"/>
                <w:szCs w:val="20"/>
                <w:color w:val="auto"/>
              </w:rPr>
            </w:pPr>
            <w:r>
              <w:rPr>
                <w:rFonts w:ascii="Arial" w:cs="Arial" w:eastAsia="Arial" w:hAnsi="Arial"/>
                <w:sz w:val="18"/>
                <w:szCs w:val="18"/>
                <w:color w:val="auto"/>
                <w:w w:val="85"/>
              </w:rPr>
              <w:t>99.2</w:t>
            </w:r>
          </w:p>
        </w:tc>
        <w:tc>
          <w:tcPr>
            <w:tcW w:w="2520" w:type="dxa"/>
            <w:vAlign w:val="bottom"/>
            <w:tcBorders>
              <w:bottom w:val="single" w:sz="8" w:color="0000EE"/>
            </w:tcBorders>
          </w:tcPr>
          <w:p>
            <w:pPr>
              <w:ind w:left="20"/>
              <w:spacing w:after="0" w:line="17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Press release, dated April 28, 2021</w:t>
              </w:r>
            </w:hyperlink>
          </w:p>
        </w:tc>
        <w:tc>
          <w:tcPr>
            <w:tcW w:w="7480" w:type="dxa"/>
            <w:vAlign w:val="bottom"/>
          </w:tcPr>
          <w:p>
            <w:pPr>
              <w:spacing w:after="0"/>
              <w:rPr>
                <w:sz w:val="15"/>
                <w:szCs w:val="15"/>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17145</wp:posOffset>
            </wp:positionV>
            <wp:extent cx="2331720" cy="4883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3172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Expands Omni-channel Platform Reach at Point-Of-Care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Several New Partnerships Expand Reach to Over 50% of Oncologists in the U.S. and Unlock Novel Touchpoints for Life Sciences to Engage Physicians</w:t>
      </w:r>
    </w:p>
    <w:p>
      <w:pPr>
        <w:spacing w:after="0" w:line="23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b w:val="1"/>
          <w:bCs w:val="1"/>
          <w:color w:val="auto"/>
        </w:rPr>
        <w:t xml:space="preserve">ROCHESTER, Mich. – April 27, 2021 </w:t>
      </w:r>
      <w:r>
        <w:rPr>
          <w:rFonts w:ascii="Arial" w:cs="Arial" w:eastAsia="Arial" w:hAnsi="Arial"/>
          <w:sz w:val="18"/>
          <w:szCs w:val="18"/>
          <w:color w:val="auto"/>
        </w:rPr>
        <w:t>– OptimizeRx Corp. (Nasdaq: OPRX), a leading provider of digital health solutions for life science</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physicians and patients, has announced its latest platform expansion at point-of-care with several new health information technology (HIT) partnerships to further connect the digital channels used by healthcare professionals (HCPs) within the care setting. The expansion increases the reach of the OptimizeRx digital health and communications platform, unlocking new touchpoints for life science companies to engage providers both within and outside the electronic health record (EHR). The increased touchpoints amplify physician mindshare, and further diversify the platform’s channel mix to address clients’ challenges of customer access.</w:t>
      </w:r>
    </w:p>
    <w:p>
      <w:pPr>
        <w:spacing w:after="0" w:line="19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platform growth advances OptimizeRx's mission to improve affordability, access, and adherence for patients by unlocking omni-channel avenues for life sciences organizations to engage in more meaningful ways with both HCPs and patients. Moreover, the partnerships particularly strengthen its platform's ability to address the unique challenges along the oncology care journey.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Increasing Access to Resources for Oncologists</w:t>
      </w:r>
    </w:p>
    <w:p>
      <w:pPr>
        <w:spacing w:after="0" w:line="27" w:lineRule="exact"/>
        <w:rPr>
          <w:sz w:val="20"/>
          <w:szCs w:val="20"/>
          <w:color w:val="auto"/>
        </w:rPr>
      </w:pPr>
    </w:p>
    <w:p>
      <w:pPr>
        <w:ind w:right="700"/>
        <w:spacing w:after="0" w:line="260" w:lineRule="auto"/>
        <w:rPr>
          <w:sz w:val="20"/>
          <w:szCs w:val="20"/>
          <w:color w:val="auto"/>
        </w:rPr>
      </w:pPr>
      <w:r>
        <w:rPr>
          <w:rFonts w:ascii="Arial" w:cs="Arial" w:eastAsia="Arial" w:hAnsi="Arial"/>
          <w:sz w:val="18"/>
          <w:szCs w:val="18"/>
          <w:color w:val="auto"/>
        </w:rPr>
        <w:t>The recent OptimizeRx partnerships significantly increase the platform’s touchpoints with oncologists, providing opportunities for pharmaceutical manufacturers to engage in new ways more than 50% of all oncologists in the U.S.</w:t>
      </w:r>
    </w:p>
    <w:p>
      <w:pPr>
        <w:spacing w:after="0" w:line="185" w:lineRule="exact"/>
        <w:rPr>
          <w:sz w:val="20"/>
          <w:szCs w:val="20"/>
          <w:color w:val="auto"/>
        </w:rPr>
      </w:pPr>
    </w:p>
    <w:p>
      <w:pPr>
        <w:ind w:right="1120"/>
        <w:spacing w:after="0" w:line="342" w:lineRule="auto"/>
        <w:rPr>
          <w:sz w:val="20"/>
          <w:szCs w:val="20"/>
          <w:color w:val="auto"/>
        </w:rPr>
      </w:pPr>
      <w:r>
        <w:rPr>
          <w:rFonts w:ascii="Arial" w:cs="Arial" w:eastAsia="Arial" w:hAnsi="Arial"/>
          <w:sz w:val="16"/>
          <w:szCs w:val="16"/>
          <w:color w:val="auto"/>
        </w:rPr>
        <w:t>A recent McKinsey analysis cited “stakeholder engagement” as one of the top-five success factors for treatment manufacturers in effectively commercializing oncology treatments, given the increasing availability of precision medicine and explosion of new cancer treatments.</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“No one needs personalized and specialized resources right now more than oncologists,” said OptimizeRx chief commercial officer, Steve Silvestro. “In 2020, we demonstrated our commitment to enabling the ‘hyper-personalization’ of treatment information available at the point-of-care with the integration of real-world data to our platform. With these new partnerships, we’ve built the most comprehensive platform connecting life sciences and oncologists, and the market is responding,” concluded Mr. 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Omni-channel Expansion</w:t>
      </w:r>
    </w:p>
    <w:p>
      <w:pPr>
        <w:spacing w:after="0" w:line="2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This latest extension of the OptimizeRx digital health and communications platform allows life sciences to leverage digital channels more effectively at the point-of-care to deliver contextual resources at more points along the care journey.</w:t>
      </w:r>
    </w:p>
    <w:p>
      <w:pPr>
        <w:spacing w:after="0" w:line="18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new HIT partnerships expand the OptimizeRx platform EHR reach within the Epic, Cerner, and Athena systems, as well as outside the EHR on other platforms and technology-enabled devices that HCPs use to deliver care. Beyond the EHR, physicians engage with ever-expanding digital channels to access all the resources they need to deliver the best care to their patients– including desk research and peer-to-peer collaboration.</w:t>
      </w:r>
    </w:p>
    <w:p>
      <w:pPr>
        <w:spacing w:after="0" w:line="16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“Reaching providers everywhere they consume relevant medical information throughout their daily journeys, has become increasingly difficult as digital channels grow more fragmented,” commented OptimizeRx CEO, William Febbo. “As the number of more diverse and digitally native practitioners grows, it’s important that life sciences stay ahead of the curve to engage them with personalized and contextual content, within the most effective channels. Our latest partnerships execute on our team’s forward-thinking approach to bridging the gaps in communication between life sciences and providers for the good of patient care, which directly increases the total market opportunity and augments the near-term revenue growth,” concluded Mr. Febbo.</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jc w:val="both"/>
        <w:ind w:right="80"/>
        <w:spacing w:after="0" w:line="250" w:lineRule="auto"/>
        <w:rPr>
          <w:sz w:val="20"/>
          <w:szCs w:val="20"/>
          <w:color w:val="auto"/>
        </w:rPr>
      </w:pPr>
      <w:r>
        <w:rPr>
          <w:rFonts w:ascii="Arial" w:cs="Arial" w:eastAsia="Arial" w:hAnsi="Arial"/>
          <w:sz w:val="18"/>
          <w:szCs w:val="18"/>
          <w:color w:val="auto"/>
        </w:rPr>
        <w:t>OptimizeRx is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press release contains forward-looking statements within the definition of Section 27A of the Securities Act of 1933, as amended, and such as in section 21E of the Securities Exchange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154305</wp:posOffset>
            </wp:positionV>
            <wp:extent cx="2545715" cy="600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4571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Sets First Quarter 2021 Conference Call for Thursday, May 6, 2021 at 4:30 p.m. ET</w:t>
      </w:r>
    </w:p>
    <w:p>
      <w:pPr>
        <w:spacing w:after="0" w:line="225" w:lineRule="exact"/>
        <w:rPr>
          <w:sz w:val="20"/>
          <w:szCs w:val="20"/>
          <w:color w:val="auto"/>
        </w:rPr>
      </w:pPr>
    </w:p>
    <w:p>
      <w:pPr>
        <w:ind w:right="540"/>
        <w:spacing w:after="0" w:line="266" w:lineRule="auto"/>
        <w:rPr>
          <w:sz w:val="20"/>
          <w:szCs w:val="20"/>
          <w:color w:val="auto"/>
        </w:rPr>
      </w:pPr>
      <w:r>
        <w:rPr>
          <w:rFonts w:ascii="Arial" w:cs="Arial" w:eastAsia="Arial" w:hAnsi="Arial"/>
          <w:sz w:val="18"/>
          <w:szCs w:val="18"/>
          <w:b w:val="1"/>
          <w:bCs w:val="1"/>
          <w:color w:val="auto"/>
        </w:rPr>
        <w:t xml:space="preserve">ROCHESTER, Mich. – April 28, 2021 – </w:t>
      </w:r>
      <w:r>
        <w:rPr>
          <w:rFonts w:ascii="Arial" w:cs="Arial" w:eastAsia="Arial" w:hAnsi="Arial"/>
          <w:sz w:val="18"/>
          <w:szCs w:val="18"/>
          <w:color w:val="auto"/>
        </w:rPr>
        <w:t>OptimizeRx Corporation (Nasdaq: OPRX), a leading provider of digital health solutions for life science</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physicians and patients, will hold a conference call on Thursday, May 6, 2021, at 4:30 p.m. Eastern time to discuss its results for the first quarter ended March 31, 2021. The financial results will be issued in a press release prior to the call.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OptimizeRx management will host the call, followed by a question and answer period.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Thursday, May 6,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Web access: http://public.viavid.com/index.php?id=144705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1-800-496-4039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1-323-347-3281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5789519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Please call the conference telephone number or log on to the web access link five minutes prior to the start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replay of the call will remain available for 12 months via the Investors section of the OptimizeRx website at www.optimizerx.com/investors.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OptimizeRx is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Forward-Looking Statements</w:t>
      </w:r>
    </w:p>
    <w:p>
      <w:pPr>
        <w:spacing w:after="0" w:line="2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Certain information contained in this press release includes “forward-looking statements” within the meaning of The Private Securities Litigation Reform Act of 1995, including statements related to the gross proceeds we expect to receive from the offering, the expected use of the net proceeds from the offering and the expected date of the closing of the offering. We may, in some cases use terms such as “expects,” “plans,” “will” or other words that convey uncertainty of the future events or outcomes to identify these forward-looking statements. Our forward-looking statements are based on current expectations that involve risks, potential changes in circumstances, assumptions and uncertainties. Any or all of the forward-looking statements may turn out to be wrong, or be affected by inaccurate assumptions we might make or by known or unknown risks and uncertainties as a result of various important factors, including the uncertainties related to market conditions and the completion of the public offering on the anticipated terms, or at all. For a further description of the risks and uncertainties that could cause actual results to differ from those expressed in these forward-looking statements, as well as risks relating to our business in general, please refer to our preliminary prospectus supplement filed with the Securities and Exchange Commission (SEC) on February 8, 2021 under the heading “Risk Factors” and those documents incorporated by reference therein, which includes our Annual Report on Form 10-K filed with the SEC on March 26, 2020. You are cautioned not to place undue reliance on these forward-looking statements, which are made only as of the date of this press release. We undertake no obligation to publicly update such forward-looking statements to reflect subsequent events or circumstances.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Ashley Robinson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(617) 775-5956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arr@lifesciadvisors.com</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2021-04-28T15:28:24Z</dcterms:created>
  <dcterms:modified xsi:type="dcterms:W3CDTF">2021-04-28T15:28:24Z</dcterms:modified>
</cp:coreProperties>
</file>