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Nevada</w:t>
            </w:r>
          </w:p>
        </w:tc>
        <w:tc>
          <w:tcPr>
            <w:tcW w:w="2040" w:type="dxa"/>
            <w:vAlign w:val="bottom"/>
            <w:gridSpan w:val="3"/>
          </w:tcPr>
          <w:p>
            <w:pPr>
              <w:jc w:val="center"/>
              <w:ind w:left="1510"/>
              <w:spacing w:after="0"/>
              <w:rPr>
                <w:sz w:val="20"/>
                <w:szCs w:val="20"/>
                <w:color w:val="auto"/>
              </w:rPr>
            </w:pPr>
            <w:r>
              <w:rPr>
                <w:rFonts w:ascii="Arial" w:cs="Arial" w:eastAsia="Arial" w:hAnsi="Arial"/>
                <w:sz w:val="18"/>
                <w:szCs w:val="18"/>
                <w:b w:val="1"/>
                <w:bCs w:val="1"/>
                <w:color w:val="auto"/>
                <w:w w:val="89"/>
              </w:rPr>
              <w:t>7389</w:t>
            </w:r>
          </w:p>
        </w:tc>
        <w:tc>
          <w:tcPr>
            <w:tcW w:w="1200" w:type="dxa"/>
            <w:vAlign w:val="bottom"/>
          </w:tcPr>
          <w:p>
            <w:pPr>
              <w:spacing w:after="0"/>
              <w:rPr>
                <w:sz w:val="22"/>
                <w:szCs w:val="22"/>
                <w:color w:val="auto"/>
              </w:rPr>
            </w:pPr>
          </w:p>
        </w:tc>
        <w:tc>
          <w:tcPr>
            <w:tcW w:w="42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3240" w:type="dxa"/>
            <w:vAlign w:val="bottom"/>
            <w:tcBorders>
              <w:top w:val="single" w:sz="8" w:color="auto"/>
            </w:tcBorders>
            <w:gridSpan w:val="4"/>
          </w:tcPr>
          <w:p>
            <w:pPr>
              <w:jc w:val="center"/>
              <w:ind w:left="330"/>
              <w:spacing w:after="0" w:line="201" w:lineRule="exact"/>
              <w:rPr>
                <w:sz w:val="20"/>
                <w:szCs w:val="20"/>
                <w:color w:val="auto"/>
              </w:rPr>
            </w:pPr>
            <w:r>
              <w:rPr>
                <w:rFonts w:ascii="Arial" w:cs="Arial" w:eastAsia="Arial" w:hAnsi="Arial"/>
                <w:sz w:val="18"/>
                <w:szCs w:val="18"/>
                <w:color w:val="auto"/>
                <w:w w:val="91"/>
              </w:rPr>
              <w:t>(Primary Standard Industrial</w:t>
            </w: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3240" w:type="dxa"/>
            <w:vAlign w:val="bottom"/>
            <w:gridSpan w:val="4"/>
          </w:tcPr>
          <w:p>
            <w:pPr>
              <w:jc w:val="center"/>
              <w:ind w:left="330"/>
              <w:spacing w:after="0"/>
              <w:rPr>
                <w:sz w:val="20"/>
                <w:szCs w:val="20"/>
                <w:color w:val="auto"/>
              </w:rPr>
            </w:pPr>
            <w:r>
              <w:rPr>
                <w:rFonts w:ascii="Arial" w:cs="Arial" w:eastAsia="Arial" w:hAnsi="Arial"/>
                <w:sz w:val="18"/>
                <w:szCs w:val="18"/>
                <w:color w:val="auto"/>
                <w:w w:val="91"/>
              </w:rPr>
              <w:t>Classification Code Number)</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41"/>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b w:val="1"/>
                <w:bCs w:val="1"/>
                <w:color w:val="auto"/>
                <w:w w:val="89"/>
              </w:rPr>
              <w:t>Doney Ventures, Inc.</w:t>
            </w:r>
          </w:p>
        </w:tc>
      </w:tr>
      <w:tr>
        <w:trPr>
          <w:trHeight w:val="216"/>
        </w:trPr>
        <w:tc>
          <w:tcPr>
            <w:tcW w:w="390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w w:val="91"/>
              </w:rPr>
              <w:t>400 Water Street, Suite 200</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80" w:type="dxa"/>
            <w:vAlign w:val="bottom"/>
            <w:gridSpan w:val="3"/>
          </w:tcPr>
          <w:p>
            <w:pPr>
              <w:jc w:val="center"/>
              <w:ind w:right="1230"/>
              <w:spacing w:after="0"/>
              <w:rPr>
                <w:sz w:val="20"/>
                <w:szCs w:val="20"/>
                <w:color w:val="auto"/>
              </w:rPr>
            </w:pPr>
            <w:r>
              <w:rPr>
                <w:rFonts w:ascii="Arial" w:cs="Arial" w:eastAsia="Arial" w:hAnsi="Arial"/>
                <w:sz w:val="18"/>
                <w:szCs w:val="18"/>
                <w:b w:val="1"/>
                <w:bCs w:val="1"/>
                <w:color w:val="auto"/>
                <w:w w:val="90"/>
              </w:rPr>
              <w:t>4955 S. Durango Rd. Ste. 165.</w:t>
            </w:r>
          </w:p>
        </w:tc>
      </w:tr>
      <w:tr>
        <w:trPr>
          <w:trHeight w:val="216"/>
        </w:trPr>
        <w:tc>
          <w:tcPr>
            <w:tcW w:w="390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w w:val="91"/>
              </w:rPr>
              <w:t>Rochester, MI 48307</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b w:val="1"/>
                <w:bCs w:val="1"/>
                <w:color w:val="auto"/>
                <w:w w:val="89"/>
              </w:rPr>
              <w:t>Las Vegas, NV 89113</w:t>
            </w:r>
          </w:p>
        </w:tc>
      </w:tr>
      <w:tr>
        <w:trPr>
          <w:trHeight w:val="241"/>
        </w:trPr>
        <w:tc>
          <w:tcPr>
            <w:tcW w:w="3660" w:type="dxa"/>
            <w:vAlign w:val="bottom"/>
            <w:tcBorders>
              <w:bottom w:val="single" w:sz="8" w:color="auto"/>
            </w:tcBorders>
          </w:tcPr>
          <w:p>
            <w:pPr>
              <w:jc w:val="center"/>
              <w:ind w:left="1870"/>
              <w:spacing w:after="0"/>
              <w:rPr>
                <w:sz w:val="20"/>
                <w:szCs w:val="20"/>
                <w:color w:val="auto"/>
              </w:rPr>
            </w:pPr>
            <w:r>
              <w:rPr>
                <w:rFonts w:ascii="Arial" w:cs="Arial" w:eastAsia="Arial" w:hAnsi="Arial"/>
                <w:sz w:val="18"/>
                <w:szCs w:val="18"/>
                <w:b w:val="1"/>
                <w:bCs w:val="1"/>
                <w:color w:val="auto"/>
                <w:w w:val="92"/>
              </w:rPr>
              <w:t>(248) 651-6568</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3"/>
          </w:tcPr>
          <w:p>
            <w:pPr>
              <w:jc w:val="center"/>
              <w:ind w:right="1230"/>
              <w:spacing w:after="0"/>
              <w:rPr>
                <w:sz w:val="20"/>
                <w:szCs w:val="20"/>
                <w:color w:val="auto"/>
              </w:rPr>
            </w:pPr>
            <w:r>
              <w:rPr>
                <w:rFonts w:ascii="Arial" w:cs="Arial" w:eastAsia="Arial" w:hAnsi="Arial"/>
                <w:sz w:val="18"/>
                <w:szCs w:val="18"/>
                <w:b w:val="1"/>
                <w:bCs w:val="1"/>
                <w:color w:val="auto"/>
                <w:w w:val="90"/>
              </w:rPr>
              <w:t>(702) 982-5686</w:t>
            </w:r>
          </w:p>
        </w:tc>
      </w:tr>
      <w:tr>
        <w:trPr>
          <w:trHeight w:val="202"/>
        </w:trPr>
        <w:tc>
          <w:tcPr>
            <w:tcW w:w="56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0"/>
              </w:rPr>
              <w:t>(Address, including zip code, and telephone number, including area code,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80" w:type="dxa"/>
            <w:vAlign w:val="bottom"/>
            <w:gridSpan w:val="4"/>
          </w:tcPr>
          <w:p>
            <w:pPr>
              <w:jc w:val="center"/>
              <w:ind w:right="10"/>
              <w:spacing w:after="0" w:line="201" w:lineRule="exact"/>
              <w:rPr>
                <w:sz w:val="20"/>
                <w:szCs w:val="20"/>
                <w:color w:val="auto"/>
              </w:rPr>
            </w:pPr>
            <w:r>
              <w:rPr>
                <w:rFonts w:ascii="Arial" w:cs="Arial" w:eastAsia="Arial" w:hAnsi="Arial"/>
                <w:sz w:val="18"/>
                <w:szCs w:val="18"/>
                <w:color w:val="auto"/>
                <w:w w:val="90"/>
              </w:rPr>
              <w:t>(Name, address, including zip code, and telephone number, including area</w:t>
            </w:r>
          </w:p>
        </w:tc>
      </w:tr>
      <w:tr>
        <w:trPr>
          <w:trHeight w:val="230"/>
        </w:trPr>
        <w:tc>
          <w:tcPr>
            <w:tcW w:w="3900" w:type="dxa"/>
            <w:vAlign w:val="bottom"/>
            <w:gridSpan w:val="2"/>
          </w:tcPr>
          <w:p>
            <w:pPr>
              <w:jc w:val="center"/>
              <w:ind w:left="1630"/>
              <w:spacing w:after="0"/>
              <w:rPr>
                <w:sz w:val="20"/>
                <w:szCs w:val="20"/>
                <w:color w:val="auto"/>
              </w:rPr>
            </w:pPr>
            <w:r>
              <w:rPr>
                <w:rFonts w:ascii="Arial" w:cs="Arial" w:eastAsia="Arial" w:hAnsi="Arial"/>
                <w:sz w:val="18"/>
                <w:szCs w:val="18"/>
                <w:color w:val="auto"/>
                <w:w w:val="93"/>
              </w:rPr>
              <w:t>principal executive offices)</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60" w:type="dxa"/>
            <w:vAlign w:val="bottom"/>
            <w:gridSpan w:val="2"/>
          </w:tcPr>
          <w:p>
            <w:pPr>
              <w:jc w:val="center"/>
              <w:ind w:right="1650"/>
              <w:spacing w:after="0"/>
              <w:rPr>
                <w:sz w:val="20"/>
                <w:szCs w:val="20"/>
                <w:color w:val="auto"/>
              </w:rPr>
            </w:pPr>
            <w:r>
              <w:rPr>
                <w:rFonts w:ascii="Arial" w:cs="Arial" w:eastAsia="Arial" w:hAnsi="Arial"/>
                <w:sz w:val="18"/>
                <w:szCs w:val="18"/>
                <w:color w:val="auto"/>
                <w:w w:val="90"/>
              </w:rPr>
              <w:t>code, of agent for service)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From time to time after this registration statement becomes effective.</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50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0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THIS REGISTRATION STATEMENT SHALL BECOME EFFECTIVE ON SUCH DATE AS THE COMMISSION, ACTING PURSUANT TO SECTION 8(A), MAY DETERMINE.</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Scott Doney,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Doney Law Firm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4955 S. Durango Rd. Ste 165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Vegas, NV 89113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(702) 982-5686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registration statement on Form S-3 constitutes a post-effective amendment to our registration statement on Form S-1 (Registration No. 333-225095). The Form S-1, as amended, was declared effective on June 8, 2018. We are filing this post-effective amendment on Form S-3 for the purpose of converting the registration statement on Form S-1 into a Registration Statement on Form S-3 because we are eligible to use Form S-3. This registration statement on Form S-3 contains an updated prospectus relating to the offering and sale of the shares that were registered for resale on the registration statement on Form S-1.</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All filing fees payable in connection with the registration of the shares registered by the registration statement on Form S-1 were paid by the registrant at the time of the initial filing of such registration statement. </w:t>
      </w:r>
      <w:r>
        <w:rPr>
          <w:rFonts w:ascii="Arial" w:cs="Arial" w:eastAsia="Arial" w:hAnsi="Arial"/>
          <w:sz w:val="18"/>
          <w:szCs w:val="18"/>
          <w:b w:val="1"/>
          <w:bCs w:val="1"/>
          <w:color w:val="auto"/>
        </w:rPr>
        <w:t>No additional securities are registered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8"/>
          <w:szCs w:val="18"/>
          <w:b w:val="1"/>
          <w:bCs w:val="1"/>
          <w:color w:val="auto"/>
        </w:rPr>
        <w:t>The information in this prospectus is not complete and may be changed. This prospectus is included in a registration statement that we filed with the Securities and Exchange Commission. The Selling Shareholders cannot sell these securities under this registration statement until this registration statement becomes effective. This prospectus is not an offer to sell these securities and is not soliciting an offer to buy these securities in any state where the offer or sale is not permitted.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to Completion, dated July 3,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1,666,669 Shares of Common Stock</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prospectus relates to the resale or other disposition by the Selling Shareholders named herein or their transferees of up to 1,666,669 shares of our Common Stock, par value $0.001 per share (the “Common Stock”).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Shareholders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See “Plan of Distribution” beginning on page 10 for more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of the proceeds from the Common Stock sold by the Selling Shareholders.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agreed to pay certain expenses in connection with this registration statement. The Selling Shareholders will pay all underwriting discounts and selling commissions, if any, in connection with the sale or other disposition of the shares of Common Stock covered hereby.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Nasdaq Capital Market under the symbol “OPRX.” On July 2, 2018, the last reported sale price of our Common Stock was $10.10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one-for-three reverse stock split of our common stock was effected on May 14, 2018. All share and per share information in this Prospectus has been retroactively adjusted to give effect to the reverse stock split for all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3.</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July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60" w:type="dxa"/>
            <w:vAlign w:val="bottom"/>
            <w:gridSpan w:val="3"/>
          </w:tcPr>
          <w:p>
            <w:pPr>
              <w:ind w:left="980"/>
              <w:spacing w:after="0"/>
              <w:rPr>
                <w:sz w:val="20"/>
                <w:szCs w:val="20"/>
                <w:color w:val="auto"/>
              </w:rPr>
            </w:pPr>
            <w:r>
              <w:rPr>
                <w:rFonts w:ascii="Arial" w:cs="Arial" w:eastAsia="Arial" w:hAnsi="Arial"/>
                <w:sz w:val="18"/>
                <w:szCs w:val="18"/>
                <w:b w:val="1"/>
                <w:bCs w:val="1"/>
                <w:color w:val="auto"/>
              </w:rPr>
              <w:t>Table of Contents</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ABOUT THIS PROSPECTUS</w:t>
              </w:r>
            </w:hyperlink>
          </w:p>
        </w:tc>
        <w:tc>
          <w:tcPr>
            <w:tcW w:w="7380" w:type="dxa"/>
            <w:vAlign w:val="bottom"/>
            <w:tcBorders>
              <w:bottom w:val="single" w:sz="8" w:color="CCEEFF"/>
            </w:tcBorders>
            <w:gridSpan w:val="6"/>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center"/>
              <w:ind w:left="81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0" w:type="dxa"/>
            <w:vAlign w:val="bottom"/>
            <w:gridSpan w:val="13"/>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ABOUT FORWARD-LOOKING STATEMENTS</w:t>
              </w:r>
            </w:hyperlink>
          </w:p>
        </w:tc>
        <w:tc>
          <w:tcPr>
            <w:tcW w:w="1800" w:type="dxa"/>
            <w:vAlign w:val="bottom"/>
          </w:tcPr>
          <w:p>
            <w:pPr>
              <w:jc w:val="center"/>
              <w:ind w:left="81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0" w:type="dxa"/>
            <w:vAlign w:val="bottom"/>
            <w:gridSpan w:val="13"/>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1800" w:type="dxa"/>
            <w:vAlign w:val="bottom"/>
            <w:shd w:val="clear" w:color="auto" w:fill="CCEEFF"/>
          </w:tcPr>
          <w:p>
            <w:pPr>
              <w:jc w:val="center"/>
              <w:ind w:left="81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0" w:type="dxa"/>
            <w:vAlign w:val="bottom"/>
            <w:gridSpan w:val="13"/>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1800" w:type="dxa"/>
            <w:vAlign w:val="bottom"/>
          </w:tcPr>
          <w:p>
            <w:pPr>
              <w:jc w:val="center"/>
              <w:ind w:left="81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0" w:type="dxa"/>
            <w:vAlign w:val="bottom"/>
            <w:gridSpan w:val="13"/>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1800" w:type="dxa"/>
            <w:vAlign w:val="bottom"/>
            <w:shd w:val="clear" w:color="auto" w:fill="CCEEFF"/>
          </w:tcPr>
          <w:p>
            <w:pPr>
              <w:jc w:val="center"/>
              <w:ind w:left="810"/>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DILUTION</w:t>
              </w:r>
            </w:hyperlink>
          </w:p>
        </w:tc>
        <w:tc>
          <w:tcPr>
            <w:tcW w:w="8040" w:type="dxa"/>
            <w:vAlign w:val="bottom"/>
            <w:tcBorders>
              <w:top w:val="single" w:sz="8" w:color="CCEEFF"/>
            </w:tcBorders>
            <w:gridSpan w:val="9"/>
          </w:tcPr>
          <w:p>
            <w:pPr>
              <w:spacing w:after="0"/>
              <w:rPr>
                <w:sz w:val="15"/>
                <w:szCs w:val="15"/>
                <w:color w:val="auto"/>
              </w:rPr>
            </w:pPr>
          </w:p>
        </w:tc>
        <w:tc>
          <w:tcPr>
            <w:tcW w:w="1800" w:type="dxa"/>
            <w:vAlign w:val="bottom"/>
            <w:tcBorders>
              <w:top w:val="single" w:sz="8" w:color="CCEEFF"/>
            </w:tcBorders>
          </w:tcPr>
          <w:p>
            <w:pPr>
              <w:jc w:val="center"/>
              <w:ind w:left="810"/>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0" w:type="dxa"/>
            <w:vAlign w:val="bottom"/>
            <w:gridSpan w:val="13"/>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SELLING SHAREHOLDERS</w:t>
              </w:r>
            </w:hyperlink>
          </w:p>
        </w:tc>
        <w:tc>
          <w:tcPr>
            <w:tcW w:w="1800" w:type="dxa"/>
            <w:vAlign w:val="bottom"/>
            <w:shd w:val="clear" w:color="auto" w:fill="CCEEFF"/>
          </w:tcPr>
          <w:p>
            <w:pPr>
              <w:jc w:val="center"/>
              <w:ind w:left="810"/>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PLAN OF DISTRIBUTION</w:t>
              </w:r>
            </w:hyperlink>
          </w:p>
        </w:tc>
        <w:tc>
          <w:tcPr>
            <w:tcW w:w="7400" w:type="dxa"/>
            <w:vAlign w:val="bottom"/>
            <w:tcBorders>
              <w:top w:val="single" w:sz="8" w:color="CCEEFF"/>
            </w:tcBorders>
            <w:gridSpan w:val="7"/>
          </w:tcPr>
          <w:p>
            <w:pPr>
              <w:spacing w:after="0"/>
              <w:rPr>
                <w:sz w:val="15"/>
                <w:szCs w:val="15"/>
                <w:color w:val="auto"/>
              </w:rPr>
            </w:pPr>
          </w:p>
        </w:tc>
        <w:tc>
          <w:tcPr>
            <w:tcW w:w="1800" w:type="dxa"/>
            <w:vAlign w:val="bottom"/>
            <w:tcBorders>
              <w:top w:val="single" w:sz="8" w:color="CCEEFF"/>
            </w:tcBorders>
          </w:tcPr>
          <w:p>
            <w:pPr>
              <w:jc w:val="center"/>
              <w:ind w:left="810"/>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0" w:type="dxa"/>
            <w:vAlign w:val="bottom"/>
            <w:gridSpan w:val="13"/>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INTERESTS OF NAMED EXPERTS AND COUNSEL</w:t>
              </w:r>
            </w:hyperlink>
          </w:p>
        </w:tc>
        <w:tc>
          <w:tcPr>
            <w:tcW w:w="1800" w:type="dxa"/>
            <w:vAlign w:val="bottom"/>
            <w:shd w:val="clear" w:color="auto" w:fill="CCEEFF"/>
          </w:tcPr>
          <w:p>
            <w:pPr>
              <w:jc w:val="center"/>
              <w:ind w:left="810"/>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0" w:type="dxa"/>
            <w:vAlign w:val="bottom"/>
            <w:gridSpan w:val="13"/>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DISCLOSURE OF COMMISSION POSITION ON INDEMNIFICATION FOR SECURITIES ACT LIABILITIES</w:t>
              </w:r>
            </w:hyperlink>
          </w:p>
        </w:tc>
        <w:tc>
          <w:tcPr>
            <w:tcW w:w="1800" w:type="dxa"/>
            <w:vAlign w:val="bottom"/>
          </w:tcPr>
          <w:p>
            <w:pPr>
              <w:jc w:val="center"/>
              <w:ind w:left="810"/>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8"/>
              </w:rPr>
            </w:pPr>
            <w:hyperlink w:anchor="page13">
              <w:r>
                <w:rPr>
                  <w:rFonts w:ascii="Arial" w:cs="Arial" w:eastAsia="Arial" w:hAnsi="Arial"/>
                  <w:sz w:val="18"/>
                  <w:szCs w:val="18"/>
                  <w:color w:val="0000EE"/>
                  <w:w w:val="98"/>
                </w:rPr>
                <w:t>AVAILABLE INFORMATION</w:t>
              </w:r>
            </w:hyperlink>
          </w:p>
        </w:tc>
        <w:tc>
          <w:tcPr>
            <w:tcW w:w="7340" w:type="dxa"/>
            <w:vAlign w:val="bottom"/>
            <w:tcBorders>
              <w:bottom w:val="single" w:sz="8" w:color="CCEEFF"/>
            </w:tcBorders>
            <w:gridSpan w:val="5"/>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center"/>
              <w:ind w:left="810"/>
              <w:spacing w:after="0" w:line="17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0" w:type="dxa"/>
            <w:vAlign w:val="bottom"/>
            <w:gridSpan w:val="13"/>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INCORPORATION OF CERTAIN INFORMATION BY REFERENCE</w:t>
              </w:r>
            </w:hyperlink>
          </w:p>
        </w:tc>
        <w:tc>
          <w:tcPr>
            <w:tcW w:w="1800" w:type="dxa"/>
            <w:vAlign w:val="bottom"/>
          </w:tcPr>
          <w:p>
            <w:pPr>
              <w:jc w:val="center"/>
              <w:ind w:left="810"/>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703"/>
        </w:trPr>
        <w:tc>
          <w:tcPr>
            <w:tcW w:w="2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3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120" w:type="dxa"/>
            <w:vAlign w:val="bottom"/>
            <w:tcBorders>
              <w:top w:val="single" w:sz="8" w:color="0000EE"/>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5603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6140" cy="560387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This prospectus is part of a registration statement we filed with the Securities and Exchange Commission, or the SEC. Under this registration process, the selling shareholders or their transferees may, from time to time, sell or otherwise dispose of up to 1,666,669 shares of our Common Stock, as described in this prospectus. You should read this prospectus carefully before making an investment decision.</w:t>
      </w:r>
    </w:p>
    <w:p>
      <w:pPr>
        <w:spacing w:after="0" w:line="181" w:lineRule="exact"/>
        <w:rPr>
          <w:sz w:val="20"/>
          <w:szCs w:val="20"/>
          <w:color w:val="auto"/>
        </w:rPr>
      </w:pPr>
    </w:p>
    <w:p>
      <w:pPr>
        <w:jc w:val="both"/>
        <w:ind w:left="100"/>
        <w:spacing w:after="0" w:line="273" w:lineRule="auto"/>
        <w:rPr>
          <w:sz w:val="20"/>
          <w:szCs w:val="20"/>
          <w:color w:val="auto"/>
        </w:rPr>
      </w:pPr>
      <w:r>
        <w:rPr>
          <w:rFonts w:ascii="Arial" w:cs="Arial" w:eastAsia="Arial" w:hAnsi="Arial"/>
          <w:sz w:val="17"/>
          <w:szCs w:val="17"/>
          <w:color w:val="auto"/>
        </w:rPr>
        <w:t>You may only rely on the information contained in this prospectus or that we have referred you to. We have not authorized anyone to provide you with additional or different information. This prospectus does not constitute an offer to sell or a solicitation of an offer to buy any securities other than the shares of our Common Stock offered by this prospectus. This prospectus does not constitute an offer to sell or a solicitation of an offer to buy any Common Stock in any circumstances or any jurisdiction in which such offer or solicitation is not permitted. You should not assume that the information contained in this prospectus is accurate as of any date other than the date on the front cover of this prospectus regardless of the time of delivery of this prospectus or any sale of our Common Stock. The rules of the SEC may require us to update this prospectus in the future.</w:t>
      </w:r>
    </w:p>
    <w:p>
      <w:pPr>
        <w:spacing w:after="0" w:line="178"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As used in this prospectus, unless the context requires otherwise, the terms “we”, “us”, “our”, or “the Company” refer to OptimizeRx Corp. and its subsidiaries on a consolidated basis. References to “Selling Shareholders” refer to those shareholders listed herein under “Selling Shareholders” and their successors, assignees and permitted transferees.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FORWARD-LOOKING STATEMENTS</w:t>
      </w:r>
    </w:p>
    <w:p>
      <w:pPr>
        <w:spacing w:after="0" w:line="229" w:lineRule="exact"/>
        <w:rPr>
          <w:sz w:val="20"/>
          <w:szCs w:val="20"/>
          <w:color w:val="auto"/>
        </w:rPr>
      </w:pPr>
    </w:p>
    <w:p>
      <w:pPr>
        <w:jc w:val="both"/>
        <w:ind w:left="100"/>
        <w:spacing w:after="0" w:line="270" w:lineRule="auto"/>
        <w:rPr>
          <w:sz w:val="20"/>
          <w:szCs w:val="20"/>
          <w:color w:val="auto"/>
        </w:rPr>
      </w:pPr>
      <w:r>
        <w:rPr>
          <w:rFonts w:ascii="Arial" w:cs="Arial" w:eastAsia="Arial" w:hAnsi="Arial"/>
          <w:sz w:val="17"/>
          <w:szCs w:val="17"/>
          <w:color w:val="auto"/>
        </w:rPr>
        <w:t>This prospectus contains forward-looking statements within the meaning of Section 27A of the Securities Act of 1933, as amended (the “Securities Act”), and Section 21E of the Securities Exchange Act of 1934, as amended (the “Exchange Act”), about the Company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the Company and its subsidiaries. We caution our shareholders and other readers not to place undue reliance on such statements.</w:t>
      </w:r>
    </w:p>
    <w:p>
      <w:pPr>
        <w:spacing w:after="0" w:line="182"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the section entitled “Risk Factors” beginning on page 3 of this prospectus.</w:t>
      </w:r>
    </w:p>
    <w:p>
      <w:pPr>
        <w:spacing w:after="0" w:line="187"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5329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6140" cy="53295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and in the documents incorporated by reference in this prospectus and does not contain all the information you will need in making your investment decision. You should read carefully this entire prospectus and the documents incorporated by reference in this prospectus before making an investment decision, especially the information presented under the heading “Risk Factors.”</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Business Summary</w:t>
      </w:r>
    </w:p>
    <w:p>
      <w:pPr>
        <w:spacing w:after="0" w:line="22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Shares Issued in Connection With the May 2018 Private Placement Financing</w:t>
      </w:r>
    </w:p>
    <w:p>
      <w:pPr>
        <w:spacing w:after="0" w:line="229"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On May 2, 2018, we entered into a purchase agreement (the “Purchase Agreement”) with the purchasers identified on the signature pages thereto (the “Investors”), pursuant to which we sold to the Investors an aggregate of 1,666,669 shares (the “Shares”) of our Common Stock, par value $0.001 per share (“Common Stock”), for $5.40 per Share, or gross proceeds of approximately $9,000,000 (the “Offering”).</w:t>
      </w:r>
    </w:p>
    <w:p>
      <w:pPr>
        <w:spacing w:after="0" w:line="181" w:lineRule="exact"/>
        <w:rPr>
          <w:sz w:val="20"/>
          <w:szCs w:val="20"/>
          <w:color w:val="auto"/>
        </w:rPr>
      </w:pPr>
    </w:p>
    <w:p>
      <w:pPr>
        <w:jc w:val="both"/>
        <w:ind w:left="100"/>
        <w:spacing w:after="0" w:line="255" w:lineRule="auto"/>
        <w:rPr>
          <w:sz w:val="20"/>
          <w:szCs w:val="20"/>
          <w:color w:val="auto"/>
        </w:rPr>
      </w:pPr>
      <w:r>
        <w:rPr>
          <w:rFonts w:ascii="Arial" w:cs="Arial" w:eastAsia="Arial" w:hAnsi="Arial"/>
          <w:sz w:val="18"/>
          <w:szCs w:val="18"/>
          <w:color w:val="auto"/>
        </w:rPr>
        <w:t>In connection with the Offering, on May 2, 2018, we entered into a registration rights agreement with the Investors (the “Registration Rights Agreement”), pursuant to which we agreed to register the Shares acquired by the Investors in the Offering (the “Registrable Securities”) for sale or other disposition by the Selling Shareholders or their transferees. Pursuant to the Registration Rights Agreement, we agreed to file a registration statement (the “Registration Statement”) with the Securities and Exchange Commission (the “SEC”) for the resale or other disposition of the Registrable Securities within 30 days following the close of the Offering and to use our commercially reasonable efforts to cause the Registration Statement to be declared effective as soon as practicable after the filing thereof.</w:t>
      </w:r>
    </w:p>
    <w:p>
      <w:pPr>
        <w:spacing w:after="0" w:line="193" w:lineRule="exact"/>
        <w:rPr>
          <w:sz w:val="20"/>
          <w:szCs w:val="20"/>
          <w:color w:val="auto"/>
        </w:rPr>
      </w:pPr>
    </w:p>
    <w:p>
      <w:pPr>
        <w:jc w:val="both"/>
        <w:ind w:left="100"/>
        <w:spacing w:after="0" w:line="270" w:lineRule="auto"/>
        <w:rPr>
          <w:sz w:val="20"/>
          <w:szCs w:val="20"/>
          <w:color w:val="auto"/>
        </w:rPr>
      </w:pPr>
      <w:r>
        <w:rPr>
          <w:rFonts w:ascii="Arial" w:cs="Arial" w:eastAsia="Arial" w:hAnsi="Arial"/>
          <w:sz w:val="17"/>
          <w:szCs w:val="17"/>
          <w:color w:val="auto"/>
        </w:rPr>
        <w:t>In the event that, among other things, the Registration Statement (i) is not been filed by 30 days following the close of the Offering, (ii) is not declared effective by the earlier of (A) five business days after the SEC informs the Company that no review of the Registration Statement will be made or that the SEC has no further comments on the Registration Statement and (B) 90 days following the close of the Offering, or (iii) after the effective date of the Registration Statement sales cannot be made thereunder (other than certain allowed delays), we have agreed to make payments to each Investor as liquidated damages in an amount equal to 1.5% of the aggregate amount invested by each such Investor per 30-day period. In addition, we have agreed to keep the Registration Statement continuously effective (subject to certain allowed delays) until the earlier of (i) the date on which all Registrable Securities covered by such Registration Statement as amended from time to time, have been sold or otherwise disposed of pursuant to the Registration Statement or in a transaction in which the transferee receives freely tradable shares., and (ii) the date on which the Registrable Securities no longer constitute “Registrable Securities” thereunder.</w:t>
      </w:r>
    </w:p>
    <w:p>
      <w:pPr>
        <w:spacing w:after="0" w:line="200" w:lineRule="exact"/>
        <w:rPr>
          <w:sz w:val="20"/>
          <w:szCs w:val="20"/>
          <w:color w:val="auto"/>
        </w:rPr>
      </w:pP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Your investment in our securities involves a high degree of risk. You should carefully read and consider the risks set forth under the caption “Risk Factors” in our Annual Report on Form 10-K for the fiscal year ended December 31, 2017, and any updates in our subsequent Quarterly Reports on Form 10-Q, which are incorporated by reference in this prospectus, and all of the other information appearing in this prospectus or incorporated by reference in this prospectus, in light of your particular investment objectives and financial circumstances.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any of the events described actually occur, or if additional risks and uncertainties not presently known to us or that we currently deem immaterial, materialize, then our business, financial condition, cash flows, and operating results could be materially adversely affected. As a result, the trading price of our common stock and the value of the securities offered could decline, and you could lose a part or all of your investment.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of the shares of Common Stock covered by this prospectus are being sold or otherwise disposed of by the Selling Shareholders or their transferees. See “Selling Shareholders” below. We will not receive any proceeds from the sale of other disposition of the shares covered hereby.</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pay all expenses associated with effecting the registration of the shares covered hereby, including filing and printing fees, the Company’s counsel and accounting fees and expenses, costs associated with clearing the shares for sale under applicable state securities laws, listing fees, fees and expenses of one counsel to the Investors up to an aggregate of $10,000 and the Investors’ other reasonable out-of-pocket expenses in connection with the registration, but excluding discounts, commissions, fees of underwriters, selling brokers, dealer managers or similar securities industry professionals with respect to the shares being sold.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Stockholders are offering for resale up to 1,666,669 shares of common stock. The resale of the current outstanding shares of common stock under this prospectus will not dilute the ownership interests of existing stockholders.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prepared this prospectus to allow the Selling Shareholders or their transferees to sell or otherwise dispose of, from time to time, up to 1,666,669 shares of our Common Stock. All of the shares of Common Stock being offered under this prospectus were issued in connection with our May 2018 Private Placement.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shares were sold pursuant to an exemption from registration provided by Section 4(a)(2) of the Securities Act and/or Regulation D under the Securities Act. In connection therewith, the Investors made to us certain representations, warranties, covenants, and conditions customary for private placement investments.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presents information regarding the Selling Shareholders and the shares of our Common Stock that they may sell or otherwise dispose of from time to time under this prospectus. Percentages of beneficial ownership are based upon 11,548,095 shares of Common Stock issued and outstanding as of June 29, 2018. Beneficial ownership is determined under Section 13(d) of the Exchange Act and generally includes voting or investment power with respect to securities and including any securities that grant the Selling Shareholders the right to acquire Common Stock within 60 days of June 29, 2018. Unless otherwise noted, each person or group identified possesses sole voting and investment power with respect to the shares, subject to community property laws where applicable.</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know when or in what amounts the Selling Shareholders may sell or otherwise dispose of the shares covered hereby. We currently have no agreements, arrangements or understandings with the Selling Shareholders regarding the sale or other disposition of any of the shares by them other than the registration rights agreement described above. The Selling Shareholders might not sell any or all of the shares covered by this prospectus or may sell or dispose of some or all of the shares other than pursuant to this prospectus. Because the Selling Shareholders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Shareholders after completion of the offering. For purposes of determining the beneficial ownership of the Selling Shareholders after this offering, we have assumed that all of the shares covered hereby have been sold pursuant to the registration statement of which this prospectus forms a part.</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Selling Shareholder has indicated to us that neither it nor any of its affiliates has held any position or office or had any other material relationship with us in the past three years except as described in the footnotes to the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Shares of Common Stock</w:t>
            </w:r>
          </w:p>
        </w:tc>
        <w:tc>
          <w:tcPr>
            <w:tcW w:w="1400" w:type="dxa"/>
            <w:vAlign w:val="bottom"/>
            <w:tcBorders>
              <w:bottom w:val="single" w:sz="8" w:color="auto"/>
            </w:tcBorders>
          </w:tcPr>
          <w:p>
            <w:pPr>
              <w:spacing w:after="0"/>
              <w:rPr>
                <w:sz w:val="20"/>
                <w:szCs w:val="20"/>
                <w:color w:val="auto"/>
              </w:rPr>
            </w:pPr>
          </w:p>
        </w:tc>
      </w:tr>
      <w:tr>
        <w:trPr>
          <w:trHeight w:val="198"/>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Beneficially</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9"/>
              </w:rPr>
              <w:t>Beneficially</w:t>
            </w:r>
          </w:p>
        </w:tc>
        <w:tc>
          <w:tcPr>
            <w:tcW w:w="14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As a Percent of</w:t>
            </w: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Owned Prior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 After</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Total Outstanding</w:t>
            </w: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Sale of all</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Sale of all</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After the Sale of</w:t>
            </w:r>
          </w:p>
        </w:tc>
      </w:tr>
      <w:tr>
        <w:trPr>
          <w:trHeight w:val="216"/>
        </w:trPr>
        <w:tc>
          <w:tcPr>
            <w:tcW w:w="5320" w:type="dxa"/>
            <w:vAlign w:val="bottom"/>
          </w:tcPr>
          <w:p>
            <w:pPr>
              <w:spacing w:after="0"/>
              <w:rPr>
                <w:sz w:val="18"/>
                <w:szCs w:val="18"/>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Shares covered by</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Covered by</w:t>
            </w: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Shares covered by</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Shares covered by</w:t>
            </w:r>
          </w:p>
        </w:tc>
      </w:tr>
      <w:tr>
        <w:trPr>
          <w:trHeight w:val="241"/>
        </w:trPr>
        <w:tc>
          <w:tcPr>
            <w:tcW w:w="5320" w:type="dxa"/>
            <w:vAlign w:val="bottom"/>
          </w:tcPr>
          <w:p>
            <w:pPr>
              <w:spacing w:after="0"/>
              <w:rPr>
                <w:sz w:val="20"/>
                <w:szCs w:val="20"/>
                <w:color w:val="auto"/>
              </w:rPr>
            </w:pPr>
            <w:r>
              <w:rPr>
                <w:rFonts w:ascii="Arial" w:cs="Arial" w:eastAsia="Arial" w:hAnsi="Arial"/>
                <w:sz w:val="18"/>
                <w:szCs w:val="18"/>
                <w:b w:val="1"/>
                <w:bCs w:val="1"/>
                <w:color w:val="auto"/>
              </w:rPr>
              <w:t>Name of Selling Shareholder</w:t>
            </w:r>
          </w:p>
        </w:tc>
        <w:tc>
          <w:tcPr>
            <w:tcW w:w="10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this Prospectus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this Prospectus</w:t>
            </w:r>
          </w:p>
        </w:tc>
        <w:tc>
          <w:tcPr>
            <w:tcW w:w="10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this Prospectus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r>
      <w:tr>
        <w:trPr>
          <w:trHeight w:val="216"/>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Special Situations Fund III QP, L.P.(1)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812,130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259,537</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Special Situations Cayman Fund, L.P. (1)</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303,730</w:t>
            </w:r>
          </w:p>
        </w:tc>
        <w:tc>
          <w:tcPr>
            <w:tcW w:w="1160" w:type="dxa"/>
            <w:vAlign w:val="bottom"/>
          </w:tcPr>
          <w:p>
            <w:pPr>
              <w:jc w:val="right"/>
              <w:spacing w:after="0"/>
              <w:rPr>
                <w:sz w:val="20"/>
                <w:szCs w:val="20"/>
                <w:color w:val="auto"/>
              </w:rPr>
            </w:pPr>
            <w:r>
              <w:rPr>
                <w:rFonts w:ascii="Arial" w:cs="Arial" w:eastAsia="Arial" w:hAnsi="Arial"/>
                <w:sz w:val="18"/>
                <w:szCs w:val="18"/>
                <w:color w:val="auto"/>
              </w:rPr>
              <w:t>206,667</w:t>
            </w:r>
          </w:p>
        </w:tc>
        <w:tc>
          <w:tcPr>
            <w:tcW w:w="100" w:type="dxa"/>
            <w:vAlign w:val="bottom"/>
          </w:tcPr>
          <w:p>
            <w:pPr>
              <w:spacing w:after="0"/>
              <w:rPr>
                <w:sz w:val="18"/>
                <w:szCs w:val="18"/>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97,063</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Less than 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Special Situations Private Equity Fund, L.P.(1)</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252,065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166,667</w:t>
            </w: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85,398</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Less than 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Park West Partners International Limited(2)</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68,733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59,267</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9,466</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Less than 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Park West Investors Master Fund, Limited(2)</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607,935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524,067</w:t>
            </w: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83,868</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Less than 1%</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First Bank &amp; Trust Custodian for Ronald L. Chez IRA(3)</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157,408</w:t>
            </w:r>
          </w:p>
        </w:tc>
        <w:tc>
          <w:tcPr>
            <w:tcW w:w="1160" w:type="dxa"/>
            <w:vAlign w:val="bottom"/>
          </w:tcPr>
          <w:p>
            <w:pPr>
              <w:jc w:val="right"/>
              <w:spacing w:after="0"/>
              <w:rPr>
                <w:sz w:val="20"/>
                <w:szCs w:val="20"/>
                <w:color w:val="auto"/>
              </w:rPr>
            </w:pPr>
            <w:r>
              <w:rPr>
                <w:rFonts w:ascii="Arial" w:cs="Arial" w:eastAsia="Arial" w:hAnsi="Arial"/>
                <w:sz w:val="18"/>
                <w:szCs w:val="18"/>
                <w:color w:val="auto"/>
              </w:rPr>
              <w:t>157,408</w:t>
            </w:r>
          </w:p>
        </w:tc>
        <w:tc>
          <w:tcPr>
            <w:tcW w:w="100" w:type="dxa"/>
            <w:vAlign w:val="bottom"/>
          </w:tcPr>
          <w:p>
            <w:pPr>
              <w:spacing w:after="0"/>
              <w:rPr>
                <w:sz w:val="20"/>
                <w:szCs w:val="20"/>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left="460" w:hanging="452"/>
        <w:spacing w:after="0" w:line="288"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AWM Investment Company, Inc. (“AWM”) is the investment adviser to the Special Situations Fund III, QP, L.P., the Special Situations Cayman Fund, L.P. and the Special Situations Private Equity Fund, L.P. (collectively, the “Funds”). As the investment adviser to the Funds, AWM holds sole voting and investment power over the shares held by the Funds. Austin W. Marxe, David M. Greenhouse and Adam Stettner are the principal owners of AWM.</w:t>
      </w:r>
    </w:p>
    <w:p>
      <w:pPr>
        <w:jc w:val="both"/>
        <w:ind w:left="4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Park West Asset Management LLC (“PWAM”) is the investment manager to Park West Investors Master Fund, Limited (“PWIMF”), and Park West Partners International, Limited (“PWPI”). Peter S. Park, manager of PWAM, has sole voting and investment power with respect to the shares held by PWIMF and PWPI.</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Ronald l. Chez has voting and dispositive power with respect to the shares.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about the Selling Shareholders may change from time to time. Any changed information with respect to which we are given notice will be included in prospectus supplements.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Shareholders, which as used herein includes donees, pledgees, transferees or other successors-in-interest selling shares of Common Stock or interests in shares of Common Stock received after the date of this prospectus from a Selling Shareholder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Selling Shareholders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broker-dealers may agree with the Selling Shareholders to sell a specified number of such shares at a stipulated price per share;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Shareholders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Shareholders to include the pledgee, transferee or other successors in interest as Selling Shareholders under this prospectus. The Selling Shareholders also may transfer the shares of Common Stock in other circumstances, in which case the transferees, pledgees or other successors in interest will be the selling beneficial owners for purposes of this prospectus.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sale of our Common Stock or interests therein, the Selling Shareholders may enter into hedging transactions with broker-dealers or other financial institutions, which may in turn engage in short sales of the Common Stock in the course of hedging the positions they assume. The Selling Shareholders may also sell shares of our Common Stock short and deliver these securities to close out their short positions, or loan or pledge the Common Stock to broker-dealers that in turn may sell these securities. The Selling Shareholders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aggregate proceeds to the Selling Shareholders from the sale of the Common Stock offered by them will be the purchase price of the Common Stock less discounts or commissions, if any. Each of the Selling Shareholders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also may resell all or a portion of the shares in open market transactions in reliance upon Rule 144 under the Securities Act of 1933, provided that they meet the criteria and conform to the requirements of that rule.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Selling Shareholders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the extent required, the shares of our Common Stock to be sold, the names of the Selling Shareholders,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advised the Selling Shareholders that the anti-manipulation rules of Regulation M under the Exchange Act may apply to sales of shares in the market and to the activities of the Selling Shareholders and their affiliates. In addition, to the extent applicable we will make copies of this prospectus (as it may be supplemented or amended from time to time) available to the Selling Shareholders for the purpose of satisfying the prospectus delivery requirements of the Securities Act. The Selling Shareholders may indemnify any broker-dealer that participates in transactions involving the sale of the shares against certain liabilities, including liabilities arising under the Securities Act.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agreed to indemnify the Selling Shareholders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agreed with the Selling Shareholders to keep the registration statement of which this prospectus constitutes a part effective until the earlier of (i) the date that such securities become eligible for resale without volume or manner-of-sale restrictions and without current public information pursuant to Rule 144 and certain other conditions have been satisfied, or (ii) all of the securities have been sold or otherwise disposed of pursuant to the registration statement of which this prospectus forms a part or in a transaction in which the transferee receives freely tradable shares.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NAMED EXPERTS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 our independent legal counsel, has provided an opinion on the validity of our 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Sadler, Gibb &amp; Associates, LLC and KLJ &amp; Associates, LLP have audited our financial statements included in this prospectus and registration statement to the extent and for the periods set forth in their audit reports. Sadler, Gibb &amp; Associates, LLC and KLJ &amp; Associates, LLP have presented their respective reports with respect to our audited financial statements. The reports of Sadler, Gibb &amp; Associates, LLC and KLJ &amp; Associates, LLP are included in reliance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SECURITIES ACT LIABILITIES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filed a registration statement on Form S-3 with the SEC relating to the securities offered by this prospectus. This prospectus, which constitutes a part of the registration statement, does not contain all of the information set forth in the registration statement and the exhibits thereto. We have omitted parts of the registration statement, as permitted by the rules and regulations of the SEC. Statements contained in this prospectus as to the contents of any contract or other document that is filed as an exhibit to the registration statement are not necessarily complete and each such statement is qualified in all respects by reference to the full text of such contract or document. For further information with respect to us and the common stock, reference is hereby made to the registration statement and the exhibits thereto.</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are subject to the information and periodic reporting requirements of the Exchange Act, and in accordance therewith file periodic reports, current reports, proxy statements and other information with the SEC. Such periodic reports, current reports, proxy statements, other information and a copy of the registration statement relating to the securities offered by this prospectus may be inspected by anyone without charge and copies of these materials may be obtained upon the payment of the fees prescribed by the SEC, at the Public Reference Room maintained by the SEC at 100 F Street, N.E., Washington, D.C. 20549. The public may obtain information on the operation of the Public Reference Room by calling the SEC at 1-800-SEC-0330. The registration statement relating to the securities offered by this prospectus and the periodic reports, current reports, proxy statements and other information filed by us are also available to the public through the SEC’s website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and through our website at </w:t>
      </w:r>
      <w:r>
        <w:rPr>
          <w:rFonts w:ascii="Arial" w:cs="Arial" w:eastAsia="Arial" w:hAnsi="Arial"/>
          <w:sz w:val="16"/>
          <w:szCs w:val="16"/>
          <w:u w:val="single" w:color="auto"/>
          <w:color w:val="auto"/>
        </w:rPr>
        <w:t>http://www.optimizeRx.com</w:t>
      </w:r>
      <w:r>
        <w:rPr>
          <w:rFonts w:ascii="Arial" w:cs="Arial" w:eastAsia="Arial" w:hAnsi="Arial"/>
          <w:sz w:val="16"/>
          <w:szCs w:val="16"/>
          <w:color w:val="auto"/>
        </w:rPr>
        <w: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SEC allows us to incorporate by reference in this prospectus the information in documents we file with the SEC, which means that we can disclose important information to you by referring you to those documents. The information in this prospectus updates (and, to the extent of any conflict, supersedes) information incorporated by reference that we have filed with the SEC prior to the date of this prospectus. </w:t>
      </w:r>
      <w:r>
        <w:rPr>
          <w:rFonts w:ascii="Arial" w:cs="Arial" w:eastAsia="Arial" w:hAnsi="Arial"/>
          <w:sz w:val="18"/>
          <w:szCs w:val="18"/>
          <w:b w:val="1"/>
          <w:bCs w:val="1"/>
          <w:color w:val="auto"/>
        </w:rPr>
        <w:t>You should read the information incorporated</w:t>
      </w:r>
      <w:r>
        <w:rPr>
          <w:rFonts w:ascii="Arial" w:cs="Arial" w:eastAsia="Arial" w:hAnsi="Arial"/>
          <w:sz w:val="18"/>
          <w:szCs w:val="18"/>
          <w:color w:val="auto"/>
        </w:rPr>
        <w:t xml:space="preserve"> </w:t>
      </w:r>
      <w:r>
        <w:rPr>
          <w:rFonts w:ascii="Arial" w:cs="Arial" w:eastAsia="Arial" w:hAnsi="Arial"/>
          <w:sz w:val="18"/>
          <w:szCs w:val="18"/>
          <w:b w:val="1"/>
          <w:bCs w:val="1"/>
          <w:color w:val="auto"/>
        </w:rPr>
        <w:t>by reference because it is an important part of this prospectus.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incorporate by reference the documents listed below (SEC File No. 001-38543), excluding any portions of any Current Report on Form 8-K that are not deemed “filed” pursuant to the General Instructions of Form 8-K:</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March 8,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2018, filed with the SEC on May 2,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Reports on Form 8-K filed with the SEC on March 27, 2018 and February 2, 2018;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our common stock in our Registration Statement on Form 8-A, filed with the SEC on June 19, 2018, including any amendment or reports filed for the purpose of updating such description.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incorporate by reference any future filings we will make with the SEC under Sections 13(a), 13(c), 14, or 15(d) of the Exchange Act (other than filings or portions of filings that are furnished under applicable SEC rules rather than filed), including those made after the date of filing of the initial registration statement of which this prospectus is a part and prior to its effectiveness, until we file a post-effective amendment that indicates the termination of the offering of the securities made by this prospectus.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incorporated herein by reference to the extent that statements in the later filed document modify or replace such earlier statements.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hereby undertake to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To request such materials, please contact Mr. Douglas Baker, our CFO, OptimizeRx Corp., 400 Water Street, Suite 200 Rochester, MI 48307, by email at info@optimizerx.com, or by facsimile at (248) 453 - 5529. These documents are also available free of charge through the Investors section on our website at </w:t>
      </w:r>
      <w:r>
        <w:rPr>
          <w:rFonts w:ascii="Arial" w:cs="Arial" w:eastAsia="Arial" w:hAnsi="Arial"/>
          <w:sz w:val="17"/>
          <w:szCs w:val="17"/>
          <w:u w:val="single" w:color="auto"/>
          <w:color w:val="auto"/>
        </w:rPr>
        <w:t>http://www.optimizerx.com</w:t>
      </w:r>
      <w:r>
        <w:rPr>
          <w:rFonts w:ascii="Arial" w:cs="Arial" w:eastAsia="Arial" w:hAnsi="Arial"/>
          <w:sz w:val="17"/>
          <w:szCs w:val="17"/>
          <w:color w:val="auto"/>
        </w:rPr>
        <w:t xml:space="preserve"> as soon as practicable after such materials have been electronically filed with, or furnished to, the SEC.</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340" w:type="dxa"/>
            <w:vAlign w:val="bottom"/>
          </w:tcPr>
          <w:p>
            <w:pPr>
              <w:jc w:val="center"/>
              <w:ind w:left="310"/>
              <w:spacing w:after="0"/>
              <w:rPr>
                <w:sz w:val="20"/>
                <w:szCs w:val="20"/>
                <w:color w:val="auto"/>
              </w:rPr>
            </w:pPr>
            <w:r>
              <w:rPr>
                <w:rFonts w:ascii="Arial" w:cs="Arial" w:eastAsia="Arial" w:hAnsi="Arial"/>
                <w:sz w:val="18"/>
                <w:szCs w:val="18"/>
                <w:b w:val="1"/>
                <w:bCs w:val="1"/>
                <w:color w:val="auto"/>
              </w:rPr>
              <w:t>PART II</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340" w:type="dxa"/>
            <w:vAlign w:val="bottom"/>
          </w:tcPr>
          <w:p>
            <w:pPr>
              <w:jc w:val="center"/>
              <w:ind w:left="310"/>
              <w:spacing w:after="0"/>
              <w:rPr>
                <w:sz w:val="20"/>
                <w:szCs w:val="20"/>
                <w:color w:val="auto"/>
              </w:rPr>
            </w:pPr>
            <w:r>
              <w:rPr>
                <w:rFonts w:ascii="Arial" w:cs="Arial" w:eastAsia="Arial" w:hAnsi="Arial"/>
                <w:sz w:val="18"/>
                <w:szCs w:val="18"/>
                <w:b w:val="1"/>
                <w:bCs w:val="1"/>
                <w:color w:val="auto"/>
              </w:rPr>
              <w:t>INFORMATION NOT REQUIRED IN PROSPECTUS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13.</w:t>
            </w:r>
          </w:p>
        </w:tc>
        <w:tc>
          <w:tcPr>
            <w:tcW w:w="9340" w:type="dxa"/>
            <w:vAlign w:val="bottom"/>
          </w:tcPr>
          <w:p>
            <w:pPr>
              <w:ind w:left="200"/>
              <w:spacing w:after="0"/>
              <w:rPr>
                <w:sz w:val="20"/>
                <w:szCs w:val="20"/>
                <w:color w:val="auto"/>
              </w:rPr>
            </w:pPr>
            <w:r>
              <w:rPr>
                <w:rFonts w:ascii="Arial" w:cs="Arial" w:eastAsia="Arial" w:hAnsi="Arial"/>
                <w:sz w:val="18"/>
                <w:szCs w:val="18"/>
                <w:b w:val="1"/>
                <w:bCs w:val="1"/>
                <w:color w:val="auto"/>
              </w:rPr>
              <w:t>Other Expenses of Issuance and Distribution</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Fees(1)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160" w:type="dxa"/>
            <w:vAlign w:val="bottom"/>
            <w:gridSpan w:val="2"/>
          </w:tcPr>
          <w:p>
            <w:pPr>
              <w:spacing w:after="0" w:line="256" w:lineRule="exact"/>
              <w:rPr>
                <w:sz w:val="20"/>
                <w:szCs w:val="20"/>
                <w:color w:val="auto"/>
              </w:rPr>
            </w:pPr>
            <w:r>
              <w:rPr>
                <w:rFonts w:ascii="Arial" w:cs="Arial" w:eastAsia="Arial" w:hAnsi="Arial"/>
                <w:sz w:val="18"/>
                <w:szCs w:val="18"/>
                <w:color w:val="auto"/>
              </w:rPr>
              <w:t>Accounting Fees and Expenses</w:t>
            </w:r>
            <w:r>
              <w:rPr>
                <w:rFonts w:ascii="Arial" w:cs="Arial" w:eastAsia="Arial" w:hAnsi="Arial"/>
                <w:sz w:val="29"/>
                <w:szCs w:val="29"/>
                <w:color w:val="auto"/>
                <w:vertAlign w:val="superscript"/>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Legal Fees and Expenses</w:t>
            </w:r>
            <w:r>
              <w:rPr>
                <w:rFonts w:ascii="Arial" w:cs="Arial" w:eastAsia="Arial" w:hAnsi="Arial"/>
                <w:sz w:val="29"/>
                <w:szCs w:val="29"/>
                <w:color w:val="auto"/>
                <w:vertAlign w:val="superscript"/>
              </w:rPr>
              <w:t>*</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160" w:type="dxa"/>
            <w:vAlign w:val="bottom"/>
            <w:tcBorders>
              <w:bottom w:val="single" w:sz="8" w:color="CCEEFF"/>
            </w:tcBorders>
            <w:gridSpan w:val="2"/>
          </w:tcPr>
          <w:p>
            <w:pPr>
              <w:spacing w:after="0" w:line="269" w:lineRule="exact"/>
              <w:rPr>
                <w:sz w:val="20"/>
                <w:szCs w:val="20"/>
                <w:color w:val="auto"/>
              </w:rPr>
            </w:pPr>
            <w:r>
              <w:rPr>
                <w:rFonts w:ascii="Arial" w:cs="Arial" w:eastAsia="Arial" w:hAnsi="Arial"/>
                <w:sz w:val="18"/>
                <w:szCs w:val="18"/>
                <w:color w:val="auto"/>
              </w:rPr>
              <w:t>Miscellaneous</w:t>
            </w:r>
            <w:r>
              <w:rPr>
                <w:rFonts w:ascii="Arial" w:cs="Arial" w:eastAsia="Arial" w:hAnsi="Arial"/>
                <w:sz w:val="30"/>
                <w:szCs w:val="30"/>
                <w:color w:val="auto"/>
                <w:vertAlign w:val="superscript"/>
              </w:rPr>
              <w: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Total</w:t>
            </w:r>
          </w:p>
        </w:tc>
        <w:tc>
          <w:tcPr>
            <w:tcW w:w="9340" w:type="dxa"/>
            <w:vAlign w:val="bottom"/>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16,711.88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(1) Previously paid.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bear our fees and expenses incurred in connection with the registration of shares of Common Stock in connection with this offering. The Selling Shareholders will bear all selling and other expenses that they incur in connection with their sale of shares of Common Stock pursuant to the prospectus which is part of this registration statement.</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officers and directors are indemnified as provided by the Nevada Revised Statutes and our bylaws.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governing Nevada statutes, director immunity from liability to a company or its shareholders for monetary liabilities applies automatically unless it is specifically limited by a company's articles of incorporation. Our articles of incorporation do not contain any limiting language regarding director immunity from liability. Excepted from this immunity are:</w:t>
      </w:r>
    </w:p>
    <w:p>
      <w:pPr>
        <w:spacing w:after="0" w:line="181" w:lineRule="exact"/>
        <w:rPr>
          <w:sz w:val="20"/>
          <w:szCs w:val="20"/>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willful failure to deal fairly with the company or its shareholders in connection with a matter in which the director has a material conflict of interest;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violation of criminal law (unless the director had reasonable cause to believe that his or her conduct was lawful or no reasonable cause to believe that his or her conduct was unlawful);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bylaws provide that we will indemnify our directors and officers to the fullest extent not prohibited by Nevada law; provided, however, that we may modify the extent of such indemnification by individual contracts with our directors and officers; and, provided, further, that we shall not be required to indemnify any director or officer in connection with any proceeding (or part thereof) initiated by such person unless:</w:t>
      </w:r>
    </w:p>
    <w:p>
      <w:pPr>
        <w:spacing w:after="0" w:line="18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indemnification is expressly required to be made by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proceeding was authorized by our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indemnification is provided by us, in our sole discretion, pursuant to the powers vested us under Nevada law;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indemnification is required to be made pursuant to the bylaws.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provide that we will advance to any person who was or is a party or is threatened to be made a party to any threatened, pending or completed action, suit or proceeding, whether civil, criminal, administrative or investigative, by reason of the fact that he is or was a director or officer, of the company, or is or was serving at the request of the company as a director or executive officer of another company, partnership, joint venture, trust or other enterprise, prior to the final disposition of the proceeding, promptly following request therefore, all expenses incurred by any director or officer in connection with such proceeding upon receipt of an undertaking by or on behalf of such person to repay said amounts if it should be determined ultimately that such person is not entitled to be indemnified under our bylaws or otherwise.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bylaws provide that no advance shall be made by us to an officer of the company, except by reason of the fact that such officer is or was a director of the company in which event this paragraph shall not apply, in any action, suit or proceeding, whether civil, criminal, administrative or investigative, if a determination is reasonably and promptly made: (a) by the board of directors by a majority vote of a quorum consisting of directors who were not parties to the proceeding, or (b)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we issued 6,250 shares of restricted Common Stock to our outside Directors as part of our director compensation package for services rendered in Q4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we granted 130,000 shares of Common Stock to officers and options to purchase 106,667 shares of Common Stock with an exercise price of $4.20 to non-officers, both of which vest only if we achieve certain stretch revenue goals in either 2019 or 2020.</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March 2018, we issued 6,250 shares of Common Stock to our independent directors in connection with our Director Compensation Plan. We also issued 100,000 shares of Common Stock to a subsidiary of WPP, a shareholder of the Company, in payment of amounts due under a comarketing agreement.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In May 2018, we sold to accredited investors an aggregate of 1,666,669 shares of our Common Stock, for gross proceeds of approximately $9,000,000.</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ectPr>
          <w:pgSz w:w="11900" w:h="16838" w:orient="portrait"/>
          <w:cols w:equalWidth="0" w:num="1">
            <w:col w:w="11400"/>
          </w:cols>
          <w:pgMar w:left="240" w:top="226" w:right="25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color w:val="auto"/>
        </w:rPr>
        <w:t xml:space="preserve">Exhibit Number </w:t>
      </w:r>
      <w:r>
        <w:rPr>
          <w:rFonts w:ascii="Arial" w:cs="Arial" w:eastAsia="Arial" w:hAnsi="Arial"/>
          <w:sz w:val="16"/>
          <w:szCs w:val="16"/>
          <w:color w:val="auto"/>
        </w:rPr>
        <w:t>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17145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120"/>
        <w:spacing w:after="0" w:line="217" w:lineRule="auto"/>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Articles of Incorporation of OptimizeRx Corporation (the “Company”)</w:t>
        </w:r>
        <w:r>
          <w:rPr>
            <w:rFonts w:ascii="Arial" w:cs="Arial" w:eastAsia="Arial" w:hAnsi="Arial"/>
            <w:sz w:val="30"/>
            <w:szCs w:val="30"/>
            <w:u w:val="single" w:color="auto"/>
            <w:color w:val="0000EE"/>
            <w:vertAlign w:val="superscript"/>
          </w:rPr>
          <w:t>1</w:t>
        </w:r>
      </w:hyperlink>
    </w:p>
    <w:p>
      <w:pPr>
        <w:ind w:left="120"/>
        <w:spacing w:after="0" w:line="185" w:lineRule="auto"/>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Amended and Restated Bylaws of the Company</w:t>
        </w:r>
        <w:r>
          <w:rPr>
            <w:rFonts w:ascii="Arial" w:cs="Arial" w:eastAsia="Arial" w:hAnsi="Arial"/>
            <w:sz w:val="29"/>
            <w:szCs w:val="29"/>
            <w:u w:val="single" w:color="auto"/>
            <w:color w:val="0000EE"/>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4" w:lineRule="auto"/>
        <w:rPr>
          <w:rFonts w:ascii="Arial" w:cs="Arial" w:eastAsia="Arial" w:hAnsi="Arial"/>
          <w:sz w:val="18"/>
          <w:szCs w:val="18"/>
          <w:u w:val="single" w:color="auto"/>
          <w:color w:val="0000EE"/>
        </w:rPr>
      </w:pPr>
      <w:hyperlink r:id="rId33">
        <w:r>
          <w:rPr>
            <w:rFonts w:ascii="Arial" w:cs="Arial" w:eastAsia="Arial" w:hAnsi="Arial"/>
            <w:sz w:val="18"/>
            <w:szCs w:val="18"/>
            <w:u w:val="single" w:color="auto"/>
            <w:color w:val="0000EE"/>
          </w:rPr>
          <w:t>Certificate of Designation, filed on September 5, 2008 with the Secretary of State of the State of Nevada by the Company</w:t>
        </w:r>
        <w:r>
          <w:rPr>
            <w:rFonts w:ascii="Arial" w:cs="Arial" w:eastAsia="Arial" w:hAnsi="Arial"/>
            <w:sz w:val="29"/>
            <w:szCs w:val="29"/>
            <w:u w:val="single" w:color="auto"/>
            <w:color w:val="0000EE"/>
            <w:vertAlign w:val="superscript"/>
          </w:rPr>
          <w:t>1</w:t>
        </w:r>
      </w:hyperlink>
    </w:p>
    <w:p>
      <w:pPr>
        <w:ind w:left="120"/>
        <w:spacing w:after="0" w:line="185" w:lineRule="auto"/>
        <w:rPr>
          <w:rFonts w:ascii="Arial" w:cs="Arial" w:eastAsia="Arial" w:hAnsi="Arial"/>
          <w:sz w:val="18"/>
          <w:szCs w:val="18"/>
          <w:u w:val="single" w:color="auto"/>
          <w:color w:val="0000EE"/>
        </w:rPr>
      </w:pPr>
      <w:hyperlink r:id="rId34">
        <w:r>
          <w:rPr>
            <w:rFonts w:ascii="Arial" w:cs="Arial" w:eastAsia="Arial" w:hAnsi="Arial"/>
            <w:sz w:val="18"/>
            <w:szCs w:val="18"/>
            <w:u w:val="single" w:color="auto"/>
            <w:color w:val="0000EE"/>
          </w:rPr>
          <w:t>Certificate of Designation, filed on June 3, 2010 with the Secretary of State of the State of Nevada by the Company</w:t>
        </w:r>
        <w:r>
          <w:rPr>
            <w:rFonts w:ascii="Arial" w:cs="Arial" w:eastAsia="Arial" w:hAnsi="Arial"/>
            <w:sz w:val="29"/>
            <w:szCs w:val="29"/>
            <w:u w:val="single" w:color="auto"/>
            <w:color w:val="0000EE"/>
            <w:vertAlign w:val="superscript"/>
          </w:rPr>
          <w:t>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Opinion of The Doney Law firm with Consent to use</w:t>
        </w:r>
        <w:r>
          <w:rPr>
            <w:rFonts w:ascii="Arial" w:cs="Arial" w:eastAsia="Arial" w:hAnsi="Arial"/>
            <w:sz w:val="29"/>
            <w:szCs w:val="29"/>
            <w:u w:val="single" w:color="auto"/>
            <w:color w:val="0000EE"/>
            <w:vertAlign w:val="superscript"/>
          </w:rPr>
          <w:t>13</w:t>
        </w:r>
      </w:hyperlink>
    </w:p>
    <w:p>
      <w:pPr>
        <w:ind w:left="120"/>
        <w:spacing w:after="0" w:line="184" w:lineRule="auto"/>
        <w:rPr>
          <w:rFonts w:ascii="Arial" w:cs="Arial" w:eastAsia="Arial" w:hAnsi="Arial"/>
          <w:sz w:val="18"/>
          <w:szCs w:val="18"/>
          <w:u w:val="single" w:color="auto"/>
          <w:color w:val="0000EE"/>
        </w:rPr>
      </w:pPr>
      <w:hyperlink r:id="rId37">
        <w:r>
          <w:rPr>
            <w:rFonts w:ascii="Arial" w:cs="Arial" w:eastAsia="Arial" w:hAnsi="Arial"/>
            <w:sz w:val="18"/>
            <w:szCs w:val="18"/>
            <w:u w:val="single" w:color="auto"/>
            <w:color w:val="0000EE"/>
          </w:rPr>
          <w:t>Separation Agreement, dated September 20, 2013</w:t>
        </w:r>
        <w:r>
          <w:rPr>
            <w:rFonts w:ascii="Arial" w:cs="Arial" w:eastAsia="Arial" w:hAnsi="Arial"/>
            <w:sz w:val="29"/>
            <w:szCs w:val="29"/>
            <w:u w:val="single" w:color="auto"/>
            <w:color w:val="0000EE"/>
            <w:vertAlign w:val="superscript"/>
          </w:rPr>
          <w:t>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Securities Purchase Agreement</w:t>
        </w:r>
        <w:r>
          <w:rPr>
            <w:rFonts w:ascii="Arial" w:cs="Arial" w:eastAsia="Arial" w:hAnsi="Arial"/>
            <w:sz w:val="29"/>
            <w:szCs w:val="29"/>
            <w:u w:val="single" w:color="auto"/>
            <w:color w:val="0000EE"/>
            <w:vertAlign w:val="superscript"/>
          </w:rPr>
          <w:t>5</w:t>
        </w:r>
      </w:hyperlink>
    </w:p>
    <w:p>
      <w:pPr>
        <w:ind w:left="120"/>
        <w:spacing w:after="0" w:line="185" w:lineRule="auto"/>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Registration Rights Agreement</w:t>
        </w:r>
        <w:r>
          <w:rPr>
            <w:rFonts w:ascii="Arial" w:cs="Arial" w:eastAsia="Arial" w:hAnsi="Arial"/>
            <w:sz w:val="29"/>
            <w:szCs w:val="29"/>
            <w:u w:val="single" w:color="auto"/>
            <w:color w:val="0000EE"/>
            <w:vertAlign w:val="superscript"/>
          </w:rPr>
          <w:t>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4" w:lineRule="auto"/>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Investor Agreement</w:t>
        </w:r>
        <w:r>
          <w:rPr>
            <w:rFonts w:ascii="Arial" w:cs="Arial" w:eastAsia="Arial" w:hAnsi="Arial"/>
            <w:sz w:val="29"/>
            <w:szCs w:val="29"/>
            <w:u w:val="single" w:color="auto"/>
            <w:color w:val="0000EE"/>
            <w:vertAlign w:val="superscript"/>
          </w:rPr>
          <w:t>5</w:t>
        </w:r>
      </w:hyperlink>
    </w:p>
    <w:p>
      <w:pPr>
        <w:ind w:left="120"/>
        <w:spacing w:after="0" w:line="185" w:lineRule="auto"/>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Warrant Agreement</w:t>
        </w:r>
        <w:r>
          <w:rPr>
            <w:rFonts w:ascii="Arial" w:cs="Arial" w:eastAsia="Arial" w:hAnsi="Arial"/>
            <w:sz w:val="29"/>
            <w:szCs w:val="29"/>
            <w:u w:val="single" w:color="auto"/>
            <w:color w:val="0000EE"/>
            <w:vertAlign w:val="superscript"/>
          </w:rPr>
          <w:t>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Warrant Agreement</w:t>
        </w:r>
        <w:r>
          <w:rPr>
            <w:rFonts w:ascii="Arial" w:cs="Arial" w:eastAsia="Arial" w:hAnsi="Arial"/>
            <w:sz w:val="29"/>
            <w:szCs w:val="29"/>
            <w:u w:val="single" w:color="auto"/>
            <w:color w:val="0000EE"/>
            <w:vertAlign w:val="superscript"/>
          </w:rPr>
          <w:t>6</w:t>
        </w:r>
      </w:hyperlink>
    </w:p>
    <w:p>
      <w:pPr>
        <w:ind w:left="120"/>
        <w:spacing w:after="0" w:line="184" w:lineRule="auto"/>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Stock Purchase Agreement, dated September 24, 2015</w:t>
        </w:r>
        <w:r>
          <w:rPr>
            <w:rFonts w:ascii="Arial" w:cs="Arial" w:eastAsia="Arial" w:hAnsi="Arial"/>
            <w:sz w:val="29"/>
            <w:szCs w:val="29"/>
            <w:u w:val="single" w:color="auto"/>
            <w:color w:val="0000EE"/>
            <w:vertAlign w:val="superscript"/>
          </w:rPr>
          <w:t>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Investor Rights Agreement, dated September 24, 2015</w:t>
        </w:r>
        <w:r>
          <w:rPr>
            <w:rFonts w:ascii="Arial" w:cs="Arial" w:eastAsia="Arial" w:hAnsi="Arial"/>
            <w:sz w:val="29"/>
            <w:szCs w:val="29"/>
            <w:u w:val="single" w:color="auto"/>
            <w:color w:val="0000EE"/>
            <w:vertAlign w:val="superscript"/>
          </w:rPr>
          <w:t>7</w:t>
        </w:r>
      </w:hyperlink>
    </w:p>
    <w:p>
      <w:pPr>
        <w:ind w:left="120"/>
        <w:spacing w:after="0" w:line="185" w:lineRule="auto"/>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Indemnity Agreement, dated September 24, 2015</w:t>
        </w:r>
        <w:r>
          <w:rPr>
            <w:rFonts w:ascii="Arial" w:cs="Arial" w:eastAsia="Arial" w:hAnsi="Arial"/>
            <w:sz w:val="29"/>
            <w:szCs w:val="29"/>
            <w:u w:val="single" w:color="auto"/>
            <w:color w:val="0000EE"/>
            <w:vertAlign w:val="superscript"/>
          </w:rPr>
          <w:t>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4" w:lineRule="auto"/>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Employment Agreement between the Company and James Brooks, dated December 4, 2015</w:t>
        </w:r>
        <w:r>
          <w:rPr>
            <w:rFonts w:ascii="Arial" w:cs="Arial" w:eastAsia="Arial" w:hAnsi="Arial"/>
            <w:sz w:val="29"/>
            <w:szCs w:val="29"/>
            <w:u w:val="single" w:color="auto"/>
            <w:color w:val="0000EE"/>
            <w:vertAlign w:val="superscript"/>
          </w:rPr>
          <w:t>8</w:t>
        </w:r>
      </w:hyperlink>
    </w:p>
    <w:p>
      <w:pPr>
        <w:ind w:left="120"/>
        <w:spacing w:after="0" w:line="185" w:lineRule="auto"/>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Employment Agreement between the Company and William Febbo, dated February 12, 2016</w:t>
        </w:r>
        <w:r>
          <w:rPr>
            <w:rFonts w:ascii="Arial" w:cs="Arial" w:eastAsia="Arial" w:hAnsi="Arial"/>
            <w:sz w:val="29"/>
            <w:szCs w:val="29"/>
            <w:u w:val="single" w:color="auto"/>
            <w:color w:val="0000EE"/>
            <w:vertAlign w:val="superscript"/>
          </w:rPr>
          <w:t>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ind w:left="120"/>
        <w:spacing w:after="0" w:line="205" w:lineRule="auto"/>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Separation Agreement, Corporate Consulting Agreement and Confidentiality Agreement between the Company and David Harrell dated May</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5, 2016</w:t>
        </w:r>
        <w:r>
          <w:rPr>
            <w:rFonts w:ascii="Arial" w:cs="Arial" w:eastAsia="Arial" w:hAnsi="Arial"/>
            <w:sz w:val="30"/>
            <w:szCs w:val="30"/>
            <w:u w:val="single" w:color="auto"/>
            <w:color w:val="0000EE"/>
            <w:vertAlign w:val="superscript"/>
          </w:rPr>
          <w:t>10</w:t>
        </w:r>
      </w:hyperlink>
    </w:p>
    <w:p>
      <w:pPr>
        <w:ind w:left="120"/>
        <w:spacing w:after="0" w:line="185" w:lineRule="auto"/>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Employment Agreement with Brian Dillon, dated June 22, 2016</w:t>
        </w:r>
        <w:r>
          <w:rPr>
            <w:rFonts w:ascii="Arial" w:cs="Arial" w:eastAsia="Arial" w:hAnsi="Arial"/>
            <w:sz w:val="29"/>
            <w:szCs w:val="29"/>
            <w:u w:val="single" w:color="auto"/>
            <w:color w:val="0000EE"/>
            <w:vertAlign w:val="superscript"/>
          </w:rPr>
          <w:t>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Employment Agreement with Douglas Baker, dated June 27, 2016</w:t>
        </w:r>
        <w:r>
          <w:rPr>
            <w:rFonts w:ascii="Arial" w:cs="Arial" w:eastAsia="Arial" w:hAnsi="Arial"/>
            <w:sz w:val="29"/>
            <w:szCs w:val="29"/>
            <w:u w:val="single" w:color="auto"/>
            <w:color w:val="0000EE"/>
            <w:vertAlign w:val="superscript"/>
          </w:rPr>
          <w:t>11</w:t>
        </w:r>
      </w:hyperlink>
    </w:p>
    <w:p>
      <w:pPr>
        <w:ind w:left="120"/>
        <w:spacing w:after="0" w:line="184" w:lineRule="auto"/>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Employment Agreement with Terry Hamilton, dated June 27, 2016</w:t>
        </w:r>
        <w:r>
          <w:rPr>
            <w:rFonts w:ascii="Arial" w:cs="Arial" w:eastAsia="Arial" w:hAnsi="Arial"/>
            <w:sz w:val="29"/>
            <w:szCs w:val="29"/>
            <w:u w:val="single" w:color="auto"/>
            <w:color w:val="0000EE"/>
            <w:vertAlign w:val="superscript"/>
          </w:rPr>
          <w:t>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5" w:lineRule="auto"/>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Purchase Agreement, dated May 2, 2018</w:t>
        </w:r>
        <w:r>
          <w:rPr>
            <w:rFonts w:ascii="Arial" w:cs="Arial" w:eastAsia="Arial" w:hAnsi="Arial"/>
            <w:sz w:val="29"/>
            <w:szCs w:val="29"/>
            <w:u w:val="single" w:color="auto"/>
            <w:color w:val="0000EE"/>
            <w:vertAlign w:val="superscript"/>
          </w:rPr>
          <w:t>12</w:t>
        </w:r>
      </w:hyperlink>
    </w:p>
    <w:p>
      <w:pPr>
        <w:ind w:left="120"/>
        <w:spacing w:after="0" w:line="185" w:lineRule="auto"/>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Registration Rights Agreement, dated May 2, 2018</w:t>
        </w:r>
        <w:r>
          <w:rPr>
            <w:rFonts w:ascii="Arial" w:cs="Arial" w:eastAsia="Arial" w:hAnsi="Arial"/>
            <w:sz w:val="29"/>
            <w:szCs w:val="29"/>
            <w:u w:val="single" w:color="auto"/>
            <w:color w:val="0000EE"/>
            <w:vertAlign w:val="superscript"/>
          </w:rPr>
          <w:t>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0</wp:posOffset>
            </wp:positionV>
            <wp:extent cx="72466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20"/>
        <w:spacing w:after="0" w:line="184" w:lineRule="auto"/>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List of Subsidiaries</w:t>
        </w:r>
        <w:r>
          <w:rPr>
            <w:rFonts w:ascii="Arial" w:cs="Arial" w:eastAsia="Arial" w:hAnsi="Arial"/>
            <w:sz w:val="29"/>
            <w:szCs w:val="29"/>
            <w:u w:val="single" w:color="auto"/>
            <w:color w:val="0000EE"/>
            <w:vertAlign w:val="superscript"/>
          </w:rPr>
          <w:t>1</w:t>
        </w:r>
      </w:hyperlink>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Consent of KLJ &amp; Associates**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0000EE"/>
        </w:rPr>
        <w:t>Consent of Sadler, Gibb &amp;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-130810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640" w:space="400"/>
            <w:col w:w="10360"/>
          </w:cols>
          <w:pgMar w:left="240" w:top="226" w:right="259" w:bottom="1440" w:gutter="0" w:footer="0" w:header="0"/>
          <w:type w:val="continuous"/>
        </w:sectPr>
      </w:pPr>
    </w:p>
    <w:p>
      <w:pPr>
        <w:ind w:left="340" w:hanging="332"/>
        <w:spacing w:after="0"/>
        <w:tabs>
          <w:tab w:leader="none" w:pos="34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S-1, filed by the Company with the Securities and Exchange Commission on November 12, 2008.</w:t>
      </w:r>
    </w:p>
    <w:p>
      <w:pPr>
        <w:ind w:left="340" w:hanging="332"/>
        <w:spacing w:after="0" w:line="180"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July 16, 2010.</w:t>
      </w:r>
    </w:p>
    <w:p>
      <w:pPr>
        <w:ind w:left="340" w:hanging="332"/>
        <w:spacing w:after="0" w:line="180"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June 11, 2010.</w:t>
      </w:r>
    </w:p>
    <w:p>
      <w:pPr>
        <w:ind w:left="340" w:hanging="332"/>
        <w:spacing w:after="0" w:line="181"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September 20, 2013.</w:t>
      </w:r>
    </w:p>
    <w:p>
      <w:pPr>
        <w:ind w:left="340" w:hanging="332"/>
        <w:spacing w:after="0" w:line="180"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March 18, 2014.</w:t>
      </w:r>
    </w:p>
    <w:p>
      <w:pPr>
        <w:ind w:left="340" w:hanging="332"/>
        <w:spacing w:after="0" w:line="181"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S-1/A filed by the Company with the Securities and Exchange Commission on May 12, 2014.</w:t>
      </w:r>
    </w:p>
    <w:p>
      <w:pPr>
        <w:ind w:left="340" w:hanging="332"/>
        <w:spacing w:after="0" w:line="180"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September 30, 2015.</w:t>
      </w:r>
    </w:p>
    <w:p>
      <w:pPr>
        <w:ind w:left="340" w:hanging="332"/>
        <w:spacing w:after="0" w:line="180"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January 8, 2016.</w:t>
      </w:r>
    </w:p>
    <w:p>
      <w:pPr>
        <w:ind w:left="340" w:hanging="332"/>
        <w:spacing w:after="0" w:line="181"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February 19, 2016.</w:t>
      </w:r>
    </w:p>
    <w:p>
      <w:pPr>
        <w:ind w:left="340" w:hanging="332"/>
        <w:spacing w:after="0" w:line="180"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10-Q, filed by the Company with the Securities and Exchange Commission on May 9, 2016.</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8-K, filed by the Company with the Securities and Exchange Commission on June 27, 2016.</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10-Q, filed by the Company with the Securities and Exchange Commission on May 2, 2018.</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S-1, filed by the Company with the Securities and Exchange Commission on May 22,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**Provided herewith</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undertakes:</w:t>
      </w:r>
    </w:p>
    <w:p>
      <w:pPr>
        <w:spacing w:after="0" w:line="225" w:lineRule="exact"/>
        <w:rPr>
          <w:sz w:val="20"/>
          <w:szCs w:val="20"/>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firstLine="980"/>
        <w:spacing w:after="0" w:line="273" w:lineRule="auto"/>
        <w:tabs>
          <w:tab w:leader="none" w:pos="1244" w:val="left"/>
        </w:tabs>
        <w:numPr>
          <w:ilvl w:val="1"/>
          <w:numId w:val="1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firstLine="980"/>
        <w:spacing w:after="0" w:line="277" w:lineRule="auto"/>
        <w:tabs>
          <w:tab w:leader="none" w:pos="13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9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656"/>
        <w:spacing w:after="0" w:line="277" w:lineRule="auto"/>
        <w:tabs>
          <w:tab w:leader="none" w:pos="9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registrant is relying on Rule 430B (§230.430B of this chapter):</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619"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(§230.424(b)(3) of this chapter)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left="660" w:firstLine="645"/>
        <w:spacing w:after="0" w:line="287" w:lineRule="auto"/>
        <w:tabs>
          <w:tab w:leader="none" w:pos="1607" w:val="left"/>
        </w:tabs>
        <w:numPr>
          <w:ilvl w:val="1"/>
          <w:numId w:val="17"/>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(§230.424(b)(2), (b)(5), or (b)(7) of this chapter) as part of a registration statement in reliance on Rule 430B relating to an offering made pursuant to Rule 415(a)(1)(i), (vii), or (x) (§230.415(a)(1)(i), (vii), or (x) of this chapter)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72" w:lineRule="exact"/>
        <w:rPr>
          <w:rFonts w:ascii="Arial" w:cs="Arial" w:eastAsia="Arial" w:hAnsi="Arial"/>
          <w:sz w:val="16"/>
          <w:szCs w:val="16"/>
          <w:color w:val="auto"/>
        </w:rPr>
      </w:pPr>
    </w:p>
    <w:p>
      <w:pPr>
        <w:jc w:val="both"/>
        <w:ind w:firstLine="656"/>
        <w:spacing w:after="0" w:line="272"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the registrant is subject to Rule 430C (§230.430C of this chapter),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8" w:lineRule="exact"/>
        <w:rPr>
          <w:sz w:val="20"/>
          <w:szCs w:val="20"/>
          <w:color w:val="auto"/>
        </w:rPr>
      </w:pPr>
    </w:p>
    <w:p>
      <w:pPr>
        <w:jc w:val="both"/>
        <w:ind w:firstLine="656"/>
        <w:spacing w:after="0" w:line="271" w:lineRule="auto"/>
        <w:tabs>
          <w:tab w:leader="none" w:pos="894"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of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420"/>
          </w:cols>
          <w:pgMar w:left="240" w:top="226" w:right="2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8" w:name="page19"/>
    <w:bookmarkEnd w:id="1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Rochester, State of Michigan on July 3,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William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 Principal Financial Officer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Accounting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Febbo</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William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July 3,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Lang</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James Lang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Chairman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July 3,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Vos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Lynn Vos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July 3,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 D. Halas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Gus D. Halas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July 3,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Spangler</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Patrick Spangler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July 3,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 Archambault</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Bryan Archambault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July 3,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 Baker</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Doug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and Principal Accounting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July 3, 2018</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972310" cy="506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extLst>
                        <a:ext uri="{28A0092B-C50C-407E-A947-70E740481C1C}"/>
                      </a:extLst>
                    </a:blip>
                    <a:srcRect/>
                    <a:stretch>
                      <a:fillRect/>
                    </a:stretch>
                  </pic:blipFill>
                  <pic:spPr bwMode="auto">
                    <a:xfrm>
                      <a:off x="0" y="0"/>
                      <a:ext cx="197231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hereby consent to the use of our audit report dated March 8, 2017, with respect to the consolidated financial statements of OptimizeRx Corporation as incorporated by reference in its registration statement on Form S-3. We also consent to the reference of our firm under the caption “interest of named experts and counsel” in the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Edina, MN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5201 Eden Ave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Edina, MN 55436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630.277.2330</w:t>
      </w:r>
    </w:p>
    <w:p>
      <w:pPr>
        <w:sectPr>
          <w:pgSz w:w="11900" w:h="16838" w:orient="portrait"/>
          <w:cols w:equalWidth="0" w:num="1">
            <w:col w:w="11420"/>
          </w:cols>
          <w:pgMar w:left="240" w:top="11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444115" cy="127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
                      <a:extLst>
                        <a:ext uri="{28A0092B-C50C-407E-A947-70E740481C1C}"/>
                      </a:extLst>
                    </a:blip>
                    <a:srcRect/>
                    <a:stretch>
                      <a:fillRect/>
                    </a:stretch>
                  </pic:blipFill>
                  <pic:spPr bwMode="auto">
                    <a:xfrm>
                      <a:off x="0" y="0"/>
                      <a:ext cx="244411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Registered with the Public Company</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Oversight Board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hereby consent to the use of our report dual dated March 7, 2018 and May 17, 2018, with respect to the consolidated financial statements of OptimizeRx Corp., as incorporated by reference in its registration statement on Form S-3 relating to the registration of 1,666,669 shares of common stock, to be filed on or about July 3, 2018. We also consent to the reference of our firm under the caption “interests of named experts and counsel”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1766570" cy="3257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a:extLst>
                        <a:ext uri="{28A0092B-C50C-407E-A947-70E740481C1C}"/>
                      </a:extLst>
                    </a:blip>
                    <a:srcRect/>
                    <a:stretch>
                      <a:fillRect/>
                    </a:stretch>
                  </pic:blipFill>
                  <pic:spPr bwMode="auto">
                    <a:xfrm>
                      <a:off x="0" y="0"/>
                      <a:ext cx="176657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SADLER, GIBB AND ASSOCIATES,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 2018</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bullet"/>
      <w:start w:val="1"/>
    </w:lvl>
  </w:abstractNum>
  <w:abstractNum w:abstractNumId="6">
    <w:nsid w:val="140E0F76"/>
    <w:multiLevelType w:val="hybridMultilevel"/>
    <w:lvl w:ilvl="0">
      <w:lvlJc w:val="left"/>
      <w:lvlText w:val="2"/>
      <w:numFmt w:val="bullet"/>
      <w:start w:val="1"/>
    </w:lvl>
  </w:abstractNum>
  <w:abstractNum w:abstractNumId="7">
    <w:nsid w:val="3352255A"/>
    <w:multiLevelType w:val="hybridMultilevel"/>
    <w:lvl w:ilvl="0">
      <w:lvlJc w:val="left"/>
      <w:lvlText w:val="3"/>
      <w:numFmt w:val="bullet"/>
      <w:start w:val="1"/>
    </w:lvl>
  </w:abstractNum>
  <w:abstractNum w:abstractNumId="8">
    <w:nsid w:val="109CF92E"/>
    <w:multiLevelType w:val="hybridMultilevel"/>
    <w:lvl w:ilvl="0">
      <w:lvlJc w:val="left"/>
      <w:lvlText w:val="4"/>
      <w:numFmt w:val="bullet"/>
      <w:start w:val="1"/>
    </w:lvl>
  </w:abstractNum>
  <w:abstractNum w:abstractNumId="9">
    <w:nsid w:val="DED7263"/>
    <w:multiLevelType w:val="hybridMultilevel"/>
    <w:lvl w:ilvl="0">
      <w:lvlJc w:val="left"/>
      <w:lvlText w:val="5"/>
      <w:numFmt w:val="bullet"/>
      <w:start w:val="1"/>
    </w:lvl>
  </w:abstractNum>
  <w:abstractNum w:abstractNumId="10">
    <w:nsid w:val="7FDCC233"/>
    <w:multiLevelType w:val="hybridMultilevel"/>
    <w:lvl w:ilvl="0">
      <w:lvlJc w:val="left"/>
      <w:lvlText w:val="6"/>
      <w:numFmt w:val="bullet"/>
      <w:start w:val="1"/>
    </w:lvl>
  </w:abstractNum>
  <w:abstractNum w:abstractNumId="11">
    <w:nsid w:val="1BEFD79F"/>
    <w:multiLevelType w:val="hybridMultilevel"/>
    <w:lvl w:ilvl="0">
      <w:lvlJc w:val="left"/>
      <w:lvlText w:val="7"/>
      <w:numFmt w:val="bullet"/>
      <w:start w:val="1"/>
    </w:lvl>
  </w:abstractNum>
  <w:abstractNum w:abstractNumId="12">
    <w:nsid w:val="41A7C4C9"/>
    <w:multiLevelType w:val="hybridMultilevel"/>
    <w:lvl w:ilvl="0">
      <w:lvlJc w:val="left"/>
      <w:lvlText w:val="8"/>
      <w:numFmt w:val="bullet"/>
      <w:start w:val="1"/>
    </w:lvl>
  </w:abstractNum>
  <w:abstractNum w:abstractNumId="13">
    <w:nsid w:val="6B68079A"/>
    <w:multiLevelType w:val="hybridMultilevel"/>
    <w:lvl w:ilvl="0">
      <w:lvlJc w:val="left"/>
      <w:lvlText w:val="9"/>
      <w:numFmt w:val="bullet"/>
      <w:start w:val="1"/>
    </w:lvl>
  </w:abstractNum>
  <w:abstractNum w:abstractNumId="14">
    <w:nsid w:val="4E6AFB66"/>
    <w:multiLevelType w:val="hybridMultilevel"/>
    <w:lvl w:ilvl="0">
      <w:lvlJc w:val="left"/>
      <w:lvlText w:val="%1"/>
      <w:numFmt w:val="decimal"/>
      <w:start w:val="10"/>
    </w:lvl>
  </w:abstractNum>
  <w:abstractNum w:abstractNumId="15">
    <w:nsid w:val="25E45D32"/>
    <w:multiLevelType w:val="hybridMultilevel"/>
    <w:lvl w:ilvl="0">
      <w:lvlJc w:val="left"/>
      <w:lvlText w:val="(%1)"/>
      <w:numFmt w:val="lowerLetter"/>
      <w:start w:val="1"/>
    </w:lvl>
    <w:lvl w:ilvl="1">
      <w:lvlJc w:val="left"/>
      <w:lvlText w:val="(%2)"/>
      <w:numFmt w:val="lowerRoman"/>
      <w:start w:val="1"/>
    </w:lvl>
  </w:abstractNum>
  <w:abstractNum w:abstractNumId="16">
    <w:nsid w:val="519B500D"/>
    <w:multiLevelType w:val="hybridMultilevel"/>
    <w:lvl w:ilvl="0">
      <w:lvlJc w:val="left"/>
      <w:lvlText w:val="(%1)"/>
      <w:numFmt w:val="lowerRoman"/>
      <w:start w:val="1"/>
    </w:lvl>
    <w:lvl w:ilvl="1">
      <w:lvlJc w:val="left"/>
      <w:lvlText w:val="(%2)"/>
      <w:numFmt w:val="upperLetter"/>
      <w:start w:val="1"/>
    </w:lvl>
  </w:abstractNum>
  <w:abstractNum w:abstractNumId="17">
    <w:nsid w:val="431BD7B7"/>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2" Type="http://schemas.openxmlformats.org/officeDocument/2006/relationships/image" Target="media/image23.png"/><Relationship Id="rId35" Type="http://schemas.openxmlformats.org/officeDocument/2006/relationships/image" Target="media/image24.png"/><Relationship Id="rId38" Type="http://schemas.openxmlformats.org/officeDocument/2006/relationships/image" Target="media/image25.png"/><Relationship Id="rId41" Type="http://schemas.openxmlformats.org/officeDocument/2006/relationships/image" Target="media/image26.png"/><Relationship Id="rId44" Type="http://schemas.openxmlformats.org/officeDocument/2006/relationships/image" Target="media/image27.png"/><Relationship Id="rId47" Type="http://schemas.openxmlformats.org/officeDocument/2006/relationships/image" Target="media/image28.png"/><Relationship Id="rId50" Type="http://schemas.openxmlformats.org/officeDocument/2006/relationships/image" Target="media/image29.png"/><Relationship Id="rId53" Type="http://schemas.openxmlformats.org/officeDocument/2006/relationships/image" Target="media/image30.png"/><Relationship Id="rId56" Type="http://schemas.openxmlformats.org/officeDocument/2006/relationships/image" Target="media/image31.png"/><Relationship Id="rId59" Type="http://schemas.openxmlformats.org/officeDocument/2006/relationships/image" Target="media/image32.png"/><Relationship Id="rId62" Type="http://schemas.openxmlformats.org/officeDocument/2006/relationships/image" Target="media/image33.png"/><Relationship Id="rId64" Type="http://schemas.openxmlformats.org/officeDocument/2006/relationships/image" Target="media/image34.png"/><Relationship Id="rId65" Type="http://schemas.openxmlformats.org/officeDocument/2006/relationships/image" Target="media/image35.png"/><Relationship Id="rId66" Type="http://schemas.openxmlformats.org/officeDocument/2006/relationships/image" Target="media/image36.png"/><Relationship Id="rId67" Type="http://schemas.openxmlformats.org/officeDocument/2006/relationships/image" Target="media/image37.png"/><Relationship Id="rId68" Type="http://schemas.openxmlformats.org/officeDocument/2006/relationships/image" Target="media/image38.png"/><Relationship Id="rId69" Type="http://schemas.openxmlformats.org/officeDocument/2006/relationships/image" Target="media/image39.png"/><Relationship Id="rId70" Type="http://schemas.openxmlformats.org/officeDocument/2006/relationships/image" Target="media/image40.jpeg"/><Relationship Id="rId71" Type="http://schemas.openxmlformats.org/officeDocument/2006/relationships/image" Target="media/image41.png"/><Relationship Id="rId72" Type="http://schemas.openxmlformats.org/officeDocument/2006/relationships/image" Target="media/image42.jpeg"/><Relationship Id="rId73" Type="http://schemas.openxmlformats.org/officeDocument/2006/relationships/image" Target="media/image43.jpeg"/><Relationship Id="rId30" Type="http://schemas.openxmlformats.org/officeDocument/2006/relationships/hyperlink" Target="http://www.sec.gov/Archives/edgar/data/1448431/000136110608000414/optimizerx_s1-ex0301.htm" TargetMode="External"/><Relationship Id="rId31" Type="http://schemas.openxmlformats.org/officeDocument/2006/relationships/hyperlink" Target="http://www.sec.gov/Archives/edgar/data/1448431/000125529410000605/ex3_1.htm" TargetMode="External"/><Relationship Id="rId33" Type="http://schemas.openxmlformats.org/officeDocument/2006/relationships/hyperlink" Target="http://www.sec.gov/Archives/edgar/data/1448431/000136110608000414/optimizerx_s1-ex0401.htm" TargetMode="External"/><Relationship Id="rId34" Type="http://schemas.openxmlformats.org/officeDocument/2006/relationships/hyperlink" Target="http://www.sec.gov/Archives/edgar/data/1448431/000125529410000492/ex4_1.htm" TargetMode="External"/><Relationship Id="rId36" Type="http://schemas.openxmlformats.org/officeDocument/2006/relationships/hyperlink" Target="http://www.sec.gov/Archives/edgar/data/1448431/000121390018006700/fs12018ex5-1_optimizerxcorp.htm" TargetMode="External"/><Relationship Id="rId37" Type="http://schemas.openxmlformats.org/officeDocument/2006/relationships/hyperlink" Target="http://www.sec.gov/Archives/edgar/data/1448431/000125529413000753/ex10_1.htm" TargetMode="External"/><Relationship Id="rId39" Type="http://schemas.openxmlformats.org/officeDocument/2006/relationships/hyperlink" Target="http://www.sec.gov/Archives/edgar/data/1448431/000125529414000204/ex10_1.htm" TargetMode="External"/><Relationship Id="rId40" Type="http://schemas.openxmlformats.org/officeDocument/2006/relationships/hyperlink" Target="http://www.sec.gov/Archives/edgar/data/1448431/000125529414000204/ex10_2.htm" TargetMode="External"/><Relationship Id="rId42" Type="http://schemas.openxmlformats.org/officeDocument/2006/relationships/hyperlink" Target="http://www.sec.gov/Archives/edgar/data/1448431/000125529414000204/ex10_3.htm" TargetMode="External"/><Relationship Id="rId43" Type="http://schemas.openxmlformats.org/officeDocument/2006/relationships/hyperlink" Target="http://www.sec.gov/Archives/edgar/data/1448431/000125529414000402/ex10_19.htm" TargetMode="External"/><Relationship Id="rId45" Type="http://schemas.openxmlformats.org/officeDocument/2006/relationships/hyperlink" Target="http://www.sec.gov/Archives/edgar/data/1448431/000125529414000402/ex10_20.htm" TargetMode="External"/><Relationship Id="rId46" Type="http://schemas.openxmlformats.org/officeDocument/2006/relationships/hyperlink" Target="http://www.sec.gov/Archives/edgar/data/1448431/000121390015007373/f8k092415ex10i_optimizerx.htm" TargetMode="External"/><Relationship Id="rId48" Type="http://schemas.openxmlformats.org/officeDocument/2006/relationships/hyperlink" Target="http://www.sec.gov/Archives/edgar/data/1448431/000121390015007373/f8k092415ex10ii_optimizerx.htm" TargetMode="External"/><Relationship Id="rId49" Type="http://schemas.openxmlformats.org/officeDocument/2006/relationships/hyperlink" Target="http://www.sec.gov/Archives/edgar/data/1448431/000121390015007373/f8k092415ex10iii_optimizerx.htm" TargetMode="External"/><Relationship Id="rId51" Type="http://schemas.openxmlformats.org/officeDocument/2006/relationships/hyperlink" Target="http://www.sec.gov/Archives/edgar/data/1448431/000121390016010017/f8k010416ex10i_optimizerx.htm" TargetMode="External"/><Relationship Id="rId52" Type="http://schemas.openxmlformats.org/officeDocument/2006/relationships/hyperlink" Target="http://www.sec.gov/Archives/edgar/data/1448431/000121390016011106/f8k021216ex10i_optimizerx.htm" TargetMode="External"/><Relationship Id="rId54" Type="http://schemas.openxmlformats.org/officeDocument/2006/relationships/hyperlink" Target="http://www.sec.gov/Archives/edgar/data/1448431/000121390016013077/f10q0316ex10i_optimizerx.htm" TargetMode="External"/><Relationship Id="rId55" Type="http://schemas.openxmlformats.org/officeDocument/2006/relationships/hyperlink" Target="http://www.sec.gov/Archives/edgar/data/1448431/000121390016014498/f8k062216ex10i_optimizerx.htm" TargetMode="External"/><Relationship Id="rId57" Type="http://schemas.openxmlformats.org/officeDocument/2006/relationships/hyperlink" Target="http://www.sec.gov/Archives/edgar/data/1448431/000121390016014498/f8k062216ex10ii_optimizerx.htm" TargetMode="External"/><Relationship Id="rId58" Type="http://schemas.openxmlformats.org/officeDocument/2006/relationships/hyperlink" Target="http://www.sec.gov/Archives/edgar/data/1448431/000121390016014498/f8k062216ex10iii_optimizerx.htm" TargetMode="External"/><Relationship Id="rId60" Type="http://schemas.openxmlformats.org/officeDocument/2006/relationships/hyperlink" Target="http://www.sec.gov/Archives/edgar/data/1448431/000121390018005414/f10q0318ex10-1_optimizerx.htm" TargetMode="External"/><Relationship Id="rId61" Type="http://schemas.openxmlformats.org/officeDocument/2006/relationships/hyperlink" Target="http://www.sec.gov/Archives/edgar/data/1448431/000121390018005414/f10q0318ex10-2_optimizerx.htm" TargetMode="External"/><Relationship Id="rId63" Type="http://schemas.openxmlformats.org/officeDocument/2006/relationships/hyperlink" Target="http://www.sec.gov/Archives/edgar/data/1448431/000136110608000414/optimizerx_s1-ex2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2019-12-07T14:14:33Z</dcterms:created>
  <dcterms:modified xsi:type="dcterms:W3CDTF">2019-12-07T14:14:33Z</dcterms:modified>
</cp:coreProperties>
</file>