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32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29"/>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8"/>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380" w:type="dxa"/>
            <w:vAlign w:val="bottom"/>
            <w:gridSpan w:val="9"/>
          </w:tcPr>
          <w:p>
            <w:pPr>
              <w:jc w:val="center"/>
              <w:ind w:right="5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8160" w:type="dxa"/>
            <w:vAlign w:val="bottom"/>
            <w:gridSpan w:val="10"/>
          </w:tcPr>
          <w:p>
            <w:pPr>
              <w:jc w:val="center"/>
              <w:ind w:left="3190"/>
              <w:spacing w:after="0"/>
              <w:rPr>
                <w:sz w:val="20"/>
                <w:szCs w:val="20"/>
                <w:color w:val="auto"/>
              </w:rPr>
            </w:pPr>
            <w:r>
              <w:rPr>
                <w:rFonts w:ascii="Arial" w:cs="Arial" w:eastAsia="Arial" w:hAnsi="Arial"/>
                <w:sz w:val="18"/>
                <w:szCs w:val="18"/>
                <w:color w:val="auto"/>
                <w:w w:val="90"/>
              </w:rPr>
              <w:t>Date of Report (Date of earliest event reported): October 22, 2019</w:t>
            </w:r>
          </w:p>
        </w:tc>
        <w:tc>
          <w:tcPr>
            <w:tcW w:w="3260" w:type="dxa"/>
            <w:vAlign w:val="bottom"/>
          </w:tcPr>
          <w:p>
            <w:pPr>
              <w:spacing w:after="0"/>
              <w:rPr>
                <w:sz w:val="24"/>
                <w:szCs w:val="24"/>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5"/>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380" w:type="dxa"/>
            <w:vAlign w:val="bottom"/>
            <w:gridSpan w:val="9"/>
          </w:tcPr>
          <w:p>
            <w:pPr>
              <w:jc w:val="center"/>
              <w:ind w:right="5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000-53605</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gridSpan w:val="5"/>
          </w:tcPr>
          <w:p>
            <w:pPr>
              <w:jc w:val="center"/>
              <w:ind w:right="68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60" w:type="dxa"/>
            <w:vAlign w:val="bottom"/>
            <w:gridSpan w:val="10"/>
          </w:tcPr>
          <w:p>
            <w:pPr>
              <w:jc w:val="center"/>
              <w:ind w:right="62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7"/>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325"/>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22, 2019, we issued a press release announcing the details of our earnings conference call, to be held on Tuesday, November 5, 2019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October 22, 2019</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226060</wp:posOffset>
            </wp:positionV>
            <wp:extent cx="254698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69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260" w:right="160"/>
        <w:spacing w:after="0" w:line="272" w:lineRule="auto"/>
        <w:rPr>
          <w:sz w:val="20"/>
          <w:szCs w:val="20"/>
          <w:color w:val="auto"/>
        </w:rPr>
      </w:pPr>
      <w:r>
        <w:rPr>
          <w:rFonts w:ascii="Arial" w:cs="Arial" w:eastAsia="Arial" w:hAnsi="Arial"/>
          <w:sz w:val="32"/>
          <w:szCs w:val="32"/>
          <w:b w:val="1"/>
          <w:bCs w:val="1"/>
          <w:color w:val="auto"/>
        </w:rPr>
        <w:t>OptimizeRx Sets Third Quarter 2019 Conference Call for Tuesday, November 5, 2019 at 4:30 p.m. ET</w:t>
      </w:r>
    </w:p>
    <w:p>
      <w:pPr>
        <w:spacing w:after="0" w:line="391" w:lineRule="exact"/>
        <w:rPr>
          <w:sz w:val="20"/>
          <w:szCs w:val="20"/>
          <w:color w:val="auto"/>
        </w:rPr>
      </w:pPr>
    </w:p>
    <w:p>
      <w:pPr>
        <w:ind w:right="400"/>
        <w:spacing w:after="0" w:line="314" w:lineRule="auto"/>
        <w:rPr>
          <w:sz w:val="20"/>
          <w:szCs w:val="20"/>
          <w:color w:val="auto"/>
        </w:rPr>
      </w:pPr>
      <w:r>
        <w:rPr>
          <w:rFonts w:ascii="Arial" w:cs="Arial" w:eastAsia="Arial" w:hAnsi="Arial"/>
          <w:sz w:val="16"/>
          <w:szCs w:val="16"/>
          <w:b w:val="1"/>
          <w:bCs w:val="1"/>
          <w:color w:val="auto"/>
        </w:rPr>
        <w:t xml:space="preserve">ROCHESTER, Mich. – October 22, 2019 – </w:t>
      </w:r>
      <w:r>
        <w:rPr>
          <w:rFonts w:ascii="Arial" w:cs="Arial" w:eastAsia="Arial" w:hAnsi="Arial"/>
          <w:sz w:val="16"/>
          <w:szCs w:val="16"/>
          <w:color w:val="auto"/>
        </w:rPr>
        <w:t>OptimizeRx Corp. (NASDAQ: OPRX), a leading provider of digital health solutions for payers, medtech</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medical associations and the pharmaceutical industry, will hold a conference call on Tuesday, November 5, 2019 at 4:30 p.m. Eastern time to discuss results for the third quarter ended September 30, 2019. The financial results will be issued in a press release prior to the call.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November 5,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1-800-458-4121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7190528</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November 26, 2019, as well as available for replay via the Investors section of the OptimizeRx website at 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7190528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payers, medtech companies, medical associations and pharma companies to communicate with healthcare providers right within their workflow and also directly to patients.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2019-12-28T05:18:16Z</dcterms:created>
  <dcterms:modified xsi:type="dcterms:W3CDTF">2019-12-28T05:18:16Z</dcterms:modified>
</cp:coreProperties>
</file>