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(Amendment No. )*</w:t>
      </w:r>
    </w:p>
    <w:p>
      <w:pPr>
        <w:spacing w:after="0" w:line="3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68401U204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December 22,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600" w:hanging="296"/>
        <w:spacing w:after="0"/>
        <w:tabs>
          <w:tab w:leader="none" w:pos="1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Times New Roman" w:cs="Times New Roman" w:eastAsia="Times New Roman" w:hAnsi="Times New Roman"/>
          <w:sz w:val="18"/>
          <w:szCs w:val="18"/>
          <w:color w:val="auto"/>
        </w:rPr>
      </w:pPr>
    </w:p>
    <w:p>
      <w:pPr>
        <w:jc w:val="both"/>
        <w:ind w:left="1300" w:right="8600" w:firstLine="4"/>
        <w:spacing w:after="0" w:line="521" w:lineRule="auto"/>
        <w:tabs>
          <w:tab w:leader="none" w:pos="159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13d-1(c) [_] Rule 13d-1(d)</w:t>
      </w:r>
    </w:p>
    <w:p>
      <w:pPr>
        <w:spacing w:after="0"/>
        <w:rPr>
          <w:sz w:val="20"/>
          <w:szCs w:val="20"/>
          <w:color w:val="auto"/>
        </w:rPr>
      </w:pPr>
      <w:r>
        <w:rPr>
          <w:rFonts w:ascii="Courier New" w:cs="Courier New" w:eastAsia="Courier New" w:hAnsi="Courier New"/>
          <w:sz w:val="18"/>
          <w:szCs w:val="18"/>
          <w:color w:val="auto"/>
        </w:rPr>
        <w:t>__________</w:t>
      </w:r>
    </w:p>
    <w:p>
      <w:pPr>
        <w:spacing w:after="0" w:line="34"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4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68401U204</w:t>
            </w:r>
          </w:p>
        </w:tc>
      </w:tr>
    </w:tbl>
    <w:p>
      <w:pPr>
        <w:spacing w:after="0" w:line="200" w:lineRule="exact"/>
        <w:rPr>
          <w:sz w:val="20"/>
          <w:szCs w:val="20"/>
          <w:color w:val="auto"/>
        </w:rPr>
      </w:pPr>
    </w:p>
    <w:p>
      <w:pPr>
        <w:spacing w:after="0" w:line="214" w:lineRule="exact"/>
        <w:rPr>
          <w:sz w:val="20"/>
          <w:szCs w:val="20"/>
          <w:color w:val="auto"/>
        </w:rPr>
      </w:pPr>
    </w:p>
    <w:p>
      <w:pPr>
        <w:ind w:left="460" w:hanging="455"/>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460" w:right="442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Divisadero Street Capital Management, LP</w:t>
      </w:r>
    </w:p>
    <w:p>
      <w:pPr>
        <w:ind w:left="460" w:hanging="455"/>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460" w:hanging="455"/>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right="8140" w:hanging="455"/>
        <w:spacing w:after="0" w:line="500"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460" w:right="7860" w:hanging="455"/>
        <w:spacing w:after="0" w:line="500"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949,550</w:t>
      </w:r>
    </w:p>
    <w:p>
      <w:pPr>
        <w:spacing w:after="0" w:line="1" w:lineRule="exact"/>
        <w:rPr>
          <w:rFonts w:ascii="Times New Roman" w:cs="Times New Roman" w:eastAsia="Times New Roman" w:hAnsi="Times New Roman"/>
          <w:sz w:val="18"/>
          <w:szCs w:val="18"/>
          <w:color w:val="auto"/>
        </w:rPr>
      </w:pPr>
    </w:p>
    <w:p>
      <w:pPr>
        <w:ind w:left="460" w:right="7740" w:hanging="455"/>
        <w:spacing w:after="0" w:line="500"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460" w:right="7460" w:hanging="455"/>
        <w:spacing w:after="0" w:line="500"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949,550</w:t>
      </w:r>
    </w:p>
    <w:p>
      <w:pPr>
        <w:spacing w:after="0" w:line="1" w:lineRule="exact"/>
        <w:rPr>
          <w:rFonts w:ascii="Times New Roman" w:cs="Times New Roman" w:eastAsia="Times New Roman" w:hAnsi="Times New Roman"/>
          <w:sz w:val="18"/>
          <w:szCs w:val="18"/>
          <w:color w:val="auto"/>
        </w:rPr>
      </w:pPr>
    </w:p>
    <w:p>
      <w:pPr>
        <w:ind w:left="460" w:right="3440" w:hanging="455"/>
        <w:spacing w:after="0" w:line="500"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949,550</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460" w:right="4940" w:hanging="455"/>
        <w:spacing w:after="0" w:line="500"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5.2%</w:t>
      </w:r>
    </w:p>
    <w:p>
      <w:pPr>
        <w:spacing w:after="0" w:line="1" w:lineRule="exact"/>
        <w:rPr>
          <w:rFonts w:ascii="Times New Roman" w:cs="Times New Roman" w:eastAsia="Times New Roman" w:hAnsi="Times New Roman"/>
          <w:sz w:val="18"/>
          <w:szCs w:val="18"/>
          <w:color w:val="auto"/>
        </w:rPr>
      </w:pPr>
    </w:p>
    <w:p>
      <w:pPr>
        <w:ind w:left="460" w:right="5660" w:hanging="455"/>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131445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60"/>
          </w:cols>
          <w:pgMar w:left="420" w:top="688" w:right="10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4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68401U204</w:t>
            </w:r>
          </w:p>
        </w:tc>
      </w:tr>
    </w:tbl>
    <w:p>
      <w:pPr>
        <w:spacing w:after="0" w:line="200" w:lineRule="exact"/>
        <w:rPr>
          <w:sz w:val="20"/>
          <w:szCs w:val="20"/>
          <w:color w:val="auto"/>
        </w:rPr>
      </w:pPr>
    </w:p>
    <w:p>
      <w:pPr>
        <w:spacing w:after="0" w:line="214" w:lineRule="exact"/>
        <w:rPr>
          <w:sz w:val="20"/>
          <w:szCs w:val="20"/>
          <w:color w:val="auto"/>
        </w:rPr>
      </w:pPr>
    </w:p>
    <w:p>
      <w:pPr>
        <w:ind w:left="460" w:hanging="455"/>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460" w:right="442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William Zolezzi</w:t>
      </w:r>
    </w:p>
    <w:p>
      <w:pPr>
        <w:ind w:left="460" w:hanging="455"/>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460" w:hanging="455"/>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right="8140" w:hanging="455"/>
        <w:spacing w:after="0" w:line="500"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460" w:right="7860" w:hanging="455"/>
        <w:spacing w:after="0" w:line="500"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949,550</w:t>
      </w:r>
    </w:p>
    <w:p>
      <w:pPr>
        <w:spacing w:after="0" w:line="1" w:lineRule="exact"/>
        <w:rPr>
          <w:rFonts w:ascii="Times New Roman" w:cs="Times New Roman" w:eastAsia="Times New Roman" w:hAnsi="Times New Roman"/>
          <w:sz w:val="18"/>
          <w:szCs w:val="18"/>
          <w:color w:val="auto"/>
        </w:rPr>
      </w:pPr>
    </w:p>
    <w:p>
      <w:pPr>
        <w:ind w:left="460" w:right="7740" w:hanging="455"/>
        <w:spacing w:after="0" w:line="500"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460" w:right="7460" w:hanging="455"/>
        <w:spacing w:after="0" w:line="500"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949,550</w:t>
      </w:r>
    </w:p>
    <w:p>
      <w:pPr>
        <w:spacing w:after="0" w:line="1" w:lineRule="exact"/>
        <w:rPr>
          <w:rFonts w:ascii="Times New Roman" w:cs="Times New Roman" w:eastAsia="Times New Roman" w:hAnsi="Times New Roman"/>
          <w:sz w:val="18"/>
          <w:szCs w:val="18"/>
          <w:color w:val="auto"/>
        </w:rPr>
      </w:pPr>
    </w:p>
    <w:p>
      <w:pPr>
        <w:ind w:left="460" w:right="3440" w:hanging="455"/>
        <w:spacing w:after="0" w:line="500"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949,550</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460" w:right="4940" w:hanging="455"/>
        <w:spacing w:after="0" w:line="50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5.2%</w:t>
      </w:r>
    </w:p>
    <w:p>
      <w:pPr>
        <w:spacing w:after="0" w:line="1" w:lineRule="exact"/>
        <w:rPr>
          <w:rFonts w:ascii="Times New Roman" w:cs="Times New Roman" w:eastAsia="Times New Roman" w:hAnsi="Times New Roman"/>
          <w:sz w:val="18"/>
          <w:szCs w:val="18"/>
          <w:color w:val="auto"/>
        </w:rPr>
      </w:pPr>
    </w:p>
    <w:p>
      <w:pPr>
        <w:ind w:left="460" w:right="5660" w:hanging="455"/>
        <w:spacing w:after="0" w:line="53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543560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60"/>
          </w:cols>
          <w:pgMar w:left="420" w:top="688" w:right="10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4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68401U204</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5"/>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460" w:right="442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Divisadero Street Partners, L.P.</w:t>
      </w:r>
    </w:p>
    <w:p>
      <w:pPr>
        <w:ind w:left="460" w:hanging="455"/>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460" w:hanging="455"/>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right="8140" w:hanging="455"/>
        <w:spacing w:after="0" w:line="50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460" w:right="7860" w:hanging="455"/>
        <w:spacing w:after="0" w:line="50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949,550</w:t>
      </w:r>
    </w:p>
    <w:p>
      <w:pPr>
        <w:spacing w:after="0" w:line="1" w:lineRule="exact"/>
        <w:rPr>
          <w:rFonts w:ascii="Times New Roman" w:cs="Times New Roman" w:eastAsia="Times New Roman" w:hAnsi="Times New Roman"/>
          <w:sz w:val="18"/>
          <w:szCs w:val="18"/>
          <w:color w:val="auto"/>
        </w:rPr>
      </w:pPr>
    </w:p>
    <w:p>
      <w:pPr>
        <w:ind w:left="460" w:right="7740" w:hanging="455"/>
        <w:spacing w:after="0" w:line="50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460" w:right="7460" w:hanging="455"/>
        <w:spacing w:after="0" w:line="50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949,550</w:t>
      </w:r>
    </w:p>
    <w:p>
      <w:pPr>
        <w:spacing w:after="0" w:line="1" w:lineRule="exact"/>
        <w:rPr>
          <w:rFonts w:ascii="Times New Roman" w:cs="Times New Roman" w:eastAsia="Times New Roman" w:hAnsi="Times New Roman"/>
          <w:sz w:val="18"/>
          <w:szCs w:val="18"/>
          <w:color w:val="auto"/>
        </w:rPr>
      </w:pPr>
    </w:p>
    <w:p>
      <w:pPr>
        <w:ind w:left="460" w:right="3440" w:hanging="455"/>
        <w:spacing w:after="0" w:line="50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949,550</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460" w:right="4940" w:hanging="455"/>
        <w:spacing w:after="0" w:line="50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5.2%</w:t>
      </w:r>
    </w:p>
    <w:p>
      <w:pPr>
        <w:spacing w:after="0" w:line="1" w:lineRule="exact"/>
        <w:rPr>
          <w:rFonts w:ascii="Times New Roman" w:cs="Times New Roman" w:eastAsia="Times New Roman" w:hAnsi="Times New Roman"/>
          <w:sz w:val="18"/>
          <w:szCs w:val="18"/>
          <w:color w:val="auto"/>
        </w:rPr>
      </w:pPr>
    </w:p>
    <w:p>
      <w:pPr>
        <w:ind w:left="460" w:right="5660" w:hanging="455"/>
        <w:spacing w:after="0" w:line="532"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406400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60"/>
          </w:cols>
          <w:pgMar w:left="420" w:top="688" w:right="10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68401U204</w:t>
            </w:r>
          </w:p>
        </w:tc>
      </w:tr>
    </w:tbl>
    <w:p>
      <w:pPr>
        <w:spacing w:after="0" w:line="200" w:lineRule="exact"/>
        <w:rPr>
          <w:sz w:val="20"/>
          <w:szCs w:val="20"/>
          <w:color w:val="auto"/>
        </w:rPr>
      </w:pPr>
    </w:p>
    <w:p>
      <w:pPr>
        <w:spacing w:after="0" w:line="214" w:lineRule="exact"/>
        <w:rPr>
          <w:sz w:val="20"/>
          <w:szCs w:val="20"/>
          <w:color w:val="auto"/>
        </w:rPr>
      </w:pPr>
    </w:p>
    <w:p>
      <w:pPr>
        <w:ind w:left="900" w:hanging="89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16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Divisadero Street Partners GP, LLC</w:t>
      </w:r>
    </w:p>
    <w:p>
      <w:pPr>
        <w:ind w:left="900" w:hanging="89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900" w:hanging="89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00" w:right="7900" w:hanging="895"/>
        <w:spacing w:after="0" w:line="500"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7620" w:hanging="895"/>
        <w:spacing w:after="0" w:line="500"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949,550</w:t>
      </w:r>
    </w:p>
    <w:p>
      <w:pPr>
        <w:spacing w:after="0" w:line="1" w:lineRule="exact"/>
        <w:rPr>
          <w:rFonts w:ascii="Times New Roman" w:cs="Times New Roman" w:eastAsia="Times New Roman" w:hAnsi="Times New Roman"/>
          <w:sz w:val="18"/>
          <w:szCs w:val="18"/>
          <w:color w:val="auto"/>
        </w:rPr>
      </w:pPr>
    </w:p>
    <w:p>
      <w:pPr>
        <w:ind w:left="900" w:right="7500" w:hanging="895"/>
        <w:spacing w:after="0" w:line="500"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220" w:hanging="895"/>
        <w:spacing w:after="0" w:line="500"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949,550</w:t>
      </w:r>
    </w:p>
    <w:p>
      <w:pPr>
        <w:spacing w:after="0" w:line="1" w:lineRule="exact"/>
        <w:rPr>
          <w:rFonts w:ascii="Times New Roman" w:cs="Times New Roman" w:eastAsia="Times New Roman" w:hAnsi="Times New Roman"/>
          <w:sz w:val="18"/>
          <w:szCs w:val="18"/>
          <w:color w:val="auto"/>
        </w:rPr>
      </w:pPr>
    </w:p>
    <w:p>
      <w:pPr>
        <w:ind w:left="900" w:right="3200" w:hanging="895"/>
        <w:spacing w:after="0" w:line="500"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949,550</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[_]</w:t>
      </w:r>
    </w:p>
    <w:p>
      <w:pPr>
        <w:spacing w:after="0" w:line="200" w:lineRule="exact"/>
        <w:rPr>
          <w:sz w:val="20"/>
          <w:szCs w:val="20"/>
          <w:color w:val="auto"/>
        </w:rPr>
      </w:pPr>
    </w:p>
    <w:p>
      <w:pPr>
        <w:spacing w:after="0" w:line="223" w:lineRule="exact"/>
        <w:rPr>
          <w:sz w:val="20"/>
          <w:szCs w:val="20"/>
          <w:color w:val="auto"/>
        </w:rPr>
      </w:pPr>
    </w:p>
    <w:p>
      <w:pPr>
        <w:ind w:left="900" w:right="4700" w:hanging="895"/>
        <w:spacing w:after="0" w:line="500"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5.2%</w:t>
      </w:r>
    </w:p>
    <w:p>
      <w:pPr>
        <w:spacing w:after="0" w:line="1" w:lineRule="exact"/>
        <w:rPr>
          <w:rFonts w:ascii="Times New Roman" w:cs="Times New Roman" w:eastAsia="Times New Roman" w:hAnsi="Times New Roman"/>
          <w:sz w:val="18"/>
          <w:szCs w:val="18"/>
          <w:color w:val="auto"/>
        </w:rPr>
      </w:pPr>
    </w:p>
    <w:p>
      <w:pPr>
        <w:ind w:left="900" w:right="5420" w:hanging="89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268605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60"/>
          </w:cols>
          <w:pgMar w:left="420" w:top="688" w:right="8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620" w:type="dxa"/>
            <w:vAlign w:val="bottom"/>
          </w:tcPr>
          <w:p>
            <w:pPr>
              <w:spacing w:after="0"/>
              <w:rPr>
                <w:sz w:val="20"/>
                <w:szCs w:val="20"/>
                <w:color w:val="auto"/>
              </w:rPr>
            </w:pPr>
          </w:p>
        </w:tc>
        <w:tc>
          <w:tcPr>
            <w:tcW w:w="2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68401U204</w:t>
            </w:r>
          </w:p>
        </w:tc>
        <w:tc>
          <w:tcPr>
            <w:tcW w:w="60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26"/>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Issuer:</w:t>
            </w:r>
          </w:p>
        </w:tc>
        <w:tc>
          <w:tcPr>
            <w:tcW w:w="112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5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OptimizeRx Corporation</w:t>
            </w:r>
          </w:p>
        </w:tc>
        <w:tc>
          <w:tcPr>
            <w:tcW w:w="1120" w:type="dxa"/>
            <w:vAlign w:val="bottom"/>
          </w:tcPr>
          <w:p>
            <w:pPr>
              <w:spacing w:after="0"/>
              <w:rPr>
                <w:sz w:val="24"/>
                <w:szCs w:val="24"/>
                <w:color w:val="auto"/>
              </w:rPr>
            </w:pPr>
          </w:p>
        </w:tc>
      </w:tr>
      <w:tr>
        <w:trPr>
          <w:trHeight w:val="426"/>
        </w:trPr>
        <w:tc>
          <w:tcPr>
            <w:tcW w:w="96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1120" w:type="dxa"/>
            <w:vAlign w:val="bottom"/>
          </w:tcPr>
          <w:p>
            <w:pPr>
              <w:spacing w:after="0"/>
              <w:rPr>
                <w:sz w:val="24"/>
                <w:szCs w:val="24"/>
                <w:color w:val="auto"/>
              </w:rPr>
            </w:pPr>
          </w:p>
        </w:tc>
      </w:tr>
      <w:tr>
        <w:trPr>
          <w:trHeight w:val="414"/>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260 Charles Street, Suite 302</w:t>
            </w:r>
          </w:p>
        </w:tc>
        <w:tc>
          <w:tcPr>
            <w:tcW w:w="1120" w:type="dxa"/>
            <w:vAlign w:val="bottom"/>
          </w:tcPr>
          <w:p>
            <w:pPr>
              <w:spacing w:after="0"/>
              <w:rPr>
                <w:sz w:val="24"/>
                <w:szCs w:val="24"/>
                <w:color w:val="auto"/>
              </w:rPr>
            </w:pPr>
          </w:p>
        </w:tc>
      </w:tr>
      <w:tr>
        <w:trPr>
          <w:trHeight w:val="234"/>
        </w:trPr>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Waltham, MA 02453</w:t>
            </w:r>
          </w:p>
        </w:tc>
        <w:tc>
          <w:tcPr>
            <w:tcW w:w="1120" w:type="dxa"/>
            <w:vAlign w:val="bottom"/>
          </w:tcPr>
          <w:p>
            <w:pPr>
              <w:spacing w:after="0"/>
              <w:rPr>
                <w:sz w:val="20"/>
                <w:szCs w:val="20"/>
                <w:color w:val="auto"/>
              </w:rPr>
            </w:pPr>
          </w:p>
        </w:tc>
      </w:tr>
      <w:tr>
        <w:trPr>
          <w:trHeight w:val="426"/>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person filing:</w:t>
            </w:r>
          </w:p>
        </w:tc>
        <w:tc>
          <w:tcPr>
            <w:tcW w:w="1120" w:type="dxa"/>
            <w:vAlign w:val="bottom"/>
          </w:tcPr>
          <w:p>
            <w:pPr>
              <w:spacing w:after="0"/>
              <w:rPr>
                <w:sz w:val="24"/>
                <w:szCs w:val="24"/>
                <w:color w:val="auto"/>
              </w:rPr>
            </w:pPr>
          </w:p>
        </w:tc>
      </w:tr>
      <w:tr>
        <w:trPr>
          <w:trHeight w:val="414"/>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Divisadero Street Capital Management, LP</w:t>
            </w:r>
          </w:p>
        </w:tc>
        <w:tc>
          <w:tcPr>
            <w:tcW w:w="112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Divisadero Street Partners, L.P.</w:t>
            </w:r>
          </w:p>
        </w:tc>
        <w:tc>
          <w:tcPr>
            <w:tcW w:w="1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Divisadero Street Partners GP, LLC</w:t>
            </w:r>
          </w:p>
        </w:tc>
        <w:tc>
          <w:tcPr>
            <w:tcW w:w="112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William Zolezzi</w:t>
            </w:r>
          </w:p>
        </w:tc>
        <w:tc>
          <w:tcPr>
            <w:tcW w:w="1120" w:type="dxa"/>
            <w:vAlign w:val="bottom"/>
          </w:tcPr>
          <w:p>
            <w:pPr>
              <w:spacing w:after="0"/>
              <w:rPr>
                <w:sz w:val="20"/>
                <w:szCs w:val="20"/>
                <w:color w:val="auto"/>
              </w:rPr>
            </w:pPr>
          </w:p>
        </w:tc>
      </w:tr>
      <w:tr>
        <w:trPr>
          <w:trHeight w:val="414"/>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Divisadero Street Capital Management, LP is the investment adviser to private investment funds, including</w:t>
            </w:r>
          </w:p>
        </w:tc>
        <w:tc>
          <w:tcPr>
            <w:tcW w:w="112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Divisadero Street Partners, L.P., and Divisadero Street Partners GP, LLC is the general partner of Divisadero Street</w:t>
            </w:r>
          </w:p>
        </w:tc>
        <w:tc>
          <w:tcPr>
            <w:tcW w:w="1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Partners, L.P. William Zolezzi is the control person of Divisadero Street Capital Management, LP and Divisadero</w:t>
            </w:r>
          </w:p>
        </w:tc>
        <w:tc>
          <w:tcPr>
            <w:tcW w:w="1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Street Partners GP, LLC. Divisadero Street Capital Management, LP, Divisadero Street Partners, L.P., Divisadero</w:t>
            </w:r>
          </w:p>
        </w:tc>
        <w:tc>
          <w:tcPr>
            <w:tcW w:w="1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Street Partners GP, LLC, and William Zolezzi (collectively, the “Filers”) are filing this statement jointly, but not as</w:t>
            </w:r>
          </w:p>
        </w:tc>
        <w:tc>
          <w:tcPr>
            <w:tcW w:w="1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members of a group. Each Filer expressly disclaims membership in a group. Each Filer also disclaims beneficial</w:t>
            </w:r>
          </w:p>
        </w:tc>
        <w:tc>
          <w:tcPr>
            <w:tcW w:w="1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ownership of the Common Stock, par value $0.001 of OptimizeRx Corporation except to the extent of that Filer’s</w:t>
            </w:r>
          </w:p>
        </w:tc>
        <w:tc>
          <w:tcPr>
            <w:tcW w:w="1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pecuniary interest therein. The filing of this Schedule 13G on behalf of Divisadero Street Partners, L.P. should not</w:t>
            </w:r>
          </w:p>
        </w:tc>
        <w:tc>
          <w:tcPr>
            <w:tcW w:w="1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 construed as an admission that it is, and it disclaims that it is, a beneficial owner, as defined in Rule 13d-3 under</w:t>
            </w:r>
          </w:p>
        </w:tc>
        <w:tc>
          <w:tcPr>
            <w:tcW w:w="112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Act, of any of the Common Stock, par value $0.001 of OptimizeRx Corporation covered by this Schedule 13G.</w:t>
            </w:r>
          </w:p>
        </w:tc>
        <w:tc>
          <w:tcPr>
            <w:tcW w:w="1120" w:type="dxa"/>
            <w:vAlign w:val="bottom"/>
          </w:tcPr>
          <w:p>
            <w:pPr>
              <w:spacing w:after="0"/>
              <w:rPr>
                <w:sz w:val="20"/>
                <w:szCs w:val="20"/>
                <w:color w:val="auto"/>
              </w:rPr>
            </w:pPr>
          </w:p>
        </w:tc>
      </w:tr>
      <w:tr>
        <w:trPr>
          <w:trHeight w:val="426"/>
        </w:trPr>
        <w:tc>
          <w:tcPr>
            <w:tcW w:w="96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Address or principal business office or, if none, residence:</w:t>
            </w:r>
          </w:p>
        </w:tc>
        <w:tc>
          <w:tcPr>
            <w:tcW w:w="1120" w:type="dxa"/>
            <w:vAlign w:val="bottom"/>
          </w:tcPr>
          <w:p>
            <w:pPr>
              <w:spacing w:after="0"/>
              <w:rPr>
                <w:sz w:val="24"/>
                <w:szCs w:val="24"/>
                <w:color w:val="auto"/>
              </w:rPr>
            </w:pPr>
          </w:p>
        </w:tc>
      </w:tr>
      <w:tr>
        <w:trPr>
          <w:trHeight w:val="414"/>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Divisadero Street Capital Management, LP</w:t>
            </w:r>
          </w:p>
        </w:tc>
        <w:tc>
          <w:tcPr>
            <w:tcW w:w="112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3480 Main Highway, Suite 204</w:t>
            </w:r>
          </w:p>
        </w:tc>
        <w:tc>
          <w:tcPr>
            <w:tcW w:w="112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Miami, FL 33133</w:t>
            </w:r>
          </w:p>
        </w:tc>
        <w:tc>
          <w:tcPr>
            <w:tcW w:w="1120" w:type="dxa"/>
            <w:vAlign w:val="bottom"/>
          </w:tcPr>
          <w:p>
            <w:pPr>
              <w:spacing w:after="0"/>
              <w:rPr>
                <w:sz w:val="20"/>
                <w:szCs w:val="20"/>
                <w:color w:val="auto"/>
              </w:rPr>
            </w:pPr>
          </w:p>
        </w:tc>
      </w:tr>
      <w:tr>
        <w:trPr>
          <w:trHeight w:val="414"/>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Divisadero Street Partners, L.P.</w:t>
            </w:r>
          </w:p>
        </w:tc>
        <w:tc>
          <w:tcPr>
            <w:tcW w:w="112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3480 Main Highway, Suite 204</w:t>
            </w:r>
          </w:p>
        </w:tc>
        <w:tc>
          <w:tcPr>
            <w:tcW w:w="112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Miami, FL 33133</w:t>
            </w:r>
          </w:p>
        </w:tc>
        <w:tc>
          <w:tcPr>
            <w:tcW w:w="1120" w:type="dxa"/>
            <w:vAlign w:val="bottom"/>
          </w:tcPr>
          <w:p>
            <w:pPr>
              <w:spacing w:after="0"/>
              <w:rPr>
                <w:sz w:val="20"/>
                <w:szCs w:val="20"/>
                <w:color w:val="auto"/>
              </w:rPr>
            </w:pPr>
          </w:p>
        </w:tc>
      </w:tr>
      <w:tr>
        <w:trPr>
          <w:trHeight w:val="414"/>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Divisadero Street Partners GP, LLC</w:t>
            </w:r>
          </w:p>
        </w:tc>
        <w:tc>
          <w:tcPr>
            <w:tcW w:w="112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3480 Main Highway, Suite 204</w:t>
            </w:r>
          </w:p>
        </w:tc>
        <w:tc>
          <w:tcPr>
            <w:tcW w:w="112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Miami, FL 33133</w:t>
            </w:r>
          </w:p>
        </w:tc>
        <w:tc>
          <w:tcPr>
            <w:tcW w:w="1120" w:type="dxa"/>
            <w:vAlign w:val="bottom"/>
          </w:tcPr>
          <w:p>
            <w:pPr>
              <w:spacing w:after="0"/>
              <w:rPr>
                <w:sz w:val="20"/>
                <w:szCs w:val="20"/>
                <w:color w:val="auto"/>
              </w:rPr>
            </w:pPr>
          </w:p>
        </w:tc>
      </w:tr>
      <w:tr>
        <w:trPr>
          <w:trHeight w:val="414"/>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William Zolezzi</w:t>
            </w:r>
          </w:p>
        </w:tc>
        <w:tc>
          <w:tcPr>
            <w:tcW w:w="112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 Divisadero Street Capital Management, LP</w:t>
            </w:r>
          </w:p>
        </w:tc>
        <w:tc>
          <w:tcPr>
            <w:tcW w:w="1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3480 Main Highway, Suite 204</w:t>
            </w:r>
          </w:p>
        </w:tc>
        <w:tc>
          <w:tcPr>
            <w:tcW w:w="112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Miami, FL 33133</w:t>
            </w:r>
          </w:p>
        </w:tc>
        <w:tc>
          <w:tcPr>
            <w:tcW w:w="1120" w:type="dxa"/>
            <w:vAlign w:val="bottom"/>
          </w:tcPr>
          <w:p>
            <w:pPr>
              <w:spacing w:after="0"/>
              <w:rPr>
                <w:sz w:val="20"/>
                <w:szCs w:val="20"/>
                <w:color w:val="auto"/>
              </w:rPr>
            </w:pPr>
          </w:p>
        </w:tc>
      </w:tr>
      <w:tr>
        <w:trPr>
          <w:trHeight w:val="426"/>
        </w:trPr>
        <w:tc>
          <w:tcPr>
            <w:tcW w:w="96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Citizenship:</w:t>
            </w:r>
          </w:p>
        </w:tc>
        <w:tc>
          <w:tcPr>
            <w:tcW w:w="1120" w:type="dxa"/>
            <w:vAlign w:val="bottom"/>
          </w:tcPr>
          <w:p>
            <w:pPr>
              <w:spacing w:after="0"/>
              <w:rPr>
                <w:sz w:val="24"/>
                <w:szCs w:val="24"/>
                <w:color w:val="auto"/>
              </w:rPr>
            </w:pPr>
          </w:p>
        </w:tc>
      </w:tr>
      <w:tr>
        <w:trPr>
          <w:trHeight w:val="414"/>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Divisadero Street Capital Management, LP – Delaware</w:t>
            </w:r>
          </w:p>
        </w:tc>
        <w:tc>
          <w:tcPr>
            <w:tcW w:w="112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Divisadero Street Partners, L.P. – Delaware</w:t>
            </w:r>
          </w:p>
        </w:tc>
        <w:tc>
          <w:tcPr>
            <w:tcW w:w="11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Divisadero Street Partners GP, LLC – Delaware</w:t>
            </w:r>
          </w:p>
        </w:tc>
        <w:tc>
          <w:tcPr>
            <w:tcW w:w="112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William Zolezzi – United States of America</w:t>
            </w:r>
          </w:p>
        </w:tc>
        <w:tc>
          <w:tcPr>
            <w:tcW w:w="1120" w:type="dxa"/>
            <w:vAlign w:val="bottom"/>
          </w:tcPr>
          <w:p>
            <w:pPr>
              <w:spacing w:after="0"/>
              <w:rPr>
                <w:sz w:val="20"/>
                <w:szCs w:val="20"/>
                <w:color w:val="auto"/>
              </w:rPr>
            </w:pPr>
          </w:p>
        </w:tc>
      </w:tr>
      <w:tr>
        <w:trPr>
          <w:trHeight w:val="432"/>
        </w:trPr>
        <w:tc>
          <w:tcPr>
            <w:tcW w:w="96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w:t>
            </w: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Title of class of securities:</w:t>
            </w:r>
          </w:p>
        </w:tc>
        <w:tc>
          <w:tcPr>
            <w:tcW w:w="112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5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Common Stock, par value $0.001</w:t>
            </w:r>
          </w:p>
        </w:tc>
        <w:tc>
          <w:tcPr>
            <w:tcW w:w="1120" w:type="dxa"/>
            <w:vAlign w:val="bottom"/>
          </w:tcPr>
          <w:p>
            <w:pPr>
              <w:spacing w:after="0"/>
              <w:rPr>
                <w:sz w:val="24"/>
                <w:szCs w:val="24"/>
                <w:color w:val="auto"/>
              </w:rPr>
            </w:pPr>
          </w:p>
        </w:tc>
      </w:tr>
      <w:tr>
        <w:trPr>
          <w:trHeight w:val="425"/>
        </w:trPr>
        <w:tc>
          <w:tcPr>
            <w:tcW w:w="96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w:t>
            </w:r>
          </w:p>
        </w:tc>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112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5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68401U204</w:t>
            </w:r>
          </w:p>
        </w:tc>
        <w:tc>
          <w:tcPr>
            <w:tcW w:w="1120" w:type="dxa"/>
            <w:vAlign w:val="bottom"/>
          </w:tcPr>
          <w:p>
            <w:pPr>
              <w:spacing w:after="0"/>
              <w:rPr>
                <w:sz w:val="24"/>
                <w:szCs w:val="24"/>
                <w:color w:val="auto"/>
              </w:rPr>
            </w:pPr>
          </w:p>
        </w:tc>
      </w:tr>
      <w:tr>
        <w:trPr>
          <w:trHeight w:val="669"/>
        </w:trPr>
        <w:tc>
          <w:tcPr>
            <w:tcW w:w="9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line="116"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color w:val="auto"/>
        </w:rPr>
        <w:t>If This Statement is filed pursuant to §§.240.13d-1(b) or 240.13d-2(b), or (c), check whether the person filing is a</w:t>
      </w:r>
    </w:p>
    <w:p>
      <w:pPr>
        <w:spacing w:after="0" w:line="225" w:lineRule="exact"/>
        <w:rPr>
          <w:sz w:val="20"/>
          <w:szCs w:val="20"/>
          <w:color w:val="auto"/>
        </w:rPr>
      </w:pPr>
    </w:p>
    <w:p>
      <w:pPr>
        <w:ind w:left="1580" w:hanging="670"/>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7"/>
          <w:szCs w:val="17"/>
          <w:color w:val="auto"/>
        </w:rPr>
        <w:t>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7"/>
          <w:szCs w:val="17"/>
          <w:color w:val="auto"/>
        </w:rPr>
        <w:t>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 savings association as defined in Section 3(b) of the Federal Deposit Insurance Act (12 U.S.C.1813);</w:t>
      </w:r>
    </w:p>
    <w:p>
      <w:pPr>
        <w:spacing w:after="0" w:line="225" w:lineRule="exact"/>
        <w:rPr>
          <w:rFonts w:ascii="Times New Roman" w:cs="Times New Roman" w:eastAsia="Times New Roman" w:hAnsi="Times New Roman"/>
          <w:sz w:val="18"/>
          <w:szCs w:val="18"/>
          <w:color w:val="auto"/>
        </w:rPr>
      </w:pPr>
    </w:p>
    <w:p>
      <w:pPr>
        <w:ind w:left="2160" w:right="360" w:hanging="1250"/>
        <w:spacing w:after="0" w:line="282" w:lineRule="auto"/>
        <w:tabs>
          <w:tab w:leader="none" w:pos="15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 church plan that is excluded from the definition of an investment company under section 3(c)(14) of the Investment Company Act of 1940 (15 U.S.C. 80a-3);</w:t>
      </w:r>
    </w:p>
    <w:p>
      <w:pPr>
        <w:spacing w:after="0" w:line="161"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 non-U.S. institution in accordance with §240.13d-1(b)(1)(ii)(J);</w:t>
      </w:r>
    </w:p>
    <w:p>
      <w:pPr>
        <w:spacing w:after="0" w:line="225" w:lineRule="exact"/>
        <w:rPr>
          <w:rFonts w:ascii="Times New Roman" w:cs="Times New Roman" w:eastAsia="Times New Roman" w:hAnsi="Times New Roman"/>
          <w:sz w:val="18"/>
          <w:szCs w:val="18"/>
          <w:color w:val="auto"/>
        </w:rPr>
      </w:pPr>
    </w:p>
    <w:p>
      <w:pPr>
        <w:ind w:left="2160" w:hanging="1250"/>
        <w:spacing w:after="0" w:line="282" w:lineRule="auto"/>
        <w:tabs>
          <w:tab w:leader="none" w:pos="15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[_]Group, in accordance with §240.13d-1(b)(1)(ii)(K). If filing as a non-U.S. institution in accordance with §240.13d-1(b)(1) (ii)(J), please specify the type of institution:</w:t>
      </w:r>
    </w:p>
    <w:p>
      <w:pPr>
        <w:spacing w:after="0" w:line="37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25" w:lineRule="exact"/>
        <w:rPr>
          <w:sz w:val="20"/>
          <w:szCs w:val="20"/>
          <w:color w:val="auto"/>
        </w:rPr>
      </w:pPr>
    </w:p>
    <w:p>
      <w:pPr>
        <w:ind w:left="1020" w:right="60"/>
        <w:spacing w:after="0" w:line="282" w:lineRule="auto"/>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62" w:lineRule="exact"/>
        <w:rPr>
          <w:sz w:val="20"/>
          <w:szCs w:val="20"/>
          <w:color w:val="auto"/>
        </w:rPr>
      </w:pPr>
    </w:p>
    <w:p>
      <w:pPr>
        <w:ind w:left="1580" w:hanging="562"/>
        <w:spacing w:after="0"/>
        <w:tabs>
          <w:tab w:leader="none" w:pos="1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580" w:right="55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Divisadero Street Capital Management, LP – 949,550 Divisadero Street Partners, L.P. – 949,550 Divisadero Street Partners GP, LLC – 949,550 William Zolezzi – 949,550</w:t>
      </w:r>
    </w:p>
    <w:p>
      <w:pPr>
        <w:spacing w:after="0" w:line="193" w:lineRule="exact"/>
        <w:rPr>
          <w:rFonts w:ascii="Times New Roman" w:cs="Times New Roman" w:eastAsia="Times New Roman" w:hAnsi="Times New Roman"/>
          <w:sz w:val="18"/>
          <w:szCs w:val="18"/>
          <w:color w:val="auto"/>
        </w:rPr>
      </w:pPr>
    </w:p>
    <w:p>
      <w:pPr>
        <w:ind w:left="1580" w:hanging="562"/>
        <w:spacing w:after="0"/>
        <w:tabs>
          <w:tab w:leader="none" w:pos="1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580" w:right="57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Divisadero Street Capital Management, LP – 5.2% Divisadero Street Partners, L.P. – 5.2% Divisadero Street Partners GP, LLC – 5.2% William Zolezzi – 5.2%</w:t>
      </w:r>
    </w:p>
    <w:p>
      <w:pPr>
        <w:spacing w:after="0" w:line="193" w:lineRule="exact"/>
        <w:rPr>
          <w:rFonts w:ascii="Times New Roman" w:cs="Times New Roman" w:eastAsia="Times New Roman" w:hAnsi="Times New Roman"/>
          <w:sz w:val="18"/>
          <w:szCs w:val="18"/>
          <w:color w:val="auto"/>
        </w:rPr>
      </w:pPr>
    </w:p>
    <w:p>
      <w:pPr>
        <w:ind w:left="1580" w:hanging="562"/>
        <w:spacing w:after="0"/>
        <w:tabs>
          <w:tab w:leader="none" w:pos="1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160" w:right="5480" w:hanging="575"/>
        <w:spacing w:after="0" w:line="258" w:lineRule="auto"/>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Divisadero Street Capital Management, LP – 0 Divisadero Street Partners, L.P. – 0 Divisadero Street Partners GP, LLC – 0 William Zolezzi – 0</w:t>
      </w:r>
    </w:p>
    <w:p>
      <w:pPr>
        <w:spacing w:after="0" w:line="183" w:lineRule="exact"/>
        <w:rPr>
          <w:rFonts w:ascii="Times New Roman" w:cs="Times New Roman" w:eastAsia="Times New Roman" w:hAnsi="Times New Roman"/>
          <w:sz w:val="18"/>
          <w:szCs w:val="18"/>
          <w:color w:val="auto"/>
        </w:rPr>
      </w:pPr>
    </w:p>
    <w:p>
      <w:pPr>
        <w:ind w:left="2160" w:hanging="575"/>
        <w:spacing w:after="0"/>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2160" w:right="4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Divisadero Street Capital Management, LP – 949,550 Divisadero Street Partners, L.P. – 949,550 Divisadero Street Partners GP, LLC – 949,550 William Zolezzi – 949,550</w:t>
      </w:r>
    </w:p>
    <w:p>
      <w:pPr>
        <w:spacing w:after="0" w:line="179" w:lineRule="exact"/>
        <w:rPr>
          <w:rFonts w:ascii="Times New Roman" w:cs="Times New Roman" w:eastAsia="Times New Roman" w:hAnsi="Times New Roman"/>
          <w:sz w:val="18"/>
          <w:szCs w:val="18"/>
          <w:color w:val="auto"/>
        </w:rPr>
      </w:pPr>
    </w:p>
    <w:p>
      <w:pPr>
        <w:ind w:left="2160" w:hanging="575"/>
        <w:spacing w:after="0"/>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5" w:lineRule="exact"/>
        <w:rPr>
          <w:rFonts w:ascii="Times New Roman" w:cs="Times New Roman" w:eastAsia="Times New Roman" w:hAnsi="Times New Roman"/>
          <w:sz w:val="18"/>
          <w:szCs w:val="18"/>
          <w:color w:val="auto"/>
        </w:rPr>
      </w:pPr>
    </w:p>
    <w:p>
      <w:pPr>
        <w:ind w:left="2160" w:right="54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Divisadero Street Capital Management, LP – 0 Divisadero Street Partners, L.P. – 0 Divisadero Street Partners GP, LLC – 0 William Zolezzi – 0</w:t>
      </w:r>
    </w:p>
    <w:p>
      <w:pPr>
        <w:spacing w:after="0" w:line="179" w:lineRule="exact"/>
        <w:rPr>
          <w:rFonts w:ascii="Times New Roman" w:cs="Times New Roman" w:eastAsia="Times New Roman" w:hAnsi="Times New Roman"/>
          <w:sz w:val="18"/>
          <w:szCs w:val="18"/>
          <w:color w:val="auto"/>
        </w:rPr>
      </w:pPr>
    </w:p>
    <w:p>
      <w:pPr>
        <w:ind w:left="2160" w:hanging="575"/>
        <w:spacing w:after="0"/>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rFonts w:ascii="Times New Roman" w:cs="Times New Roman" w:eastAsia="Times New Roman" w:hAnsi="Times New Roman"/>
          <w:sz w:val="18"/>
          <w:szCs w:val="18"/>
          <w:color w:val="auto"/>
        </w:rPr>
      </w:pPr>
    </w:p>
    <w:p>
      <w:pPr>
        <w:ind w:left="2160" w:right="4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Divisadero Street Capital Management, LP – 949,550 Divisadero Street Partners, L.P. – 949,550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-4839970</wp:posOffset>
            </wp:positionV>
            <wp:extent cx="61290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-3871595</wp:posOffset>
            </wp:positionV>
            <wp:extent cx="61290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ectPr>
          <w:pgSz w:w="11900" w:h="16954" w:orient="portrait"/>
          <w:cols w:equalWidth="0" w:num="1">
            <w:col w:w="11000"/>
          </w:cols>
          <w:pgMar w:left="420" w:top="904" w:right="479" w:bottom="0" w:gutter="0" w:footer="0" w:header="0"/>
        </w:sectPr>
      </w:pPr>
    </w:p>
    <w:bookmarkStart w:id="7" w:name="page8"/>
    <w:bookmarkEnd w:id="7"/>
    <w:p>
      <w:pPr>
        <w:ind w:left="1140"/>
        <w:spacing w:after="0"/>
        <w:rPr>
          <w:sz w:val="20"/>
          <w:szCs w:val="20"/>
          <w:color w:val="auto"/>
        </w:rPr>
      </w:pPr>
      <w:r>
        <w:rPr>
          <w:rFonts w:ascii="Times New Roman" w:cs="Times New Roman" w:eastAsia="Times New Roman" w:hAnsi="Times New Roman"/>
          <w:sz w:val="17"/>
          <w:szCs w:val="17"/>
          <w:color w:val="auto"/>
        </w:rPr>
        <w:t>Divisadero Street Partners GP, LLC – 949,550</w:t>
      </w:r>
    </w:p>
    <w:p>
      <w:pPr>
        <w:spacing w:after="0" w:line="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William Zolezzi – 949,550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297180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ind w:left="1120"/>
        <w:spacing w:after="0"/>
        <w:rPr>
          <w:sz w:val="20"/>
          <w:szCs w:val="20"/>
          <w:color w:val="auto"/>
        </w:rPr>
      </w:pPr>
      <w:r>
        <w:rPr>
          <w:rFonts w:ascii="Times New Roman" w:cs="Times New Roman" w:eastAsia="Times New Roman" w:hAnsi="Times New Roman"/>
          <w:sz w:val="18"/>
          <w:szCs w:val="18"/>
          <w:color w:val="auto"/>
        </w:rPr>
        <w:t>Instruction: For computations regarding securities which represent a right to acquire an underlying security see §240.13d-3(d)(1).</w:t>
      </w:r>
    </w:p>
    <w:p>
      <w:pPr>
        <w:spacing w:after="0" w:line="225" w:lineRule="exact"/>
        <w:rPr>
          <w:sz w:val="20"/>
          <w:szCs w:val="20"/>
          <w:color w:val="auto"/>
        </w:rPr>
      </w:pPr>
    </w:p>
    <w:p>
      <w:pPr>
        <w:ind w:left="100"/>
        <w:spacing w:after="0"/>
        <w:tabs>
          <w:tab w:leader="none" w:pos="11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ind w:left="1120" w:right="38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64890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19" w:lineRule="exact"/>
        <w:rPr>
          <w:sz w:val="20"/>
          <w:szCs w:val="20"/>
          <w:color w:val="auto"/>
        </w:rPr>
      </w:pPr>
    </w:p>
    <w:p>
      <w:pPr>
        <w:ind w:left="100"/>
        <w:spacing w:after="0"/>
        <w:tabs>
          <w:tab w:leader="none" w:pos="11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left="1120" w:right="60"/>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1120" w:right="360"/>
        <w:spacing w:after="0" w:line="282" w:lineRule="auto"/>
        <w:rPr>
          <w:sz w:val="20"/>
          <w:szCs w:val="20"/>
          <w:color w:val="auto"/>
        </w:rPr>
      </w:pPr>
      <w:r>
        <w:rPr>
          <w:rFonts w:ascii="Times New Roman" w:cs="Times New Roman" w:eastAsia="Times New Roman" w:hAnsi="Times New Roman"/>
          <w:sz w:val="18"/>
          <w:szCs w:val="18"/>
          <w:color w:val="auto"/>
        </w:rPr>
        <w:t>All securities reported in this Schedule 13G are owned by advisory clients of Divisadero Street Capital Management, LP. None of the advisory clients individually own more than 5% of the outstanding Common Stock, par value $0.001 of OptimizeRx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-22225</wp:posOffset>
            </wp:positionV>
            <wp:extent cx="6489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55" w:lineRule="exact"/>
        <w:rPr>
          <w:sz w:val="20"/>
          <w:szCs w:val="20"/>
          <w:color w:val="auto"/>
        </w:rPr>
      </w:pPr>
    </w:p>
    <w:p>
      <w:pPr>
        <w:ind w:left="1120" w:right="300" w:hanging="1012"/>
        <w:spacing w:after="0" w:line="282" w:lineRule="auto"/>
        <w:tabs>
          <w:tab w:leader="none" w:pos="11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jc w:val="both"/>
        <w:ind w:left="1120" w:right="60"/>
        <w:spacing w:after="0" w:line="266" w:lineRule="auto"/>
        <w:rPr>
          <w:sz w:val="20"/>
          <w:szCs w:val="20"/>
          <w:color w:val="auto"/>
        </w:rPr>
      </w:pPr>
      <w:r>
        <w:rPr>
          <w:rFonts w:ascii="Times New Roman" w:cs="Times New Roman" w:eastAsia="Times New Roman" w:hAnsi="Times New Roman"/>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7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64890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19" w:lineRule="exact"/>
        <w:rPr>
          <w:sz w:val="20"/>
          <w:szCs w:val="20"/>
          <w:color w:val="auto"/>
        </w:rPr>
      </w:pPr>
    </w:p>
    <w:p>
      <w:pPr>
        <w:ind w:left="100"/>
        <w:spacing w:after="0"/>
        <w:tabs>
          <w:tab w:leader="none" w:pos="11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ind w:left="1120" w:right="180"/>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7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64890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19" w:lineRule="exact"/>
        <w:rPr>
          <w:sz w:val="20"/>
          <w:szCs w:val="20"/>
          <w:color w:val="auto"/>
        </w:rPr>
      </w:pPr>
    </w:p>
    <w:p>
      <w:pPr>
        <w:ind w:left="100"/>
        <w:spacing w:after="0"/>
        <w:tabs>
          <w:tab w:leader="none" w:pos="11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ind w:left="1120" w:right="40"/>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64890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19" w:lineRule="exact"/>
        <w:rPr>
          <w:sz w:val="20"/>
          <w:szCs w:val="20"/>
          <w:color w:val="auto"/>
        </w:rPr>
      </w:pPr>
    </w:p>
    <w:p>
      <w:pPr>
        <w:ind w:left="100"/>
        <w:spacing w:after="0"/>
        <w:tabs>
          <w:tab w:leader="none" w:pos="11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1120" w:right="16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23"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December 29, 2023</w:t>
      </w:r>
    </w:p>
    <w:p>
      <w:pPr>
        <w:spacing w:after="0" w:line="2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-130810</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DIVISADERO STREET CAPITAL MANAGEMENT, LP*</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Divisadero Street Capital LLC, its general partner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William Zolezzi</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ectPr>
          <w:pgSz w:w="11900" w:h="16838" w:orient="portrait"/>
          <w:cols w:equalWidth="0" w:num="1">
            <w:col w:w="11120"/>
          </w:cols>
          <w:pgMar w:left="320" w:top="904" w:right="459" w:bottom="0" w:gutter="0" w:footer="0" w:header="0"/>
        </w:sectPr>
      </w:pPr>
    </w:p>
    <w:bookmarkStart w:id="9" w:name="page10"/>
    <w:bookmarkEnd w:id="9"/>
    <w:p>
      <w:pPr>
        <w:ind w:left="5720"/>
        <w:spacing w:after="0"/>
        <w:rPr>
          <w:sz w:val="20"/>
          <w:szCs w:val="20"/>
          <w:color w:val="auto"/>
        </w:rPr>
      </w:pPr>
      <w:r>
        <w:rPr>
          <w:rFonts w:ascii="Times New Roman" w:cs="Times New Roman" w:eastAsia="Times New Roman" w:hAnsi="Times New Roman"/>
          <w:sz w:val="18"/>
          <w:szCs w:val="18"/>
          <w:color w:val="auto"/>
        </w:rPr>
        <w:t>DIVISADERO STREET PARTNERS, L.P*</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Divisadero Street Partners GP, LLC, its general partner</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William Zolezzi</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DIVISADERO STREET PARTNERS GP,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William Zolezzi</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WILLIAM ZOLEZZI*</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Reporting Persons disclaim beneficial ownership in the Shares reported herein except to the extent of their pecuniary interest therein.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s.240.13d-7 for other parties for whom copies are to be 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7460"/>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 REGARDING JOINT FILING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STATEMENT ON SCHEDULE 13D OR 13G</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undersigned agree to file jointly with the Securities and Exchange Commission (the "SEC") any and all statements on Schedule 13D or Schedule 13G and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Divisadero Street Capital Management, LP, as the undersigned’s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9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December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DIVISADERO STREET CAPITAL MANAGEMENT, LP</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Divisadero Street Capital LLC, its general partner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William Zolezzi</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DIVISADERO STREET PARTNERS, L.P</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Divisadero Street Partners GP, LLC, its general partner</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William Zolezzi</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DIVISADERO STREET PARTNERS GP,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William Zolezzi</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WILLIAM ZOLEZZI</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sectPr>
      <w:pgSz w:w="11900" w:h="16838" w:orient="portrait"/>
      <w:cols w:equalWidth="0" w:num="1">
        <w:col w:w="11240"/>
      </w:cols>
      <w:pgMar w:left="32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1]"/>
      <w:numFmt w:val="upperLetter"/>
      <w:start w:val="24"/>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decimal"/>
      <w:start w:val="5"/>
    </w:lvl>
  </w:abstractNum>
  <w:abstractNum w:abstractNumId="5">
    <w:nsid w:val="3352255A"/>
    <w:multiLevelType w:val="hybridMultilevel"/>
    <w:lvl w:ilvl="0">
      <w:lvlJc w:val="left"/>
      <w:lvlText w:val="%1."/>
      <w:numFmt w:val="decimal"/>
      <w:start w:val="1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3"/>
    </w:lvl>
  </w:abstractNum>
  <w:abstractNum w:abstractNumId="8">
    <w:nsid w:val="7FDCC233"/>
    <w:multiLevelType w:val="hybridMultilevel"/>
    <w:lvl w:ilvl="0">
      <w:lvlJc w:val="left"/>
      <w:lvlText w:val="%1."/>
      <w:numFmt w:val="decimal"/>
      <w:start w:val="5"/>
    </w:lvl>
  </w:abstractNum>
  <w:abstractNum w:abstractNumId="9">
    <w:nsid w:val="1BEFD79F"/>
    <w:multiLevelType w:val="hybridMultilevel"/>
    <w:lvl w:ilvl="0">
      <w:lvlJc w:val="left"/>
      <w:lvlText w:val="%1."/>
      <w:numFmt w:val="decimal"/>
      <w:start w:val="1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3"/>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decimal"/>
      <w:start w:val="1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3"/>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decimal"/>
      <w:start w:val="1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2023-12-29T16:39:15Z</dcterms:created>
  <dcterms:modified xsi:type="dcterms:W3CDTF">2023-12-29T16:39:15Z</dcterms:modified>
</cp:coreProperties>
</file>