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80" w:right="2380" w:hanging="1486"/>
        <w:spacing w:after="0" w:line="482" w:lineRule="auto"/>
        <w:tabs>
          <w:tab w:leader="none" w:pos="26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2016</w:t>
      </w:r>
    </w:p>
    <w:p>
      <w:pPr>
        <w:spacing w:after="0" w:line="33" w:lineRule="exact"/>
        <w:rPr>
          <w:sz w:val="24"/>
          <w:szCs w:val="24"/>
          <w:color w:val="auto"/>
        </w:rPr>
      </w:pPr>
    </w:p>
    <w:p>
      <w:pPr>
        <w:ind w:left="3620" w:right="2660" w:hanging="956"/>
        <w:spacing w:after="0" w:line="528" w:lineRule="auto"/>
        <w:tabs>
          <w:tab w:leader="none" w:pos="290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6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3"/>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left="1450"/>
              <w:spacing w:after="0"/>
              <w:rPr>
                <w:sz w:val="20"/>
                <w:szCs w:val="20"/>
                <w:color w:val="auto"/>
              </w:rPr>
            </w:pPr>
            <w:r>
              <w:rPr>
                <w:rFonts w:ascii="Arial" w:cs="Arial" w:eastAsia="Arial" w:hAnsi="Arial"/>
                <w:sz w:val="18"/>
                <w:szCs w:val="18"/>
                <w:color w:val="auto"/>
                <w:w w:val="93"/>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4080" w:type="dxa"/>
            <w:vAlign w:val="bottom"/>
          </w:tcPr>
          <w:p>
            <w:pPr>
              <w:spacing w:after="0"/>
              <w:rPr>
                <w:sz w:val="24"/>
                <w:szCs w:val="24"/>
                <w:color w:val="auto"/>
              </w:rPr>
            </w:pPr>
          </w:p>
        </w:tc>
        <w:tc>
          <w:tcPr>
            <w:tcW w:w="7340" w:type="dxa"/>
            <w:vAlign w:val="bottom"/>
            <w:gridSpan w:val="7"/>
          </w:tcPr>
          <w:p>
            <w:pPr>
              <w:ind w:left="640"/>
              <w:spacing w:after="0"/>
              <w:rPr>
                <w:sz w:val="20"/>
                <w:szCs w:val="20"/>
                <w:color w:val="auto"/>
              </w:rPr>
            </w:pPr>
            <w:r>
              <w:rPr>
                <w:rFonts w:ascii="Arial" w:cs="Arial" w:eastAsia="Arial" w:hAnsi="Arial"/>
                <w:sz w:val="18"/>
                <w:szCs w:val="18"/>
                <w:b w:val="1"/>
                <w:bCs w:val="1"/>
                <w:color w:val="auto"/>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274320</wp:posOffset>
            </wp:positionV>
            <wp:extent cx="54286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7" w:right="239" w:bottom="1440" w:gutter="0" w:footer="0" w:header="0"/>
        </w:sectPr>
      </w:pPr>
    </w:p>
    <w:p>
      <w:pPr>
        <w:spacing w:after="0" w:line="204"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1" w:lineRule="exact"/>
        <w:rPr>
          <w:sz w:val="24"/>
          <w:szCs w:val="24"/>
          <w:color w:val="auto"/>
        </w:rPr>
      </w:pPr>
    </w:p>
    <w:p>
      <w:pPr>
        <w:sectPr>
          <w:pgSz w:w="11900" w:h="16838" w:orient="portrait"/>
          <w:cols w:equalWidth="0" w:num="4">
            <w:col w:w="220" w:space="360"/>
            <w:col w:w="4420" w:space="720"/>
            <w:col w:w="160" w:space="400"/>
            <w:col w:w="5140"/>
          </w:cols>
          <w:pgMar w:left="240" w:top="517"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29,672,132 common shares as of November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680" w:type="dxa"/>
            <w:vAlign w:val="bottom"/>
          </w:tcPr>
          <w:p>
            <w:pPr>
              <w:ind w:left="39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80"/>
        </w:trPr>
        <w:tc>
          <w:tcPr>
            <w:tcW w:w="84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432"/>
        </w:trPr>
        <w:tc>
          <w:tcPr>
            <w:tcW w:w="840" w:type="dxa"/>
            <w:vAlign w:val="bottom"/>
          </w:tcPr>
          <w:p>
            <w:pPr>
              <w:spacing w:after="0"/>
              <w:rPr>
                <w:sz w:val="24"/>
                <w:szCs w:val="24"/>
                <w:color w:val="auto"/>
              </w:rPr>
            </w:pPr>
          </w:p>
        </w:tc>
        <w:tc>
          <w:tcPr>
            <w:tcW w:w="9680" w:type="dxa"/>
            <w:vAlign w:val="bottom"/>
          </w:tcPr>
          <w:p>
            <w:pPr>
              <w:ind w:left="282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Pr>
          <w:p>
            <w:pPr>
              <w:spacing w:after="0"/>
              <w:rPr>
                <w:sz w:val="24"/>
                <w:szCs w:val="24"/>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32"/>
        </w:trPr>
        <w:tc>
          <w:tcPr>
            <w:tcW w:w="840" w:type="dxa"/>
            <w:vAlign w:val="bottom"/>
          </w:tcPr>
          <w:p>
            <w:pPr>
              <w:spacing w:after="0"/>
              <w:rPr>
                <w:sz w:val="24"/>
                <w:szCs w:val="24"/>
                <w:color w:val="auto"/>
              </w:rPr>
            </w:pPr>
          </w:p>
        </w:tc>
        <w:tc>
          <w:tcPr>
            <w:tcW w:w="9680" w:type="dxa"/>
            <w:vAlign w:val="bottom"/>
          </w:tcPr>
          <w:p>
            <w:pPr>
              <w:ind w:left="294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tcPr>
          <w:p>
            <w:pPr>
              <w:ind w:left="180"/>
              <w:spacing w:after="0"/>
              <w:rPr>
                <w:sz w:val="20"/>
                <w:szCs w:val="20"/>
                <w:color w:val="auto"/>
              </w:rPr>
            </w:pPr>
            <w:r>
              <w:rPr>
                <w:rFonts w:ascii="Arial" w:cs="Arial" w:eastAsia="Arial" w:hAnsi="Arial"/>
                <w:sz w:val="18"/>
                <w:szCs w:val="18"/>
                <w:color w:val="auto"/>
              </w:rPr>
              <w:t>Mine Safety Disclosure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tcPr>
          <w:p>
            <w:pPr>
              <w:ind w:left="180"/>
              <w:spacing w:after="0"/>
              <w:rPr>
                <w:sz w:val="20"/>
                <w:szCs w:val="20"/>
                <w:color w:val="auto"/>
              </w:rPr>
            </w:pPr>
            <w:r>
              <w:rPr>
                <w:rFonts w:ascii="Arial" w:cs="Arial" w:eastAsia="Arial" w:hAnsi="Arial"/>
                <w:sz w:val="18"/>
                <w:szCs w:val="18"/>
                <w:color w:val="auto"/>
              </w:rPr>
              <w:t>Exhibits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682"/>
        </w:trPr>
        <w:tc>
          <w:tcPr>
            <w:tcW w:w="84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5"/>
          <w:szCs w:val="15"/>
          <w:color w:val="auto"/>
        </w:rPr>
        <w:t>Condensed Consolidated Balance Sheets as of September 30, 2016 and December 31, 2015 (unaudited);</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Condensed Consolidated Statements of Operations for the three and nine months ended September 30, 2016 and 2015 (unaudited);</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Condensed Consolidated Statements of Cash Flow for the nine months ended September 30, 2016 and 2015 (unaudited);</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Notes to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2016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jc w:val="both"/>
        <w:ind w:right="160" w:firstLine="180"/>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ind w:left="180" w:right="800" w:hanging="179"/>
        <w:spacing w:after="0" w:line="291" w:lineRule="auto"/>
        <w:rPr>
          <w:sz w:val="20"/>
          <w:szCs w:val="20"/>
          <w:color w:val="auto"/>
        </w:rPr>
      </w:pPr>
      <w:r>
        <w:rPr>
          <w:rFonts w:ascii="Arial" w:cs="Arial" w:eastAsia="Arial" w:hAnsi="Arial"/>
          <w:sz w:val="16"/>
          <w:szCs w:val="16"/>
          <w:color w:val="auto"/>
        </w:rPr>
        <w:t>Other Assets Patent rights, net</w:t>
      </w:r>
    </w:p>
    <w:p>
      <w:pPr>
        <w:ind w:left="180"/>
        <w:spacing w:after="0" w:line="257" w:lineRule="auto"/>
        <w:rPr>
          <w:sz w:val="20"/>
          <w:szCs w:val="20"/>
          <w:color w:val="auto"/>
        </w:rPr>
      </w:pPr>
      <w:r>
        <w:rPr>
          <w:rFonts w:ascii="Arial" w:cs="Arial" w:eastAsia="Arial" w:hAnsi="Arial"/>
          <w:sz w:val="18"/>
          <w:szCs w:val="18"/>
          <w:color w:val="auto"/>
        </w:rPr>
        <w:t>Web development costs, net Security deposit</w:t>
      </w:r>
    </w:p>
    <w:p>
      <w:pPr>
        <w:spacing w:after="0" w:line="2" w:lineRule="exact"/>
        <w:rPr>
          <w:sz w:val="20"/>
          <w:szCs w:val="20"/>
          <w:color w:val="auto"/>
        </w:rPr>
      </w:pPr>
    </w:p>
    <w:p>
      <w:pPr>
        <w:ind w:right="860"/>
        <w:spacing w:after="0" w:line="377" w:lineRule="auto"/>
        <w:rPr>
          <w:sz w:val="20"/>
          <w:szCs w:val="20"/>
          <w:color w:val="auto"/>
        </w:rPr>
      </w:pPr>
      <w:r>
        <w:rPr>
          <w:rFonts w:ascii="Arial" w:cs="Arial" w:eastAsia="Arial" w:hAnsi="Arial"/>
          <w:sz w:val="16"/>
          <w:szCs w:val="16"/>
          <w:color w:val="auto"/>
        </w:rPr>
        <w:t>Total Other Assets TOTAL ASSETS</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30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AS OF SEPTEMBER 30, 2016 AND DECEMBER 31, 2015</w:t>
      </w:r>
    </w:p>
    <w:p>
      <w:pPr>
        <w:spacing w:after="0" w:line="211" w:lineRule="exact"/>
        <w:rPr>
          <w:sz w:val="20"/>
          <w:szCs w:val="20"/>
          <w:color w:val="auto"/>
        </w:rPr>
      </w:pPr>
    </w:p>
    <w:p>
      <w:pPr>
        <w:jc w:val="center"/>
        <w:ind w:left="-6039"/>
        <w:spacing w:after="0"/>
        <w:tabs>
          <w:tab w:leader="none" w:pos="320" w:val="left"/>
        </w:tabs>
        <w:rPr>
          <w:sz w:val="20"/>
          <w:szCs w:val="20"/>
          <w:color w:val="auto"/>
        </w:rPr>
      </w:pPr>
      <w:r>
        <w:rPr>
          <w:rFonts w:ascii="Arial" w:cs="Arial" w:eastAsia="Arial" w:hAnsi="Arial"/>
          <w:sz w:val="18"/>
          <w:szCs w:val="18"/>
          <w:color w:val="auto"/>
        </w:rPr>
        <w:t>September 30,</w:t>
      </w:r>
      <w:r>
        <w:rPr>
          <w:sz w:val="20"/>
          <w:szCs w:val="20"/>
          <w:color w:val="auto"/>
        </w:rPr>
        <w:tab/>
      </w:r>
      <w:r>
        <w:rPr>
          <w:rFonts w:ascii="Arial" w:cs="Arial" w:eastAsia="Arial" w:hAnsi="Arial"/>
          <w:sz w:val="15"/>
          <w:szCs w:val="15"/>
          <w:color w:val="auto"/>
        </w:rPr>
        <w:t>December 31,</w:t>
      </w:r>
    </w:p>
    <w:p>
      <w:pPr>
        <w:spacing w:after="0" w:line="23" w:lineRule="exact"/>
        <w:rPr>
          <w:sz w:val="20"/>
          <w:szCs w:val="20"/>
          <w:color w:val="auto"/>
        </w:rPr>
      </w:pPr>
    </w:p>
    <w:p>
      <w:pPr>
        <w:ind w:left="6800"/>
        <w:spacing w:after="0"/>
        <w:tabs>
          <w:tab w:leader="none" w:pos="814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5715</wp:posOffset>
            </wp:positionV>
            <wp:extent cx="15862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auto"/>
        </w:rPr>
        <w:t>ASSETS</w:t>
      </w:r>
    </w:p>
    <w:p>
      <w:pPr>
        <w:spacing w:after="0" w:line="229" w:lineRule="exact"/>
        <w:rPr>
          <w:sz w:val="20"/>
          <w:szCs w:val="20"/>
          <w:color w:val="auto"/>
        </w:rPr>
      </w:pPr>
    </w:p>
    <w:p>
      <w:pPr>
        <w:jc w:val="both"/>
        <w:ind w:left="6420"/>
        <w:spacing w:after="0"/>
        <w:tabs>
          <w:tab w:leader="none" w:pos="6820" w:val="left"/>
          <w:tab w:leader="none" w:pos="7760" w:val="left"/>
          <w:tab w:leader="none" w:pos="8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7,574,638</w:t>
        <w:tab/>
        <w:t>$</w:t>
      </w:r>
      <w:r>
        <w:rPr>
          <w:sz w:val="20"/>
          <w:szCs w:val="20"/>
          <w:color w:val="auto"/>
        </w:rPr>
        <w:tab/>
      </w:r>
      <w:r>
        <w:rPr>
          <w:rFonts w:ascii="Arial" w:cs="Arial" w:eastAsia="Arial" w:hAnsi="Arial"/>
          <w:sz w:val="16"/>
          <w:szCs w:val="16"/>
          <w:color w:val="auto"/>
        </w:rPr>
        <w:t>8,207,565</w:t>
      </w:r>
    </w:p>
    <w:p>
      <w:pPr>
        <w:spacing w:after="0" w:line="23" w:lineRule="exact"/>
        <w:rPr>
          <w:sz w:val="20"/>
          <w:szCs w:val="20"/>
          <w:color w:val="auto"/>
        </w:rPr>
      </w:pPr>
    </w:p>
    <w:p>
      <w:pPr>
        <w:jc w:val="both"/>
        <w:ind w:left="6840"/>
        <w:spacing w:after="0"/>
        <w:tabs>
          <w:tab w:leader="none" w:pos="8180" w:val="left"/>
        </w:tabs>
        <w:rPr>
          <w:sz w:val="20"/>
          <w:szCs w:val="20"/>
          <w:color w:val="auto"/>
        </w:rPr>
      </w:pPr>
      <w:r>
        <w:rPr>
          <w:rFonts w:ascii="Arial" w:cs="Arial" w:eastAsia="Arial" w:hAnsi="Arial"/>
          <w:sz w:val="18"/>
          <w:szCs w:val="18"/>
          <w:color w:val="auto"/>
        </w:rPr>
        <w:t>2,324,343</w:t>
      </w:r>
      <w:r>
        <w:rPr>
          <w:sz w:val="20"/>
          <w:szCs w:val="20"/>
          <w:color w:val="auto"/>
        </w:rPr>
        <w:tab/>
      </w:r>
      <w:r>
        <w:rPr>
          <w:rFonts w:ascii="Arial" w:cs="Arial" w:eastAsia="Arial" w:hAnsi="Arial"/>
          <w:sz w:val="18"/>
          <w:szCs w:val="18"/>
          <w:color w:val="auto"/>
        </w:rPr>
        <w:t>2,847,450</w:t>
      </w:r>
    </w:p>
    <w:p>
      <w:pPr>
        <w:spacing w:after="0" w:line="9" w:lineRule="exact"/>
        <w:rPr>
          <w:sz w:val="20"/>
          <w:szCs w:val="20"/>
          <w:color w:val="auto"/>
        </w:rPr>
      </w:pPr>
    </w:p>
    <w:p>
      <w:pPr>
        <w:jc w:val="both"/>
        <w:ind w:left="6980"/>
        <w:spacing w:after="0"/>
        <w:tabs>
          <w:tab w:leader="none" w:pos="8400" w:val="left"/>
        </w:tabs>
        <w:rPr>
          <w:sz w:val="20"/>
          <w:szCs w:val="20"/>
          <w:color w:val="auto"/>
        </w:rPr>
      </w:pPr>
      <w:r>
        <w:rPr>
          <w:rFonts w:ascii="Arial" w:cs="Arial" w:eastAsia="Arial" w:hAnsi="Arial"/>
          <w:sz w:val="18"/>
          <w:szCs w:val="18"/>
          <w:color w:val="auto"/>
        </w:rPr>
        <w:t>102,759</w:t>
      </w:r>
      <w:r>
        <w:rPr>
          <w:sz w:val="20"/>
          <w:szCs w:val="20"/>
          <w:color w:val="auto"/>
        </w:rPr>
        <w:tab/>
      </w:r>
      <w:r>
        <w:rPr>
          <w:rFonts w:ascii="Arial" w:cs="Arial" w:eastAsia="Arial" w:hAnsi="Arial"/>
          <w:sz w:val="18"/>
          <w:szCs w:val="18"/>
          <w:color w:val="auto"/>
        </w:rPr>
        <w:t>70,623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14605</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5" w:lineRule="exact"/>
        <w:rPr>
          <w:sz w:val="20"/>
          <w:szCs w:val="20"/>
          <w:color w:val="auto"/>
        </w:rPr>
      </w:pPr>
    </w:p>
    <w:p>
      <w:pPr>
        <w:jc w:val="both"/>
        <w:ind w:left="6760"/>
        <w:spacing w:after="0"/>
        <w:tabs>
          <w:tab w:leader="none" w:pos="8080" w:val="left"/>
        </w:tabs>
        <w:rPr>
          <w:sz w:val="20"/>
          <w:szCs w:val="20"/>
          <w:color w:val="auto"/>
        </w:rPr>
      </w:pPr>
      <w:r>
        <w:rPr>
          <w:rFonts w:ascii="Arial" w:cs="Arial" w:eastAsia="Arial" w:hAnsi="Arial"/>
          <w:sz w:val="18"/>
          <w:szCs w:val="18"/>
          <w:color w:val="auto"/>
        </w:rPr>
        <w:t>10,001,740</w:t>
      </w:r>
      <w:r>
        <w:rPr>
          <w:sz w:val="20"/>
          <w:szCs w:val="20"/>
          <w:color w:val="auto"/>
        </w:rPr>
        <w:tab/>
      </w:r>
      <w:r>
        <w:rPr>
          <w:rFonts w:ascii="Arial" w:cs="Arial" w:eastAsia="Arial" w:hAnsi="Arial"/>
          <w:sz w:val="18"/>
          <w:szCs w:val="18"/>
          <w:color w:val="auto"/>
        </w:rPr>
        <w:t>11,125,638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14605</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jc w:val="both"/>
        <w:ind w:left="7060"/>
        <w:spacing w:after="0"/>
        <w:tabs>
          <w:tab w:leader="none" w:pos="8400" w:val="left"/>
        </w:tabs>
        <w:rPr>
          <w:sz w:val="20"/>
          <w:szCs w:val="20"/>
          <w:color w:val="auto"/>
        </w:rPr>
      </w:pPr>
      <w:r>
        <w:rPr>
          <w:rFonts w:ascii="Arial" w:cs="Arial" w:eastAsia="Arial" w:hAnsi="Arial"/>
          <w:sz w:val="18"/>
          <w:szCs w:val="18"/>
          <w:color w:val="auto"/>
        </w:rPr>
        <w:t>89,273</w:t>
      </w:r>
      <w:r>
        <w:rPr>
          <w:sz w:val="20"/>
          <w:szCs w:val="20"/>
          <w:color w:val="auto"/>
        </w:rPr>
        <w:tab/>
      </w:r>
      <w:r>
        <w:rPr>
          <w:rFonts w:ascii="Arial" w:cs="Arial" w:eastAsia="Arial" w:hAnsi="Arial"/>
          <w:sz w:val="18"/>
          <w:szCs w:val="18"/>
          <w:color w:val="auto"/>
        </w:rPr>
        <w:t>10,239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14605</wp:posOffset>
            </wp:positionV>
            <wp:extent cx="1586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ind w:left="6980"/>
        <w:spacing w:after="0"/>
        <w:tabs>
          <w:tab w:leader="none" w:pos="8180" w:val="left"/>
        </w:tabs>
        <w:rPr>
          <w:sz w:val="20"/>
          <w:szCs w:val="20"/>
          <w:color w:val="auto"/>
        </w:rPr>
      </w:pPr>
      <w:r>
        <w:rPr>
          <w:rFonts w:ascii="Arial" w:cs="Arial" w:eastAsia="Arial" w:hAnsi="Arial"/>
          <w:sz w:val="18"/>
          <w:szCs w:val="18"/>
          <w:color w:val="auto"/>
        </w:rPr>
        <w:t>789,332</w:t>
      </w:r>
      <w:r>
        <w:rPr>
          <w:sz w:val="20"/>
          <w:szCs w:val="20"/>
          <w:color w:val="auto"/>
        </w:rPr>
        <w:tab/>
      </w:r>
      <w:r>
        <w:rPr>
          <w:rFonts w:ascii="Arial" w:cs="Arial" w:eastAsia="Arial" w:hAnsi="Arial"/>
          <w:sz w:val="18"/>
          <w:szCs w:val="18"/>
          <w:color w:val="auto"/>
        </w:rPr>
        <w:t>832,884,</w:t>
      </w:r>
    </w:p>
    <w:p>
      <w:pPr>
        <w:spacing w:after="0" w:line="23" w:lineRule="exact"/>
        <w:rPr>
          <w:sz w:val="20"/>
          <w:szCs w:val="20"/>
          <w:color w:val="auto"/>
        </w:rPr>
      </w:pPr>
    </w:p>
    <w:p>
      <w:pPr>
        <w:jc w:val="both"/>
        <w:ind w:left="6980"/>
        <w:spacing w:after="0"/>
        <w:tabs>
          <w:tab w:leader="none" w:pos="8300" w:val="left"/>
        </w:tabs>
        <w:rPr>
          <w:sz w:val="20"/>
          <w:szCs w:val="20"/>
          <w:color w:val="auto"/>
        </w:rPr>
      </w:pPr>
      <w:r>
        <w:rPr>
          <w:rFonts w:ascii="Arial" w:cs="Arial" w:eastAsia="Arial" w:hAnsi="Arial"/>
          <w:sz w:val="18"/>
          <w:szCs w:val="18"/>
          <w:color w:val="auto"/>
        </w:rPr>
        <w:t>376,011</w:t>
      </w:r>
      <w:r>
        <w:rPr>
          <w:sz w:val="20"/>
          <w:szCs w:val="20"/>
          <w:color w:val="auto"/>
        </w:rPr>
        <w:tab/>
      </w:r>
      <w:r>
        <w:rPr>
          <w:rFonts w:ascii="Arial" w:cs="Arial" w:eastAsia="Arial" w:hAnsi="Arial"/>
          <w:sz w:val="18"/>
          <w:szCs w:val="18"/>
          <w:color w:val="auto"/>
        </w:rPr>
        <w:t>340,470</w:t>
      </w:r>
    </w:p>
    <w:p>
      <w:pPr>
        <w:spacing w:after="0" w:line="9" w:lineRule="exact"/>
        <w:rPr>
          <w:sz w:val="20"/>
          <w:szCs w:val="20"/>
          <w:color w:val="auto"/>
        </w:rPr>
      </w:pPr>
    </w:p>
    <w:p>
      <w:pPr>
        <w:jc w:val="both"/>
        <w:ind w:left="7160"/>
        <w:spacing w:after="0"/>
        <w:tabs>
          <w:tab w:leader="none" w:pos="8480" w:val="left"/>
        </w:tabs>
        <w:rPr>
          <w:sz w:val="20"/>
          <w:szCs w:val="20"/>
          <w:color w:val="auto"/>
        </w:rPr>
      </w:pPr>
      <w:r>
        <w:rPr>
          <w:rFonts w:ascii="Arial" w:cs="Arial" w:eastAsia="Arial" w:hAnsi="Arial"/>
          <w:sz w:val="18"/>
          <w:szCs w:val="18"/>
          <w:color w:val="auto"/>
        </w:rPr>
        <w:t>5,049</w:t>
      </w:r>
      <w:r>
        <w:rPr>
          <w:sz w:val="20"/>
          <w:szCs w:val="20"/>
          <w:color w:val="auto"/>
        </w:rPr>
        <w:tab/>
      </w:r>
      <w:r>
        <w:rPr>
          <w:rFonts w:ascii="Arial" w:cs="Arial" w:eastAsia="Arial" w:hAnsi="Arial"/>
          <w:sz w:val="18"/>
          <w:szCs w:val="18"/>
          <w:color w:val="auto"/>
        </w:rPr>
        <w:t>5,049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14605</wp:posOffset>
            </wp:positionV>
            <wp:extent cx="1586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5" w:lineRule="exact"/>
        <w:rPr>
          <w:sz w:val="20"/>
          <w:szCs w:val="20"/>
          <w:color w:val="auto"/>
        </w:rPr>
      </w:pPr>
    </w:p>
    <w:p>
      <w:pPr>
        <w:jc w:val="both"/>
        <w:ind w:left="6840"/>
        <w:spacing w:after="0"/>
        <w:tabs>
          <w:tab w:leader="none" w:pos="8180" w:val="left"/>
        </w:tabs>
        <w:rPr>
          <w:sz w:val="20"/>
          <w:szCs w:val="20"/>
          <w:color w:val="auto"/>
        </w:rPr>
      </w:pPr>
      <w:r>
        <w:rPr>
          <w:rFonts w:ascii="Arial" w:cs="Arial" w:eastAsia="Arial" w:hAnsi="Arial"/>
          <w:sz w:val="18"/>
          <w:szCs w:val="18"/>
          <w:color w:val="auto"/>
        </w:rPr>
        <w:t>1,170,392</w:t>
      </w:r>
      <w:r>
        <w:rPr>
          <w:sz w:val="20"/>
          <w:szCs w:val="20"/>
          <w:color w:val="auto"/>
        </w:rPr>
        <w:tab/>
      </w:r>
      <w:r>
        <w:rPr>
          <w:rFonts w:ascii="Arial" w:cs="Arial" w:eastAsia="Arial" w:hAnsi="Arial"/>
          <w:sz w:val="18"/>
          <w:szCs w:val="18"/>
          <w:color w:val="auto"/>
        </w:rPr>
        <w:t>1,178,403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14605</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3" w:lineRule="exact"/>
        <w:rPr>
          <w:sz w:val="20"/>
          <w:szCs w:val="20"/>
          <w:color w:val="auto"/>
        </w:rPr>
      </w:pPr>
    </w:p>
    <w:p>
      <w:pPr>
        <w:jc w:val="both"/>
        <w:ind w:left="6420"/>
        <w:spacing w:after="0"/>
        <w:tabs>
          <w:tab w:leader="none" w:pos="6740" w:val="left"/>
          <w:tab w:leader="none" w:pos="7760" w:val="left"/>
          <w:tab w:leader="none" w:pos="8080" w:val="left"/>
        </w:tabs>
        <w:rPr>
          <w:sz w:val="20"/>
          <w:szCs w:val="20"/>
          <w:color w:val="auto"/>
        </w:rPr>
      </w:pPr>
      <w:r>
        <w:rPr>
          <w:rFonts w:ascii="Arial" w:cs="Arial" w:eastAsia="Arial" w:hAnsi="Arial"/>
          <w:sz w:val="18"/>
          <w:szCs w:val="18"/>
          <w:u w:val="single" w:color="auto"/>
          <w:color w:val="auto"/>
        </w:rPr>
        <w:t>$</w:t>
        <w:tab/>
        <w:t>11,261,405</w:t>
        <w:tab/>
        <w:t>$</w:t>
      </w:r>
      <w:r>
        <w:rPr>
          <w:sz w:val="20"/>
          <w:szCs w:val="20"/>
          <w:color w:val="auto"/>
        </w:rPr>
        <w:tab/>
      </w:r>
      <w:r>
        <w:rPr>
          <w:rFonts w:ascii="Arial" w:cs="Arial" w:eastAsia="Arial" w:hAnsi="Arial"/>
          <w:sz w:val="16"/>
          <w:szCs w:val="16"/>
          <w:u w:val="single" w:color="auto"/>
          <w:color w:val="auto"/>
        </w:rPr>
        <w:t>12,314,280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40640</wp:posOffset>
            </wp:positionV>
            <wp:extent cx="1586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200" w:space="200"/>
            <w:col w:w="8980"/>
          </w:cols>
          <w:pgMar w:left="240" w:top="904" w:right="279" w:bottom="1440" w:gutter="0" w:footer="0" w:header="0"/>
        </w:sect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191,397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212,191</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42,402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6,983</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2,220,703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2,355,608</w:t>
            </w:r>
          </w:p>
        </w:tc>
        <w:tc>
          <w:tcPr>
            <w:tcW w:w="60" w:type="dxa"/>
            <w:vAlign w:val="bottom"/>
          </w:tcPr>
          <w:p>
            <w:pPr>
              <w:spacing w:after="0"/>
              <w:rPr>
                <w:sz w:val="18"/>
                <w:szCs w:val="18"/>
                <w:color w:val="auto"/>
              </w:rPr>
            </w:pPr>
          </w:p>
        </w:tc>
      </w:tr>
      <w:tr>
        <w:trPr>
          <w:trHeight w:val="251"/>
        </w:trPr>
        <w:tc>
          <w:tcPr>
            <w:tcW w:w="84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766,107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227,002</w:t>
            </w:r>
          </w:p>
        </w:tc>
        <w:tc>
          <w:tcPr>
            <w:tcW w:w="60" w:type="dxa"/>
            <w:vAlign w:val="bottom"/>
          </w:tcPr>
          <w:p>
            <w:pPr>
              <w:spacing w:after="0"/>
              <w:rPr>
                <w:sz w:val="21"/>
                <w:szCs w:val="21"/>
                <w:color w:val="auto"/>
              </w:rPr>
            </w:pPr>
          </w:p>
        </w:tc>
      </w:tr>
      <w:tr>
        <w:trPr>
          <w:trHeight w:val="223"/>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3,220,609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3,371,784</w:t>
            </w:r>
          </w:p>
        </w:tc>
        <w:tc>
          <w:tcPr>
            <w:tcW w:w="60" w:type="dxa"/>
            <w:vAlign w:val="bottom"/>
          </w:tcPr>
          <w:p>
            <w:pPr>
              <w:spacing w:after="0"/>
              <w:rPr>
                <w:sz w:val="19"/>
                <w:szCs w:val="19"/>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w w:val="92"/>
              </w:rPr>
              <w:t>Common stock, $.001 par value, 500,000,000 shares authorized, 29,672,132 and 29,030,925 shares issued and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29,672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29,031</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2,329,508</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33,623,051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32,185,499</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1,132,148</w:t>
            </w:r>
          </w:p>
        </w:tc>
        <w:tc>
          <w:tcPr>
            <w:tcW w:w="60" w:type="dxa"/>
            <w:vAlign w:val="bottom"/>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(13,800)</w:t>
            </w:r>
          </w:p>
        </w:tc>
      </w:tr>
      <w:tr>
        <w:trPr>
          <w:trHeight w:val="251"/>
        </w:trPr>
        <w:tc>
          <w:tcPr>
            <w:tcW w:w="84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(27,906,343)</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(26,719,890)</w:t>
            </w:r>
          </w:p>
        </w:tc>
      </w:tr>
      <w:tr>
        <w:trPr>
          <w:trHeight w:val="223"/>
        </w:trPr>
        <w:tc>
          <w:tcPr>
            <w:tcW w:w="848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8,040,796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8,942,496</w:t>
            </w:r>
          </w:p>
        </w:tc>
        <w:tc>
          <w:tcPr>
            <w:tcW w:w="60" w:type="dxa"/>
            <w:vAlign w:val="bottom"/>
          </w:tcPr>
          <w:p>
            <w:pPr>
              <w:spacing w:after="0"/>
              <w:rPr>
                <w:sz w:val="19"/>
                <w:szCs w:val="19"/>
                <w:color w:val="auto"/>
              </w:rPr>
            </w:pPr>
          </w:p>
        </w:tc>
      </w:tr>
      <w:tr>
        <w:trPr>
          <w:trHeight w:val="250"/>
        </w:trPr>
        <w:tc>
          <w:tcPr>
            <w:tcW w:w="84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11,261,405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12,314,280</w:t>
            </w:r>
          </w:p>
        </w:tc>
        <w:tc>
          <w:tcPr>
            <w:tcW w:w="60" w:type="dxa"/>
            <w:vAlign w:val="bottom"/>
          </w:tcPr>
          <w:p>
            <w:pPr>
              <w:spacing w:after="0"/>
              <w:rPr>
                <w:sz w:val="21"/>
                <w:szCs w:val="2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590"/>
              <w:spacing w:after="0"/>
              <w:rPr>
                <w:sz w:val="20"/>
                <w:szCs w:val="20"/>
                <w:color w:val="auto"/>
              </w:rPr>
            </w:pPr>
            <w:r>
              <w:rPr>
                <w:rFonts w:ascii="Arial" w:cs="Arial" w:eastAsia="Arial" w:hAnsi="Arial"/>
                <w:sz w:val="18"/>
                <w:szCs w:val="18"/>
                <w:color w:val="auto"/>
                <w:w w:val="91"/>
              </w:rPr>
              <w:t>For the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4"/>
          </w:tcPr>
          <w:p>
            <w:pPr>
              <w:jc w:val="center"/>
              <w:ind w:left="590"/>
              <w:spacing w:after="0"/>
              <w:rPr>
                <w:sz w:val="20"/>
                <w:szCs w:val="20"/>
                <w:color w:val="auto"/>
              </w:rPr>
            </w:pPr>
            <w:r>
              <w:rPr>
                <w:rFonts w:ascii="Arial" w:cs="Arial" w:eastAsia="Arial" w:hAnsi="Arial"/>
                <w:sz w:val="18"/>
                <w:szCs w:val="18"/>
                <w:color w:val="auto"/>
                <w:w w:val="87"/>
              </w:rPr>
              <w:t>For the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340" w:type="dxa"/>
            <w:vAlign w:val="bottom"/>
            <w:gridSpan w:val="7"/>
          </w:tcPr>
          <w:p>
            <w:pPr>
              <w:jc w:val="center"/>
              <w:ind w:right="28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340" w:type="dxa"/>
            <w:vAlign w:val="bottom"/>
            <w:gridSpan w:val="7"/>
          </w:tcPr>
          <w:p>
            <w:pPr>
              <w:jc w:val="center"/>
              <w:ind w:right="28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1,786,137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2,007,409</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5,458,944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5,200,419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0"/>
                <w:szCs w:val="20"/>
                <w:color w:val="auto"/>
              </w:rPr>
            </w:pPr>
            <w:r>
              <w:rPr>
                <w:rFonts w:ascii="Arial" w:cs="Arial" w:eastAsia="Arial" w:hAnsi="Arial"/>
                <w:sz w:val="18"/>
                <w:szCs w:val="18"/>
                <w:color w:val="auto"/>
              </w:rPr>
              <w:t>REVENUE SHARE EXPENSE</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723,396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1,044,415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2,539,021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2,683,183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1,062,741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962,994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2,919,924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2,517,236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1,311,959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875,425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4,133,505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2,698,694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52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(249,218)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87,569</w:t>
            </w:r>
          </w:p>
        </w:tc>
        <w:tc>
          <w:tcPr>
            <w:tcW w:w="2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(1,213,582)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(181,458)</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27,292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vMerge w:val="restart"/>
          </w:tcPr>
          <w:p>
            <w:pPr>
              <w:ind w:left="180"/>
              <w:spacing w:after="0"/>
              <w:rPr>
                <w:sz w:val="20"/>
                <w:szCs w:val="20"/>
                <w:color w:val="auto"/>
              </w:rPr>
            </w:pPr>
            <w:r>
              <w:rPr>
                <w:rFonts w:ascii="Arial" w:cs="Arial" w:eastAsia="Arial" w:hAnsi="Arial"/>
                <w:sz w:val="18"/>
                <w:szCs w:val="18"/>
                <w:color w:val="auto"/>
              </w:rPr>
              <w:t>TOTAL OTHER INCOME (EXPENSE)</w:t>
            </w: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27,129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(242,584)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87,937</w:t>
            </w:r>
          </w:p>
        </w:tc>
        <w:tc>
          <w:tcPr>
            <w:tcW w:w="2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(1,186,453)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(180,490)</w:t>
            </w: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(242,584</w:t>
            </w:r>
            <w:r>
              <w:rPr>
                <w:rFonts w:ascii="Arial" w:cs="Arial" w:eastAsia="Arial" w:hAnsi="Arial"/>
                <w:sz w:val="36"/>
                <w:szCs w:val="36"/>
                <w:color w:val="auto"/>
                <w:vertAlign w:val="superscript"/>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87,937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(1,186,453</w:t>
            </w:r>
            <w:r>
              <w:rPr>
                <w:rFonts w:ascii="Arial" w:cs="Arial" w:eastAsia="Arial" w:hAnsi="Arial"/>
                <w:sz w:val="36"/>
                <w:szCs w:val="36"/>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(180,490</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29,433,846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23,259,837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29,374,319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23,060,787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24,348,551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(0.01</w:t>
            </w:r>
            <w:r>
              <w:rPr>
                <w:rFonts w:ascii="Arial" w:cs="Arial" w:eastAsia="Arial" w:hAnsi="Arial"/>
                <w:sz w:val="31"/>
                <w:szCs w:val="31"/>
                <w:color w:val="auto"/>
                <w:vertAlign w:val="superscript"/>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(0.04</w:t>
            </w:r>
            <w:r>
              <w:rPr>
                <w:rFonts w:ascii="Arial" w:cs="Arial" w:eastAsia="Arial" w:hAnsi="Arial"/>
                <w:sz w:val="31"/>
                <w:szCs w:val="31"/>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(0.01</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5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NINE MONTHS ENDED SEPTEMBER 30,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7"/>
          </w:tcPr>
          <w:p>
            <w:pPr>
              <w:ind w:left="280"/>
              <w:spacing w:after="0"/>
              <w:rPr>
                <w:sz w:val="20"/>
                <w:szCs w:val="20"/>
                <w:color w:val="auto"/>
              </w:rPr>
            </w:pPr>
            <w:r>
              <w:rPr>
                <w:rFonts w:ascii="Arial" w:cs="Arial" w:eastAsia="Arial" w:hAnsi="Arial"/>
                <w:sz w:val="18"/>
                <w:szCs w:val="18"/>
                <w:color w:val="auto"/>
              </w:rPr>
              <w:t>For the nine months</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7"/>
          </w:tcPr>
          <w:p>
            <w:pPr>
              <w:ind w:left="280"/>
              <w:spacing w:after="0"/>
              <w:rPr>
                <w:sz w:val="20"/>
                <w:szCs w:val="20"/>
                <w:color w:val="auto"/>
              </w:rPr>
            </w:pPr>
            <w:r>
              <w:rPr>
                <w:rFonts w:ascii="Arial" w:cs="Arial" w:eastAsia="Arial" w:hAnsi="Arial"/>
                <w:sz w:val="18"/>
                <w:szCs w:val="18"/>
                <w:color w:val="auto"/>
              </w:rPr>
              <w:t>Ended September 30</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4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loss for the period</w:t>
            </w:r>
          </w:p>
        </w:tc>
        <w:tc>
          <w:tcPr>
            <w:tcW w:w="1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(1,186,453)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(180,490)</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153,968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435,168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463,662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Changes in: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523,107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(639,723)</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(32,136)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(58,703)</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(383,794)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(25,448)</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(134,905)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494,208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35,419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539,105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172,982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(50,521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488,038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(85,417)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Patent rights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Website site development costs</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(132,306)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(97,399)</w:t>
            </w:r>
          </w:p>
        </w:tc>
        <w:tc>
          <w:tcPr>
            <w:tcW w:w="0" w:type="dxa"/>
            <w:vAlign w:val="bottom"/>
          </w:tcPr>
          <w:p>
            <w:pPr>
              <w:spacing w:after="0"/>
              <w:rPr>
                <w:sz w:val="1"/>
                <w:szCs w:val="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(224,991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(107,048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449,500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4,733,746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Equity issuance costs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(387,300)</w:t>
            </w:r>
          </w:p>
        </w:tc>
        <w:tc>
          <w:tcPr>
            <w:tcW w:w="0" w:type="dxa"/>
            <w:vAlign w:val="bottom"/>
          </w:tcPr>
          <w:p>
            <w:pPr>
              <w:spacing w:after="0"/>
              <w:rPr>
                <w:sz w:val="1"/>
                <w:szCs w:val="1"/>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Repurchase of common stock payable</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(806,915)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4,346,446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640" w:type="dxa"/>
            <w:vAlign w:val="bottom"/>
          </w:tcPr>
          <w:p>
            <w:pPr>
              <w:spacing w:after="0" w:line="201" w:lineRule="exact"/>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(632,927)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4,727,436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64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8,207,565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vMerge w:val="continue"/>
          </w:tcPr>
          <w:p>
            <w:pPr>
              <w:spacing w:after="0"/>
              <w:rPr>
                <w:sz w:val="21"/>
                <w:szCs w:val="21"/>
                <w:color w:val="auto"/>
              </w:rPr>
            </w:pPr>
          </w:p>
        </w:tc>
        <w:tc>
          <w:tcPr>
            <w:tcW w:w="1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7,574,638</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8,174,409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7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6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4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1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technology solution company focused on the health care industry. Our objective is to innovate and connect to improve healthcare by leveraging our proprietary technology to provide on demand savings and clinical messaging within physicians’ and patients’ web based platforms, including Electronic Health Records, e-prescribing platforms, pharmacies and Patient Portals. Initially defined as a marketing and advertising company through our consumer website, OptimizeRx.com, we have matured as a technology solutions provider through our direct to physician solution, which allows physicians to automatically display and distribute financial messaging, composed of sample vouchers and/or copay coupons, and clinical messaging electronically within the ePrescription platform to physicians on behalf of their patients. The OptimizeRx solution is integrated into the ePrescribing or Electronic Medical Records applications, but can also be accessed on a desktop computer, as well as most mobile devices.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solutions provide health care institutions with an alternative option to the traditional inefficiencies and issues associated with storing and managing physical drug samples and pre-printed coupons and provide better access and affordability to patients to improve affordability, adherence, education and outcomes. In turn, we provide pharmaceutical manufacturers with both direct-to-consumer and direct-to-physician channels for more efficiently communicating and promoting their products and savings with a method of transparent return on investment.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and nine month periods ended September 30, 2016 and 2015, have been prepared by us without audit pursuant to the rules and regulations of the Securities and Exchange Commission. In the opinion of management, all adjustments necessary to present fairly our financial position, results of operations, and cash flows as of September 30, 2016 and 2015, and for the periods then ended, have been made. Those adjustments consist of normal and recurring adjustments. The consolidated balance sheet as of December 31, 2015,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2015, as filed with the Securities and Exchange Commission.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operations for the three and nine month periods ended September 30, 2016, are not necessarily indicative of the results to be expected for the full year. Certain reclassifications have been made in our consolidated financial statements for the prior period to conform to the presentation of our consolidated financial statements for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 Compensation plan calls for the issuance of 6,250 shares of our common stock per quarter to each Independent Director. In connection with this plan, we issued 12,500 shares of our common stock in each of the months of March, July, and September 2016 that were valued at $13,125, $14,375, and $13,750, respectively, based on the fair market value at time of issuance.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2015, we issued 12,500 shares of common stock to our Independent Directors in connection with the same compensation plan. Those shares were recorded as stock payable at December 31, 2014. In addition, we issued an additional 12,500 shares each quarter for the quarters ended March 31, June 30, and September 30, 2015. These shares were valued at $16,375, $13,375, and $15,125, respectively, based on the fair market value at the time of issuance.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2016, we issued 384,118 shares of common stock to an unrelated party in a private transaction, the proceeds of which were used to redeem shares of common stock payable.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issued 100,000 shares of common stock, valued at $110,000, to Shadron Stastney in connection with the settlement of litigation described in greater detail in Note 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2015, we entered into a capital markets advisory agreement covering a one-year period, which calls for 90,000 shares of common stock to be issued as compensation. These shares were valued at $112,500 and are being amortized to expense over the period of service. Of these shares, 45,000 were issued in March 2015, and the balance were issued in August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we entered into a new capital markets advisory agreement covering a one year period, which calls for 90,000 shares of common stock to be issued as compensation. The first 45,000 shares were issued in September 2015 and valued at $41,400. These shares were amortized over the six month period ended February, 2016.</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2015, we entered into a securities purchase agreement pursuant to which we sold 6,011,106 shares of our common stock for $0.7875 per share, or gross proceeds of $4,733,746. The shares were issue to a subsidiary of WPP, the world’s largest marketing services company, as part of a strategic investment by WPP. Placement agents in the offering received commissions and expenses of $387,300, or approximately 8.2% of the gross proceeds. The net proceeds received were $4,346,446. Placement agents also received warrants to purchase up to 240,444 shares of our common stock with an exercise price of $0.7875 per share and a term of 5 years. The warrants were valued at $176,213 and have been recorded as equity issuance costs.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2015, we agreed to grant 197,605 fully vested shares of our common stock to two executive officers as bonuses. These shares were not issued, but were recorded as stock payable and could be requested by the officers at any time. A total of 79,042 of these shares were redeemed in cash in February 2016, in lieu of issuing the shares and the remaining 118,563 were redeemed in July 2016. We also issued 50,000 shares of common stock in June 2016 related to shares that were previously reflected in common stock payable. In addition, we issued 69,519 shares during the nine-month period ended September 30, 2016 in connection with the cashless exercise of previous option grants that were approaching expiration.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greater detail in Note 4, related party transactions, in February 2016, we made a one-time payment of $720,415 to our previous CEO in lieu of issuing shares owed to him from previous years. A portion of this payment, $357,415, was for 295,384 shares of common stock reflected in stock payable at December 31, 2015. In July 2016, we also made a one-time payment to our Senior Vice President of Sales of $449,500 to redeem 384,188 shares of common stock owing to him from 2014 and 2015 that were reflected in stock payable at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stock-based compensation. We recorded $270,117 and $171,864 in compensation expense in the periods ended September 30, 2016 and 2015,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fair value of these instruments was calculated using the Black-Scholes option pricing model. Information related to the assumptions used in this model is set forth in our Annual Report on Form 10-K for the fiscal year ended December 31, 2015.</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after hiring a new CEO, we paid our previous CEO $720,415 in lieu of issuing him 595,384 shares of common stock based on the 50-day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2016, we and the previous CEO entered into a separation agreement and an 18-month consulting agreement, both of which we disclosed in a Form 8-K that we filed with the Securities and Exchange Commission. The consulting agreement sets forth the terms of the previous CEO’s continued relationship with our company. He remained our employee through March 31, 2016 and the consulting relationship began April 1, 2016. Under the terms of the consulting agreement, he receives a monthly payment of $15,000, with the potential for up to $54,000 in additional bonus payments during the term of the agreement. This agreement also calls for total payments of $12,425 related to insurance benefits. The separation agreement and consulting agreement replace and supersede all previously disclosed payments related to his severance and board fees.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2016, we redeemed 384,118 shares of common stock owed to our Senior Vice President of Sales from stock grants awarded in 2014 and 2015, but not issued at the time of the grant. We redeemed these shares for a payment of $449,500.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been involved in the following legal proceedings in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in September 2014, we have been a party to a lawsuit involving our prior CEO, Shadron Stastney, in the U.S. District Court in the Eastern District of Michigan as a result of a dispute related to his separation agreement. On May 27, 2016, we settled the action. For a complete release of claims and dismissal of the action, we agreed to pay Mr. Stastney $50,000 and to issue him 100,000 shares of our common stock. We further agreed to register 133,333 of his existing shares with the Securities and Exchange Commission on Form S-1 by June 30, 2016. We have tendered the cash and shares to Mr. Stastney and registered his shares in fulfillment of our settlement obligations.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2015, we initiated litigation against LDM Group, LLC and PDR Network, LLC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In addition, our claims include PDR’s breach of the Master Services Agreement requiring PDR to exclusively use our eCoupon solution. We assert that PDR’s acquisition of LDM and the use of the LDM network to distribute coupons by PDR violates the agreement between the parties. We are seeking enforcement of the agreements and we are seeking damages in an amount at least equal to the amounts paid to date to LDM under the settlement agreement, which is in excess of $1.0 million, as well as damages for lost income and business value as a result of LDM and PDR’s breach of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case is currently before the court in the State of Missouri. The parties are currently in the discovery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855-10, we have analyzed our operations subsequent to September 30, 2016 through the date these financial statements were issued and have determined that we do not have any material subsequent events to disclose in these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for 2016 through October</w:t>
      </w:r>
    </w:p>
    <w:p>
      <w:pPr>
        <w:spacing w:after="0" w:line="102"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for the first nine months of 2016 were approximately $5.5 million, a 5% increase over the same period in 2015.</w:t>
      </w: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for the third quarter ended September 30, 2016 were approximately $1.8 million.</w:t>
      </w: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 new CEO in February to lead us in our next stage of growth.</w:t>
      </w:r>
    </w:p>
    <w:p>
      <w:pPr>
        <w:ind w:left="700" w:right="120" w:hanging="341"/>
        <w:spacing w:after="0" w:line="246"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signed an agreement with Allscripts in September 2016 to promote and manage their LogRx messaging solution (displayed within their EHR). This has the effect of making us their exclusive LogRx partner and extends the point of care solutions that we can bring to the pharmaceutical and medical community to increase and diversify our revenue base. We expect this to have significant and material impact to our sales for 2017.</w:t>
      </w:r>
    </w:p>
    <w:p>
      <w:pPr>
        <w:spacing w:after="0" w:line="1" w:lineRule="exact"/>
        <w:rPr>
          <w:rFonts w:ascii="Arial" w:cs="Arial" w:eastAsia="Arial" w:hAnsi="Arial"/>
          <w:sz w:val="16"/>
          <w:szCs w:val="16"/>
          <w:color w:val="auto"/>
        </w:rPr>
      </w:pP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increased our personnel focused on expansion of our EHR network, as well as increasing utilization of our existing network.</w:t>
      </w:r>
    </w:p>
    <w:p>
      <w:pPr>
        <w:ind w:left="700" w:right="6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assisted industry leading research companies to independently conduct studies and analyze our point of care promotional impact on prescribing and documented very high return on investment rates of up to 12:1 for our global pharmaceutical clients.</w:t>
      </w: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an experienced Senior Vice President of Product and Strategy to lead the expansion of our product line.</w:t>
      </w:r>
    </w:p>
    <w:p>
      <w:pPr>
        <w:ind w:left="700" w:hanging="341"/>
        <w:spacing w:after="0" w:line="232"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2016, which generated significant leads for our sales force.</w:t>
      </w: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an agreement with TrialCard to co-market our joint capabilities.</w:t>
      </w: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implemented a CRM for our expanding direct sales team, multiple partnerships as well as EHR growth opportunities.</w:t>
      </w: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partnership with WPP is showing promise and beginning to accderate with the addition of new brands in our pipeline.</w:t>
      </w:r>
    </w:p>
    <w:p>
      <w:pPr>
        <w:ind w:left="700" w:right="12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a re-branding of our company to demonstrate our ability to bring financial and clinical messaging as well as brand support services, such as drug file integration and sale force training.</w:t>
      </w:r>
    </w:p>
    <w:p>
      <w:pPr>
        <w:ind w:left="700" w:hanging="341"/>
        <w:spacing w:after="0" w:line="21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launched our new website as part of our re-branding effort.</w:t>
      </w:r>
    </w:p>
    <w:p>
      <w:pPr>
        <w:ind w:left="700" w:hanging="34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completed a full technology review and have kicked off several efforts to drive revenue growth with additional services for our existing clients.</w:t>
      </w:r>
    </w:p>
    <w:p>
      <w:pPr>
        <w:spacing w:after="0" w:line="5" w:lineRule="exact"/>
        <w:rPr>
          <w:rFonts w:ascii="Arial" w:cs="Arial" w:eastAsia="Arial" w:hAnsi="Arial"/>
          <w:sz w:val="16"/>
          <w:szCs w:val="16"/>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announced our first partnership in the independent pharmacy space with RxWiki.</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0" w:name="page11"/>
    <w:bookmarkEnd w:id="10"/>
    <w:p>
      <w:pPr>
        <w:ind w:right="320"/>
        <w:spacing w:after="0" w:line="312" w:lineRule="auto"/>
        <w:rPr>
          <w:sz w:val="20"/>
          <w:szCs w:val="20"/>
          <w:color w:val="auto"/>
        </w:rPr>
      </w:pPr>
      <w:r>
        <w:rPr>
          <w:rFonts w:ascii="Arial" w:cs="Arial" w:eastAsia="Arial" w:hAnsi="Arial"/>
          <w:sz w:val="16"/>
          <w:szCs w:val="16"/>
          <w:color w:val="auto"/>
        </w:rPr>
        <w:t>Our success in acquiring, integrating and expanding into new promotional EHR/eRx platforms continues to grow as well. We are actively engaged in discussions with several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in the fourth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revenue for the three months ended September 30, 2016 was approximately $1.8 million, a decrease of 11% over the approximately $2.0 million from the same period in 2015. Our total revenue for the nine months ended September 30, 2016 was approximately $5.5 million, an increase of 5% over the $5.2 million from the same period in 2015. The decrease in revenues in the three months ended September 30, 2016 partially resulted from some brands being paused to perform ROI studies as well as other issues at our customers. We expect several of the brands to resume. We expect growth to resume in the fourth quarter of 2016 based on new brands being launched as well as a continued expansion of other areas of our business, as explained above in our company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cost of sales, comprised of revenue share expense, decreased over the same periods in 2015, primarily as a result of an overall improvement in our margin based on product mix. As a percentage of sales, cost of sales declined from 51.6% for the nine months ended September 30, 2015 to 46.5% for the nine months ended September 30, 2016. It also decreased from 52.0% for the quarter ended September 30, 2015 to 40.5% for the quarter ended September 30, 2016.</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expect this percentage to continue to decrease in future quarters from the nine-month levels as we implement new channels with lower revenue share percentages and as we update our existing agreements to share third party costs. The percentages for any particular quarter, however, can vary more widely as they are more heavily impacted by product mix within the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expenses increased from approximately $0.9 million for the three months ended September 30, 2015 to approximately $1.3 million for the same period in 2016. Operating expenses increased from approximately $2.7 million for the nine months ended September 30, 2015 to approximately $4.1 million for the same period in 2016. The detail by major category is reflected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3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3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668,089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403,596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1,998,525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1,186,163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128,164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102,600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325,167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463,662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Professional Fees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81,117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94,789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425,457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249,614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Board Compensation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Investor Relations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13,979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20,301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80,907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53,255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Consultants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34,435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81,374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37,150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52,640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82,668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153,967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242,005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97,211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75,761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182,620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61,571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45,909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154,309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116,905</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71,732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32,679</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205,394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95,385</w:t>
            </w:r>
          </w:p>
        </w:tc>
      </w:tr>
      <w:tr>
        <w:trPr>
          <w:trHeight w:val="432"/>
        </w:trPr>
        <w:tc>
          <w:tcPr>
            <w:tcW w:w="39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1,311,959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875,425</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3,973,505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2,698,694</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Lawsuit settlement</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1,311,959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875,425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4,133,505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2,698,694</w:t>
            </w:r>
          </w:p>
        </w:tc>
      </w:tr>
      <w:tr>
        <w:trPr>
          <w:trHeight w:val="655"/>
        </w:trPr>
        <w:tc>
          <w:tcPr>
            <w:tcW w:w="3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ind w:right="80"/>
        <w:spacing w:after="0" w:line="253" w:lineRule="auto"/>
        <w:rPr>
          <w:sz w:val="20"/>
          <w:szCs w:val="20"/>
          <w:color w:val="auto"/>
        </w:rPr>
      </w:pPr>
      <w:r>
        <w:rPr>
          <w:rFonts w:ascii="Arial" w:cs="Arial" w:eastAsia="Arial" w:hAnsi="Arial"/>
          <w:sz w:val="18"/>
          <w:szCs w:val="18"/>
          <w:color w:val="auto"/>
        </w:rPr>
        <w:t>The largest increases in operating expenses related to human resource costs and professional fees intended to accelerate our growth. Since the third quarter of 2015, we have hired a Vice President of Client Services, a Senior Vice President of Business Development, a Senior Vice President of Product and Strategy, two additional Vice Presidents of Sales, and a new CEO. The first nine months of 2016 included an overlap period in the CEO position where our new CEO started in February and our previous CEO remained on the payroll until March 31, where he now remains compensated as a consultant. These new hires also resulted in increases in benefits, payroll taxes, and travel. None of these costs are in either the comparable three or nine month periods of 2015. Our professional fees increased significantly as a result of the litigation described in the footnotes to our financial statements. Both of our legal cases were in active periods during the first six months of 2016. We settled the Stastney litigation in May 2016, which is the lawsuit settlement reflected in the table above. That will end the legal cost related to that litigation, however, we expect to continue to incur significant costs related to the ongoing PDR (now ConnectiveRx) litigation. We also incurred significantly higher marketing costs in the 2016 three and nine month periods as we focused on rebranding our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expect our overall operating expenses to continue to increase as we further implement our business plan and expand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net loss for the three months ended September 30, 2016 was approximately $240,000 as compared to income of approximately $88,000 during the same period in 2015. Our net loss for the nine months ended September 30, 2016 was approximately $1.2 million as compared to a loss of approximately $181,000 during the same period in 2015. The reasons for specific components are discussed above. Overall, the increased loss for the nine months ended 2016 is primarily explained by the increase in operating expenses intended to accelerate growth, which is offsetting the increased gross margin generated by increasing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2016, we had total current assets of approximately $10 million, compared with current liabilities of approximately $3.2 million, resulting in working capital of approximately $6.8 million and a current ratio of approximately 3.1 to 1, slightly decreased from the working capital of approximately $7.8 million and current ratio of 3.3 to 1 at December 31, 2015.</w:t>
      </w:r>
    </w:p>
    <w:p>
      <w:pPr>
        <w:spacing w:after="0" w:line="181"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Our cash flow for the nine months ended September 30, 2016 was negatively impacted by a one-time payment of $720,415 to our previous CEO in lieu of issuance of approximately 595,000 common shares due to him from previous years. This payment impacts two sections of the statement of cash flows. As discussed in more detail below, a portion of these shares were reflected in accounts payable and payment of that portion affects cash flow from operations. The remaining portion was reflected in stock payable in the equity section and affects cash used in financing activities.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Following is a table with summary data from the consolidated statement of cash flows for the nine months ended September 30, 2016, as presented and after removing the effect of this payment.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Adjusted</w:t>
            </w:r>
          </w:p>
        </w:tc>
      </w:tr>
      <w:tr>
        <w:trPr>
          <w:trHeight w:val="216"/>
        </w:trPr>
        <w:tc>
          <w:tcPr>
            <w:tcW w:w="47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to remove</w:t>
            </w:r>
          </w:p>
        </w:tc>
      </w:tr>
      <w:tr>
        <w:trPr>
          <w:trHeight w:val="216"/>
        </w:trPr>
        <w:tc>
          <w:tcPr>
            <w:tcW w:w="47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As</w:t>
            </w:r>
          </w:p>
        </w:tc>
        <w:tc>
          <w:tcPr>
            <w:tcW w:w="8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effect of one-</w:t>
            </w:r>
          </w:p>
        </w:tc>
      </w:tr>
      <w:tr>
        <w:trPr>
          <w:trHeight w:val="237"/>
        </w:trPr>
        <w:tc>
          <w:tcPr>
            <w:tcW w:w="47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presented</w:t>
            </w:r>
          </w:p>
        </w:tc>
        <w:tc>
          <w:tcPr>
            <w:tcW w:w="80" w:type="dxa"/>
            <w:vAlign w:val="bottom"/>
          </w:tcPr>
          <w:p>
            <w:pPr>
              <w:spacing w:after="0"/>
              <w:rPr>
                <w:sz w:val="20"/>
                <w:szCs w:val="20"/>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time payment</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operating activities</w:t>
            </w:r>
          </w:p>
        </w:tc>
        <w:tc>
          <w:tcPr>
            <w:tcW w:w="410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(50,521)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312,479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(224,991)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(224,991)</w:t>
            </w:r>
          </w:p>
        </w:tc>
      </w:tr>
      <w:tr>
        <w:trPr>
          <w:trHeight w:val="244"/>
        </w:trPr>
        <w:tc>
          <w:tcPr>
            <w:tcW w:w="47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4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(357,415)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453"/>
        </w:trPr>
        <w:tc>
          <w:tcPr>
            <w:tcW w:w="4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(632,927)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87,488</w:t>
            </w:r>
          </w:p>
        </w:tc>
        <w:tc>
          <w:tcPr>
            <w:tcW w:w="80" w:type="dxa"/>
            <w:vAlign w:val="bottom"/>
          </w:tcPr>
          <w:p>
            <w:pPr>
              <w:spacing w:after="0"/>
              <w:rPr>
                <w:sz w:val="24"/>
                <w:szCs w:val="24"/>
                <w:color w:val="auto"/>
              </w:rPr>
            </w:pPr>
          </w:p>
        </w:tc>
      </w:tr>
      <w:tr>
        <w:trPr>
          <w:trHeight w:val="655"/>
        </w:trPr>
        <w:tc>
          <w:tcPr>
            <w:tcW w:w="47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297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Our operating activities used approximately $50,000 in cash flow during the nine months ended September 30, 2016, compared with cash generated of approximately $488,000 in the same period in 2015. This decrease resulted from the payment of $363,000 to our previous CEO to extinguish the accounts payable related to the purchase of a patent from the CEO in 2010. Excluding that one-time payment, we would have had positive cash flow from operations of approximately $312,000.</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used approximately $225,000 in investing activities in the nine months ended September 30, 2016, compared with approximately $107,000 in the same period in 2015. These investment activities relate to improvements implemented in our SampleMD website, equipment purchases, and expansion of our patent portfolio.</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used approximately $357,000 in financing activities in the nine months ended September 30, 2016 by retiring stock payable due to our previous CEO. These shares were due as a result of previously granted stock awards in 2014 and 2015, for which shares had not yet been issued. These shares were recorded as stock payable on the balance sheet at December 31, 2015. We also retired shares due to our Senior Vice President of Sales, but also raised funds from an unrelated party by issuing shares to effectuate that transaction, so it had no net effect on financing activities.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had net cash provided by financing activities of approximately $4.35 million in the nine months ended September 30, 2015. This cash provided resulted from the strategic investment by WPP. With our cash on hand, we have sufficient cash to operate our business and we do not anticipate the need to raise additional equity for operating purposes, however, we may consider strategic investments that would allow us to accelerate the growth of the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resulting from the need to make estimates about the effect of matters that are inherently uncertain. Our accounting policies are discussed in the footnotes to our financial statements included in our annual report on Form 10-K for the year ended December 31, 2015, however we consider our critical accounting policies to be those related to the amount of revenue to be billed, the timing of revenue recognition, revenue share expense, stock-based compensation, capitalization and related amortization of intangible assets, and impairment of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carried out an evaluation of the effectiveness of the design and operation of our disclosure controls and procedures (as defined in Exchange Act Rules 13a-15(e) and 15d-15(e)) as of September 30, 2016. This evaluation was carried out under the supervision and with the participation of our Chief Executive Officer and our Chief Financial Officer. Based upon that evaluation, our Chief Executive Officer and Chief Financial Officer concluded that, as of September 30, 2016, our disclosure controls and procedures are not completely effective due to the presence of material weaknesses in internal control over financial reporting.</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September 30, 2016, our disclosure controls and procedures were not effective: (i) inadequate segregation of duties; (ii) inadequate communication channels from the Board of Directors to management; and</w:t>
      </w:r>
    </w:p>
    <w:p>
      <w:pPr>
        <w:spacing w:after="0" w:line="2" w:lineRule="exact"/>
        <w:rPr>
          <w:sz w:val="20"/>
          <w:szCs w:val="20"/>
          <w:color w:val="auto"/>
        </w:rPr>
      </w:pPr>
    </w:p>
    <w:p>
      <w:pPr>
        <w:ind w:right="80" w:firstLine="8"/>
        <w:spacing w:after="0" w:line="261"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inadequate information technology reporting systems to insure that accurate financial information is provided for accounting and financial reporting with respect to the requirements and application of both US GAAP and SEC guidelines.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discussed in our Annual Report on Form 10-K we have taken steps to enhance and improve the design of our internal controls over financial reporting. We will continue to establish procedures to mitigate the segregation of duties issues, but it is not possible to completely remediate the issue without hiring additional personnel. We are continuing to upgrade and strengthen our technical systems to increase the reliability of information provided. We have hired a new CEO who plans to focus on improving our technical systems and controls. We also intend to establish procedures and have them in place by the end of this year to ensure that responsible members of management, or our SEC attorney, attend all Board meetings to ensure that information affecting the financial statements and financial statement disclosures is adequately disseminated.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March, 2015, we initiated litigation against LDM Group, LLC and PDR Network, LLC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In addition, our claims include PDR’s breach of the Master Services Agreement requiring PDR to exclusively use our eCoupon solution. We assert that PDR’s acquisition of LDM and the use of the LDM network to distribute coupons by PDR violates the agreement between the parties. We are seeking enforcement of the agreements and we are seeking damages in an amount at least equal to the amounts paid to date to LDM under the settlement agreement, which is in excess of $1.0 million, as well as damages for lost income and business value as a result of LDM and PDR’s breach of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case is currently before the court in the State of Missouri. The parties are currently in the discovery process.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2016, we issued 384,188 shares of our common stock to an unrelated investor and used the proceeds to retire a stock payable due to an executive officer.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0" w:type="dxa"/>
            <w:vAlign w:val="bottom"/>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10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302 of the Sarbanes-Oxley Act of</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302 of the Sarbanes-Oxley Act of</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 906 of</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1"/>
              </w:rPr>
              <w:t>The following materials from the Company’s Quarterly Report on Form 10-Q for the quarter ended September 30, 2016 formatted in Extensible</w:t>
            </w:r>
          </w:p>
        </w:tc>
      </w:tr>
    </w:tbl>
    <w:p>
      <w:pPr>
        <w:ind w:left="1040"/>
        <w:spacing w:after="0"/>
        <w:rPr>
          <w:sz w:val="20"/>
          <w:szCs w:val="20"/>
          <w:color w:val="auto"/>
        </w:rPr>
      </w:pPr>
      <w:r>
        <w:rPr>
          <w:rFonts w:ascii="Arial" w:cs="Arial" w:eastAsia="Arial" w:hAnsi="Arial"/>
          <w:sz w:val="18"/>
          <w:szCs w:val="18"/>
          <w:color w:val="auto"/>
        </w:rPr>
        <w:t>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7, 2016</w:t>
      </w:r>
    </w:p>
    <w:p>
      <w:pPr>
        <w:spacing w:after="0" w:line="22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7527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 Febbo</w:t>
      </w:r>
    </w:p>
    <w:p>
      <w:pPr>
        <w:spacing w:after="0" w:line="2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Principal Executive Officer,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and Director</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7, 2016</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560" w:type="dxa"/>
            <w:vAlign w:val="bottom"/>
          </w:tcPr>
          <w:p>
            <w:pPr>
              <w:spacing w:after="0"/>
              <w:rPr>
                <w:sz w:val="17"/>
                <w:szCs w:val="17"/>
                <w:color w:val="auto"/>
              </w:rPr>
            </w:pPr>
          </w:p>
        </w:tc>
        <w:tc>
          <w:tcPr>
            <w:tcW w:w="434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b w:val="1"/>
                <w:bCs w:val="1"/>
                <w:color w:val="auto"/>
                <w:w w:val="93"/>
              </w:rPr>
              <w:t>Chief Financial Officer, Principal Financial Officer and</w:t>
            </w:r>
          </w:p>
        </w:tc>
      </w:tr>
      <w:tr>
        <w:trPr>
          <w:trHeight w:val="234"/>
        </w:trPr>
        <w:tc>
          <w:tcPr>
            <w:tcW w:w="56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2016 of OptimizeRx Corp (the “registrant”);</w:t>
      </w:r>
    </w:p>
    <w:p>
      <w:pPr>
        <w:spacing w:after="0" w:line="252" w:lineRule="exact"/>
        <w:rPr>
          <w:rFonts w:ascii="Arial" w:cs="Arial" w:eastAsia="Arial" w:hAnsi="Arial"/>
          <w:sz w:val="18"/>
          <w:szCs w:val="18"/>
          <w:color w:val="auto"/>
        </w:rPr>
      </w:pPr>
    </w:p>
    <w:p>
      <w:pPr>
        <w:ind w:left="380" w:right="80" w:hanging="372"/>
        <w:spacing w:after="0" w:line="342"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40" w:hanging="372"/>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20" w:hanging="372"/>
        <w:spacing w:after="0" w:line="26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48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49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482"/>
        <w:spacing w:after="0" w:line="342"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49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100" w:hanging="482"/>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492"/>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449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Will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17" w:name="page18"/>
    <w:bookmarkEnd w:id="17"/>
    <w:p>
      <w:pPr>
        <w:ind w:left="1044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2016 of OptimizeRx Corp (the “registrant”);</w:t>
      </w:r>
    </w:p>
    <w:p>
      <w:pPr>
        <w:spacing w:after="0" w:line="252"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4490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18" w:name="page19"/>
    <w:bookmarkEnd w:id="18"/>
    <w:p>
      <w:pPr>
        <w:ind w:left="1044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September 30, 2016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Will Febbo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660" w:type="dxa"/>
            <w:vAlign w:val="bottom"/>
          </w:tcPr>
          <w:p>
            <w:pPr>
              <w:spacing w:after="0"/>
              <w:rPr>
                <w:sz w:val="20"/>
                <w:szCs w:val="20"/>
                <w:color w:val="auto"/>
              </w:rPr>
            </w:pPr>
            <w:r>
              <w:rPr>
                <w:rFonts w:ascii="Arial" w:cs="Arial" w:eastAsia="Arial" w:hAnsi="Arial"/>
                <w:sz w:val="18"/>
                <w:szCs w:val="18"/>
                <w:color w:val="auto"/>
              </w:rPr>
              <w:t>November 7, 2016</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Douglas Baker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660" w:type="dxa"/>
            <w:vAlign w:val="bottom"/>
          </w:tcPr>
          <w:p>
            <w:pPr>
              <w:spacing w:after="0"/>
              <w:rPr>
                <w:sz w:val="20"/>
                <w:szCs w:val="20"/>
                <w:color w:val="auto"/>
              </w:rPr>
            </w:pPr>
            <w:r>
              <w:rPr>
                <w:rFonts w:ascii="Arial" w:cs="Arial" w:eastAsia="Arial" w:hAnsi="Arial"/>
                <w:sz w:val="18"/>
                <w:szCs w:val="18"/>
                <w:color w:val="auto"/>
              </w:rPr>
              <w:t>November 7, 2016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3"/>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2019-12-08T18:39:47Z</dcterms:created>
  <dcterms:modified xsi:type="dcterms:W3CDTF">2019-12-08T18:39:47Z</dcterms:modified>
</cp:coreProperties>
</file>