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80" w:right="2380" w:hanging="1686"/>
        <w:spacing w:after="0" w:line="482" w:lineRule="auto"/>
        <w:tabs>
          <w:tab w:leader="none" w:pos="26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2018</w:t>
      </w:r>
    </w:p>
    <w:p>
      <w:pPr>
        <w:spacing w:after="0" w:line="33" w:lineRule="exact"/>
        <w:rPr>
          <w:sz w:val="24"/>
          <w:szCs w:val="24"/>
          <w:color w:val="auto"/>
        </w:rPr>
      </w:pPr>
    </w:p>
    <w:p>
      <w:pPr>
        <w:ind w:left="3580" w:right="2660" w:hanging="916"/>
        <w:spacing w:after="0" w:line="528" w:lineRule="auto"/>
        <w:tabs>
          <w:tab w:leader="none" w:pos="2912"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Nevada</w:t>
            </w:r>
          </w:p>
        </w:tc>
        <w:tc>
          <w:tcPr>
            <w:tcW w:w="7280" w:type="dxa"/>
            <w:vAlign w:val="bottom"/>
            <w:gridSpan w:val="7"/>
          </w:tcPr>
          <w:p>
            <w:pPr>
              <w:jc w:val="center"/>
              <w:ind w:left="159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140" w:type="dxa"/>
            <w:vAlign w:val="bottom"/>
            <w:tcBorders>
              <w:top w:val="single" w:sz="8" w:color="auto"/>
            </w:tcBorders>
          </w:tcPr>
          <w:p>
            <w:pPr>
              <w:jc w:val="center"/>
              <w:ind w:left="1350"/>
              <w:spacing w:after="0" w:line="201" w:lineRule="exact"/>
              <w:rPr>
                <w:sz w:val="20"/>
                <w:szCs w:val="20"/>
                <w:color w:val="auto"/>
              </w:rPr>
            </w:pPr>
            <w:r>
              <w:rPr>
                <w:rFonts w:ascii="Arial" w:cs="Arial" w:eastAsia="Arial" w:hAnsi="Arial"/>
                <w:sz w:val="18"/>
                <w:szCs w:val="18"/>
                <w:color w:val="auto"/>
                <w:w w:val="92"/>
              </w:rPr>
              <w:t>(State or other jurisdiction</w:t>
            </w: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140" w:type="dxa"/>
            <w:vAlign w:val="bottom"/>
          </w:tcPr>
          <w:p>
            <w:pPr>
              <w:jc w:val="center"/>
              <w:ind w:left="1410"/>
              <w:spacing w:after="0"/>
              <w:rPr>
                <w:sz w:val="20"/>
                <w:szCs w:val="20"/>
                <w:color w:val="auto"/>
              </w:rPr>
            </w:pPr>
            <w:r>
              <w:rPr>
                <w:rFonts w:ascii="Arial" w:cs="Arial" w:eastAsia="Arial" w:hAnsi="Arial"/>
                <w:sz w:val="18"/>
                <w:szCs w:val="18"/>
                <w:color w:val="auto"/>
                <w:w w:val="92"/>
              </w:rPr>
              <w:t>of incorporation or organization)</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140" w:type="dxa"/>
            <w:vAlign w:val="bottom"/>
          </w:tcPr>
          <w:p>
            <w:pPr>
              <w:spacing w:after="0"/>
              <w:rPr>
                <w:sz w:val="24"/>
                <w:szCs w:val="24"/>
                <w:color w:val="auto"/>
              </w:rPr>
            </w:pPr>
          </w:p>
        </w:tc>
        <w:tc>
          <w:tcPr>
            <w:tcW w:w="7280" w:type="dxa"/>
            <w:vAlign w:val="bottom"/>
            <w:gridSpan w:val="7"/>
          </w:tcPr>
          <w:p>
            <w:pPr>
              <w:jc w:val="center"/>
              <w:ind w:right="405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140" w:type="dxa"/>
            <w:vAlign w:val="bottom"/>
          </w:tcPr>
          <w:p>
            <w:pPr>
              <w:spacing w:after="0"/>
              <w:rPr>
                <w:sz w:val="20"/>
                <w:szCs w:val="20"/>
                <w:color w:val="auto"/>
              </w:rPr>
            </w:pPr>
          </w:p>
        </w:tc>
        <w:tc>
          <w:tcPr>
            <w:tcW w:w="7280" w:type="dxa"/>
            <w:vAlign w:val="bottom"/>
            <w:gridSpan w:val="7"/>
          </w:tcPr>
          <w:p>
            <w:pPr>
              <w:jc w:val="center"/>
              <w:ind w:right="405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14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140" w:type="dxa"/>
            <w:vAlign w:val="bottom"/>
          </w:tcPr>
          <w:p>
            <w:pPr>
              <w:spacing w:after="0"/>
              <w:rPr>
                <w:sz w:val="20"/>
                <w:szCs w:val="20"/>
                <w:color w:val="auto"/>
              </w:rPr>
            </w:pPr>
          </w:p>
        </w:tc>
        <w:tc>
          <w:tcPr>
            <w:tcW w:w="7280" w:type="dxa"/>
            <w:vAlign w:val="bottom"/>
            <w:gridSpan w:val="7"/>
          </w:tcPr>
          <w:p>
            <w:pPr>
              <w:jc w:val="center"/>
              <w:ind w:right="4030"/>
              <w:spacing w:after="0"/>
              <w:rPr>
                <w:sz w:val="20"/>
                <w:szCs w:val="20"/>
                <w:color w:val="auto"/>
              </w:rPr>
            </w:pPr>
            <w:r>
              <w:rPr>
                <w:rFonts w:ascii="Arial" w:cs="Arial" w:eastAsia="Arial" w:hAnsi="Arial"/>
                <w:sz w:val="18"/>
                <w:szCs w:val="18"/>
                <w:color w:val="auto"/>
                <w:w w:val="90"/>
              </w:rPr>
              <w:t>(Registrant’s telephone number)</w:t>
            </w:r>
          </w:p>
        </w:tc>
      </w:tr>
    </w:tbl>
    <w:p>
      <w:pPr>
        <w:spacing w:after="0" w:line="202"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 ☐</w:t>
      </w:r>
      <w:r>
        <w:rPr>
          <w:rFonts w:ascii="Arial" w:cs="Arial" w:eastAsia="Arial" w:hAnsi="Arial"/>
          <w:sz w:val="18"/>
          <w:szCs w:val="18"/>
          <w:color w:val="auto"/>
        </w:rPr>
        <w:t xml:space="preserve"> No</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ectPr>
          <w:pgSz w:w="11900" w:h="16838" w:orient="portrait"/>
          <w:cols w:equalWidth="0" w:num="1">
            <w:col w:w="11420"/>
          </w:cols>
          <w:pgMar w:left="240" w:top="517" w:right="239" w:bottom="1440" w:gutter="0" w:footer="0" w:header="0"/>
        </w:sectPr>
      </w:pPr>
    </w:p>
    <w:p>
      <w:pPr>
        <w:spacing w:after="0" w:line="13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360" w:space="720"/>
            <w:col w:w="4340"/>
          </w:cols>
          <w:pgMar w:left="240" w:top="517" w:right="239" w:bottom="1440" w:gutter="0" w:footer="0" w:header="0"/>
          <w:type w:val="continuous"/>
        </w:sectPr>
      </w:pPr>
    </w:p>
    <w:p>
      <w:pPr>
        <w:spacing w:after="0" w:line="3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11,637,546 common shares as of July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 w:type="dxa"/>
            <w:vAlign w:val="bottom"/>
          </w:tcPr>
          <w:p>
            <w:pPr>
              <w:spacing w:after="0"/>
              <w:rPr>
                <w:sz w:val="20"/>
                <w:szCs w:val="20"/>
                <w:color w:val="auto"/>
              </w:rPr>
            </w:pPr>
          </w:p>
        </w:tc>
        <w:tc>
          <w:tcPr>
            <w:tcW w:w="98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432"/>
        </w:trPr>
        <w:tc>
          <w:tcPr>
            <w:tcW w:w="780" w:type="dxa"/>
            <w:vAlign w:val="bottom"/>
          </w:tcPr>
          <w:p>
            <w:pPr>
              <w:spacing w:after="0"/>
              <w:rPr>
                <w:sz w:val="24"/>
                <w:szCs w:val="24"/>
                <w:color w:val="auto"/>
              </w:rPr>
            </w:pPr>
          </w:p>
        </w:tc>
        <w:tc>
          <w:tcPr>
            <w:tcW w:w="9840" w:type="dxa"/>
            <w:vAlign w:val="bottom"/>
          </w:tcPr>
          <w:p>
            <w:pPr>
              <w:ind w:left="336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24"/>
                <w:szCs w:val="24"/>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32"/>
        </w:trPr>
        <w:tc>
          <w:tcPr>
            <w:tcW w:w="780" w:type="dxa"/>
            <w:vAlign w:val="bottom"/>
          </w:tcPr>
          <w:p>
            <w:pPr>
              <w:spacing w:after="0"/>
              <w:rPr>
                <w:sz w:val="24"/>
                <w:szCs w:val="24"/>
                <w:color w:val="auto"/>
              </w:rPr>
            </w:pPr>
          </w:p>
        </w:tc>
        <w:tc>
          <w:tcPr>
            <w:tcW w:w="9840" w:type="dxa"/>
            <w:vAlign w:val="bottom"/>
          </w:tcPr>
          <w:p>
            <w:pPr>
              <w:ind w:left="350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sz w:val="20"/>
                <w:szCs w:val="20"/>
                <w:color w:val="auto"/>
              </w:rPr>
            </w:pPr>
            <w:r>
              <w:rPr>
                <w:rFonts w:ascii="Arial" w:cs="Arial" w:eastAsia="Arial" w:hAnsi="Arial"/>
                <w:sz w:val="18"/>
                <w:szCs w:val="18"/>
                <w:color w:val="auto"/>
              </w:rPr>
              <w:t>Mine Safety Disclosure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682"/>
        </w:trPr>
        <w:tc>
          <w:tcPr>
            <w:tcW w:w="7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5"/>
          <w:szCs w:val="15"/>
          <w:color w:val="auto"/>
        </w:rPr>
        <w:t>Condensed Consolidated Balance Sheets as of June 30, 2018 (unaudited) and December 31, 2017;</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6"/>
          <w:szCs w:val="16"/>
          <w:color w:val="auto"/>
        </w:rPr>
        <w:t>Condensed Consolidated Statements of Operations for the three and six months ended June 30, 2018 and 2017 (unaudited);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Condensed Consolidated Statements of Cash Flow for the six months ended June 30, 2018 and 2017 (unaudited);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Notes to Condensed Consolidated Financial Statements.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2018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 OF JUNE 30, 2018 AND 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8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02"/>
        </w:trPr>
        <w:tc>
          <w:tcPr>
            <w:tcW w:w="84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12,003,864</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5,122,573</w:t>
            </w: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2,954,782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2,257,276</w:t>
            </w: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 related party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2,555,931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215,108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255,428</w:t>
            </w:r>
          </w:p>
        </w:tc>
      </w:tr>
      <w:tr>
        <w:trPr>
          <w:trHeight w:val="236"/>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17,729,685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4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152,898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167,305</w:t>
            </w:r>
          </w:p>
        </w:tc>
        <w:tc>
          <w:tcPr>
            <w:tcW w:w="100" w:type="dxa"/>
            <w:vAlign w:val="bottom"/>
            <w:tcBorders>
              <w:bottom w:val="single" w:sz="8" w:color="CCEEFF"/>
            </w:tcBorders>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604,820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638,766</w:t>
            </w: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Web development and other intangible costs,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143,730</w:t>
            </w: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Security deposit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5,049</w:t>
            </w:r>
          </w:p>
        </w:tc>
      </w:tr>
      <w:tr>
        <w:trPr>
          <w:trHeight w:val="236"/>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48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18,644,833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9,763,741</w:t>
            </w:r>
          </w:p>
        </w:tc>
      </w:tr>
      <w:tr>
        <w:trPr>
          <w:trHeight w:val="216"/>
        </w:trPr>
        <w:tc>
          <w:tcPr>
            <w:tcW w:w="8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176,940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457,289</w:t>
            </w: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828,540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953,947</w:t>
            </w: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994,142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1,177,136</w:t>
            </w: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447,670</w:t>
            </w: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845,153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507,160</w:t>
            </w:r>
          </w:p>
        </w:tc>
      </w:tr>
      <w:tr>
        <w:trPr>
          <w:trHeight w:val="236"/>
        </w:trPr>
        <w:tc>
          <w:tcPr>
            <w:tcW w:w="8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2,844,775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48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$0.001 par value, 10,000,000 shares authorized, no issued and outstanding at June 30, 2018 or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2017</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$0.001 par value, 166,666,667 shares authorized, 11,556,858 and 9,772,694 shares issued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outstanding at June 30, 2018 and December 31, 2017, respectively</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11,557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 warrants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1,286,424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44,915,896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35,287,464</w:t>
            </w: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(30,413,819)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(30,363,122)</w:t>
            </w: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15,800,058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18,644,833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9,763,741</w:t>
            </w:r>
          </w:p>
        </w:tc>
      </w:tr>
      <w:tr>
        <w:trPr>
          <w:trHeight w:val="21"/>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-5264785</wp:posOffset>
            </wp:positionV>
            <wp:extent cx="7246620" cy="524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24002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For the Three Months Ended</w:t>
            </w:r>
          </w:p>
        </w:tc>
        <w:tc>
          <w:tcPr>
            <w:tcW w:w="200" w:type="dxa"/>
            <w:vAlign w:val="bottom"/>
          </w:tcPr>
          <w:p>
            <w:pPr>
              <w:spacing w:after="0"/>
              <w:rPr>
                <w:sz w:val="19"/>
                <w:szCs w:val="19"/>
                <w:color w:val="auto"/>
              </w:rPr>
            </w:pPr>
          </w:p>
        </w:tc>
        <w:tc>
          <w:tcPr>
            <w:tcW w:w="2360" w:type="dxa"/>
            <w:vAlign w:val="bottom"/>
            <w:gridSpan w:val="7"/>
          </w:tcPr>
          <w:p>
            <w:pPr>
              <w:jc w:val="right"/>
              <w:ind w:right="320"/>
              <w:spacing w:after="0"/>
              <w:rPr>
                <w:sz w:val="20"/>
                <w:szCs w:val="20"/>
                <w:color w:val="auto"/>
              </w:rPr>
            </w:pPr>
            <w:r>
              <w:rPr>
                <w:rFonts w:ascii="Arial" w:cs="Arial" w:eastAsia="Arial" w:hAnsi="Arial"/>
                <w:sz w:val="18"/>
                <w:szCs w:val="18"/>
                <w:color w:val="auto"/>
                <w:w w:val="95"/>
              </w:rPr>
              <w:t>For the Six Months Ended</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rPr>
              <w:t>NET REVENUE</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3,192,138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2,252,222</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5,961,257</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3,652,540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0"/>
                <w:szCs w:val="20"/>
                <w:color w:val="auto"/>
              </w:rPr>
            </w:pPr>
            <w:r>
              <w:rPr>
                <w:rFonts w:ascii="Arial" w:cs="Arial" w:eastAsia="Arial" w:hAnsi="Arial"/>
                <w:sz w:val="18"/>
                <w:szCs w:val="18"/>
                <w:color w:val="auto"/>
              </w:rPr>
              <w:t>Revenue – Related Party</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1,907,336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613,601</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3,250,453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1,365,356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rPr>
              <w:t>TOTAL NET REVENUE</w:t>
            </w: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5,099,474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2,865,823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9,211,710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5,017,896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0"/>
                <w:szCs w:val="20"/>
                <w:color w:val="auto"/>
              </w:rPr>
            </w:pPr>
            <w:r>
              <w:rPr>
                <w:rFonts w:ascii="Arial" w:cs="Arial" w:eastAsia="Arial" w:hAnsi="Arial"/>
                <w:sz w:val="18"/>
                <w:szCs w:val="18"/>
                <w:color w:val="auto"/>
              </w:rPr>
              <w:t>REVENUE SHARE EXPENSE</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2,236,751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1,605,534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4,244,842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2,987,267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180"/>
              <w:spacing w:after="0" w:line="201" w:lineRule="exact"/>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2,862,723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1,260,289</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4,966,868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2,030,629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2,589,126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1,630,853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4,884,467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3,291,631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273,597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(370,564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(1,261,002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9,063</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ind w:left="180"/>
              <w:spacing w:after="0"/>
              <w:rPr>
                <w:sz w:val="20"/>
                <w:szCs w:val="20"/>
                <w:color w:val="auto"/>
              </w:rPr>
            </w:pPr>
            <w:r>
              <w:rPr>
                <w:rFonts w:ascii="Arial" w:cs="Arial" w:eastAsia="Arial" w:hAnsi="Arial"/>
                <w:sz w:val="18"/>
                <w:szCs w:val="18"/>
                <w:color w:val="auto"/>
              </w:rPr>
              <w:t>TOTAL OTHER INCOME (EXPENSE)</w:t>
            </w: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8,929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16,819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280,509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(361,501)</w:t>
            </w: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91,330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(1,244,183)</w:t>
            </w:r>
          </w:p>
        </w:tc>
        <w:tc>
          <w:tcPr>
            <w:tcW w:w="0" w:type="dxa"/>
            <w:vAlign w:val="bottom"/>
          </w:tcPr>
          <w:p>
            <w:pPr>
              <w:spacing w:after="0"/>
              <w:rPr>
                <w:sz w:val="1"/>
                <w:szCs w:val="1"/>
                <w:color w:val="auto"/>
              </w:rPr>
            </w:pPr>
          </w:p>
        </w:tc>
      </w:tr>
      <w:tr>
        <w:trPr>
          <w:trHeight w:val="446"/>
        </w:trPr>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5460" w:type="dxa"/>
            <w:vAlign w:val="bottom"/>
            <w:vMerge w:val="continue"/>
          </w:tcPr>
          <w:p>
            <w:pPr>
              <w:spacing w:after="0"/>
              <w:rPr>
                <w:sz w:val="21"/>
                <w:szCs w:val="21"/>
                <w:color w:val="auto"/>
              </w:rPr>
            </w:pPr>
          </w:p>
        </w:tc>
        <w:tc>
          <w:tcPr>
            <w:tcW w:w="7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280,509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(361,501</w:t>
            </w:r>
          </w:p>
        </w:tc>
        <w:tc>
          <w:tcPr>
            <w:tcW w:w="2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91,330</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(1,244,183</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color w:val="auto"/>
              </w:rPr>
              <w:t>WEIGHTED AVERGE NUMBER OF SHARES OUTSTANDING</w:t>
            </w: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60" w:type="dxa"/>
            <w:vAlign w:val="bottom"/>
          </w:tcPr>
          <w:p>
            <w:pPr>
              <w:ind w:left="18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10,979,086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9,861,257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10,373,326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9,883,648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11,949,593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9,861,257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11,517,604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9,883,648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60" w:type="dxa"/>
            <w:vAlign w:val="bottom"/>
          </w:tcPr>
          <w:p>
            <w:pPr>
              <w:ind w:left="18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71" w:lineRule="exact"/>
              <w:rPr>
                <w:sz w:val="20"/>
                <w:szCs w:val="20"/>
                <w:color w:val="auto"/>
              </w:rPr>
            </w:pPr>
            <w:r>
              <w:rPr>
                <w:rFonts w:ascii="Arial" w:cs="Arial" w:eastAsia="Arial" w:hAnsi="Arial"/>
                <w:sz w:val="16"/>
                <w:szCs w:val="16"/>
                <w:color w:val="auto"/>
              </w:rPr>
              <w:t>(0.04</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(0.13</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546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900" w:type="dxa"/>
            <w:vAlign w:val="bottom"/>
            <w:tcBorders>
              <w:top w:val="single" w:sz="8" w:color="auto"/>
            </w:tcBorders>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211"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For the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91175" cy="5051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505142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8"/>
                <w:szCs w:val="18"/>
                <w:color w:val="auto"/>
              </w:rPr>
              <w:t>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 (loss) for the period</w:t>
            </w:r>
          </w:p>
        </w:tc>
        <w:tc>
          <w:tcPr>
            <w:tcW w:w="1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91,330</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income(loss) to net cash used in operating activities: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108,946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and options issued for services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1,013,822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Changes in:</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(2,079,823)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(280,349)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Revenue share payable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(183,664)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195,966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650,331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(1,218,859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Web development and other intangible costs</w:t>
            </w: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(56,651)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3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(69,244</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(105,949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for cash</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8,169,394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Repurchase of common stock and stock payable</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8,169,394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3" w:lineRule="exact"/>
              <w:rPr>
                <w:sz w:val="20"/>
                <w:szCs w:val="20"/>
                <w:color w:val="auto"/>
              </w:rPr>
            </w:pPr>
            <w:r>
              <w:rPr>
                <w:rFonts w:ascii="Arial" w:cs="Arial" w:eastAsia="Arial" w:hAnsi="Arial"/>
                <w:sz w:val="18"/>
                <w:szCs w:val="18"/>
                <w:color w:val="auto"/>
              </w:rPr>
              <w:t>NET CHANGEIN CASH AND CASH EQUIVALENTS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6,881,291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7"/>
              </w:rPr>
              <w:t>(1,192,045)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5,122,573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7,034,647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AND CASH EQUIVALENTS - END OF PERIOD</w:t>
            </w: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12,003,864</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5,842,602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5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income taxes</w:t>
            </w: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Non-cash issuance of shares to WPP</w:t>
            </w:r>
          </w:p>
        </w:tc>
        <w:tc>
          <w:tcPr>
            <w:tcW w:w="1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-4630420</wp:posOffset>
            </wp:positionV>
            <wp:extent cx="1655445" cy="4605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460502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the ambulatory healthcare providers access to these benefits within their workflow at the point of care.</w:t>
      </w:r>
    </w:p>
    <w:p>
      <w:pPr>
        <w:spacing w:after="0" w:line="17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consolidated financial statements for the three and six months ended June 30, 2018 and 2017, have been prepared by us without audit pursuant to the rules and regulations of the Securities and Exchange Commission (“SEC”). In the opinion of management, all adjustments necessary to present fairly our financial position, results of operations, and cash flows as of June 30, 2018 and 2017, and for the periods then ended, have been made. Those adjustments consist of normal and recurring adjustments. The consolidated balance sheet as of December 31, 2017, has been derived from the audited consolidated balance sheet as of that date.</w:t>
      </w:r>
    </w:p>
    <w:p>
      <w:pPr>
        <w:spacing w:after="0" w:line="18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2017, as filed with the SEC.</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results of operations for the three and six months ended June 30, 2018, are not necessarily indicative of the results to be expected for the full year. Certain reclassifications have been made in our consolidated financial statements for the prior periods to conform to the presentation of our consolidated financial statements for the current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 – NEW FINANCIAL ACCOUNTING STANDARDS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On January 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(“new revenue standard”). We recorded the change, which was immaterial, related to adopting the new revenue standard using the modified retrospective method. Under this method, we recognized the cumulative effect of initially applying the new revenue standard as an adjustment to the opening balance of retained earnings. This results in no restatement of prior periods, which continue to be reported under the accounting standards in effect for those periods. We expect the impact of the adoption of the new revenue standard to continue to be immaterial on an ongoing basis.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applied the new revenue standard to all contracts as of the date of initial application. The overwhelming majority of our revenue continues to be recognized when transactions occur, such as the delivery of a message. We previously recognized revenue related to set-ups when a program launched, and all related activities had been accomplished. Under the new revenue standard, we are recognizing revenue related to these set ups over the term of the initial contract. Since set up fees are generally small relative to the size of the overall contract and because most contracts are for a year or less, the impact of this change is immaterial.</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impact of recording this change as of January 1, 2018 resulted in an increase in deferred revenue of $142,027 at that date and a corresponding decrease in retained earnings as well. The impact of adopting the new revenue standard in 2018 resulted in lower revenues in the six months ended June 30, 2018. Had the new revenue standard not taken effect, our revenues for the period would have been higher by $144,262 and deferred revenues lower by $144,262. Almost all of these revenues are expected to be recognized by December 31, 2018, so the primary effect of the new revenue standard is to shift revenues between quarters by immaterial amounts. The impact of adopting the new revenue standard in 2018 also resulted in lower revenues in the three months ended June 30, 2018. Had the new revenue standard not taken effect, our revenues for the period would have been higher by $26,351.</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May 14, 2018, in connection with our listing on the Nasdaq Capital Markets Exchange, we implemented a reverse split of our common stock by exchanging each three shares of our common stock for one share. The effect of this reverse split is presented in the accompanying financial statements as if it had been effective as off the beginning of the earliest period presented. We elected to round fractional shares up to the nearest whole number rather than redeem them for cash, and as a result we issued 908 additional shares.</w:t>
      </w:r>
    </w:p>
    <w:p>
      <w:pPr>
        <w:spacing w:after="0" w:line="18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Director Compensation Plan calls for issuance of 2,084 shares per quarter to each independent director. In 2018, we issued 6,252 shares valued at $28,875 and 8,336 shares valued at $89,945 for the quarters ended March 31, and June 30, respectively. In 2017, we issued 6,252 shares in each of the quarters ended March 31, 2017 and June 30, 2017, valued at $15,375 and $19,312, respectively.</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quarter ended March 31, 2018, we issued 100,000 shares of common stock to a subsidiary of WPP, one of the world’s largest media companies, and a shareholder, in full payment of all amounts due under a comarketing agreement that covered certain WPP agencies, whereby we shared a portion of our revenue with those agencies related to programs awarded to us by those agencies. The shares were valued at $447,000, the market value of the stock on the date of issuance. The amount due was recorded as a liability in revenue share payable at December 31, 2017.</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quarter ended June 30, 2018, in a private transaction, we issued 1,666,669 shares of our common stock for gross proceeds of $9,000,000. In connection with this transaction, we incurred equity issuance costs of $835,526 related to payments to advisors and legal fees associated with the transaction, resulting in net proceeds to the Company of $8,164,474.</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also issued 2,002 common shares and received proceeds of $4,920 in connection with the exercise of options by a former employee during the quarter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SHARE BASED PAYMENTS – OPTIONS AND STOCK AWARDS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use the fair value method to account for stock-based compensation. We recorded $712,998 and $257,187 in compensation expense in the six months ended June 30, 2018 and 2017,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assumptions used in this model were similar to the assumptions set forth in our Annual Report on Form 10-K for the fiscal year ended December 31, 2017 related to grants in 2017. As also discussed in the 10-K, we increased the shares of common stock authorized under our stock option plan during the quarter to 1,833,333 million shares.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granted 130,000 shares of performance based stock awards during the six months ended June 30, 2018. These shares were valued at their fair market value of $4.20 per share on the date of grant. The grants are currently expected to vest. A total of $182,004 of expense has been recorded related to these grants.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RELATED PARTY TRANSACTIONS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WPP, a large international media conglomerate, owns approximately 18% of our common shares. As described in more detail in Note 3, Stockholders Equity, we issued 100,000 shares of our common stock to a subsidiary of WPP related to the finalization and termination of a co-marketing agreement.</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customers are primarily pharmaceutical companies; however, sometimes their messaging programs are billed through media agencies. Revenues earned on messaging programs billed through media agencies owned by WPP are reflected as related party revenues on our income statement. Amounts due from those same agencies are reflected as related party accounts receivable on the balance sheet since their parent company owns a minority portion of our common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NET INCOME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sets forth the computation of basic and diluted net income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40" w:type="dxa"/>
            <w:vAlign w:val="bottom"/>
            <w:gridSpan w:val="7"/>
          </w:tcPr>
          <w:p>
            <w:pPr>
              <w:jc w:val="right"/>
              <w:ind w:right="6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8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280,509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71" w:lineRule="exact"/>
              <w:rPr>
                <w:sz w:val="20"/>
                <w:szCs w:val="20"/>
                <w:color w:val="auto"/>
              </w:rPr>
            </w:pPr>
            <w:r>
              <w:rPr>
                <w:rFonts w:ascii="Arial" w:cs="Arial" w:eastAsia="Arial" w:hAnsi="Arial"/>
                <w:sz w:val="16"/>
                <w:szCs w:val="16"/>
                <w:color w:val="auto"/>
              </w:rPr>
              <w:t>(361,501</w:t>
            </w:r>
            <w:r>
              <w:rPr>
                <w:rFonts w:ascii="Arial" w:cs="Arial" w:eastAsia="Arial" w:hAnsi="Arial"/>
                <w:sz w:val="31"/>
                <w:szCs w:val="31"/>
                <w:color w:val="auto"/>
                <w:vertAlign w:val="superscript"/>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91,330</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(1,244,183</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w w:val="92"/>
              </w:rPr>
              <w:t>Weighted average shares outstanding used in computing net income (loss) per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840" w:type="dxa"/>
            <w:vAlign w:val="bottom"/>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10,979,086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9,861,257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10,373,326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9,883,648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warrants, and stock grants</w:t>
            </w:r>
          </w:p>
        </w:tc>
        <w:tc>
          <w:tcPr>
            <w:tcW w:w="2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970,507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1,144,278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11,949,593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9,861,257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11,517,604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9,883,648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4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71" w:lineRule="exact"/>
              <w:rPr>
                <w:sz w:val="20"/>
                <w:szCs w:val="20"/>
                <w:color w:val="auto"/>
              </w:rPr>
            </w:pPr>
            <w:r>
              <w:rPr>
                <w:rFonts w:ascii="Arial" w:cs="Arial" w:eastAsia="Arial" w:hAnsi="Arial"/>
                <w:sz w:val="16"/>
                <w:szCs w:val="16"/>
                <w:color w:val="auto"/>
              </w:rPr>
              <w:t>(0.04</w:t>
            </w:r>
            <w:r>
              <w:rPr>
                <w:rFonts w:ascii="Arial" w:cs="Arial" w:eastAsia="Arial" w:hAnsi="Arial"/>
                <w:sz w:val="31"/>
                <w:szCs w:val="31"/>
                <w:color w:val="auto"/>
                <w:vertAlign w:val="superscript"/>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(0.13</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58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900" w:type="dxa"/>
            <w:vAlign w:val="bottom"/>
            <w:tcBorders>
              <w:top w:val="single" w:sz="8" w:color="auto"/>
            </w:tcBorders>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SUBSEQUENT EVENTS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July 2018, we issued 34,656 shares of common stock and received proceeds of $104,581 in connection with the exercise of options by former consultants and a former employee. In addition, in July 2018, we issued 46,032 shares of our common stock in connection with the cashless exercise of 70,842 warrants that were issued in March 2014 and would have otherwise expired in March 2019.</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July, 2018</w:t>
      </w:r>
    </w:p>
    <w:p>
      <w:pPr>
        <w:spacing w:after="0" w:line="225" w:lineRule="exact"/>
        <w:rPr>
          <w:sz w:val="20"/>
          <w:szCs w:val="20"/>
          <w:color w:val="auto"/>
        </w:rPr>
      </w:pPr>
    </w:p>
    <w:p>
      <w:pPr>
        <w:ind w:left="700" w:hanging="341"/>
        <w:spacing w:after="0" w:line="25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 revenue for the first six months of 2018 was $9.2 million, up 84% over the same period in 2017. The increase is attributable to financial and brand messaging growth from new and returning clients.</w:t>
      </w:r>
    </w:p>
    <w:p>
      <w:pPr>
        <w:spacing w:after="0" w:line="1"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 revenue for the second quarter of 2018 was $5.1 million, an increase of 78% versus the same quarter in 2017.</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completed a 1 for 3 reverse stock split in May 2018, and up-listed our stock to the Nasdaq Capital Markets in June 2018.</w:t>
      </w:r>
    </w:p>
    <w:p>
      <w:pPr>
        <w:spacing w:after="0" w:line="9" w:lineRule="exact"/>
        <w:rPr>
          <w:rFonts w:ascii="Arial" w:cs="Arial" w:eastAsia="Arial" w:hAnsi="Arial"/>
          <w:sz w:val="18"/>
          <w:szCs w:val="18"/>
          <w:color w:val="auto"/>
        </w:rPr>
      </w:pPr>
    </w:p>
    <w:p>
      <w:pPr>
        <w:ind w:left="700" w:right="140" w:hanging="341"/>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raised $9.0 million in a private placement of common stock with two established institutional investors, which solidified our balance sheet and provided capital to further grow our business.</w:t>
      </w:r>
    </w:p>
    <w:p>
      <w:pPr>
        <w:ind w:left="700" w:right="360" w:hanging="341"/>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expanded our board of directors, adding two new independent directors, Patrick Spangler and Bryan Archambault, as well as established an audit committee to further improve our corporate governance.</w:t>
      </w:r>
    </w:p>
    <w:p>
      <w:pPr>
        <w:ind w:left="700" w:right="560" w:hanging="341"/>
        <w:spacing w:after="0" w:line="26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continued to focus on adding additional brands for existing clients, providing new solutions, expanding the utilization of our network for existing brands, and obtaining new pharmaceutical manufacturer clients and advertising agencies.</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success in acquiring, integrating and expanding into new electronic health record (EHR) and electronic prescribing (eRx) platforms continues to grow. For the remainder of 2018, we expect to expand our reach to physicians, pharmacies and patients, and also increase the utilization of our existing partners as they improve their work flow and reach. With the growth of both our pharmaceutical products and our distribution network, we expect that our financial, brand, and clinical messaging will continue to increase and show strong growth throughout the year.</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total net revenue for the three months ended June 30, 2018 was approximately $5.1 million, an increase of 78% over the approximately $2.9 million from the same period in 2017. Our total net revenue for the six months ended June 30, 2018 was approximately $9.2 million, an increase of 84% over the approximately $5.0 million from the same period in 2017. The increase in both periods was due primarily to increases in our brand messaging products, as well as expanded distribution channels for our financial messaging. Additionally, the launch of new pharmaceutical brands, which total over 100 between financial and brand messaging, also contributed to the increase.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do not breakout revenue by service at this stage, but as we achieve greater scale we plan to determine the best way to present the growth by service. As described in greater detail in Note 2 to the financial statements, we adopted the new revenue standard during the quarter ended March 31, 2018. The effect of that, which was immaterial, was to decrease our revenue by approximately $26,000 during the quarter and by approximately $142,000 for the six-month period. Virtually all of that revenue, however, will be recognized throughout the remainder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cost of revenues, comprised primarily of revenue share expense, increased in the three and six months ended June 30, 2018 over the same periods in 2017 as a result of the revenue increases. However, as a percentage of revenues, cost of revenues decreased in 2018 over 2017 as reflected in the table below. This decrease in our cost of revenue percentages is primarily the result of our focus on reducing revenue share percentages on our financial messaging and the launch of our brand messaging in 2017. During the launch period in 2017, we had only nominal margins on these products, but by 2018 we had achieved greater scale on these products, resulting in normal margin and an overall increase in margin.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16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87"/>
              </w:rPr>
              <w:t>June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4"/>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gridSpan w:val="2"/>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 %</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43.9%</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56.0%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56.1%</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866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gross margins improved from 2017 to 2018 in both the three and six month periods ended June 30 for the similar reasons mentioned in the discussion of cost of revenues above. We have been focused on improving our margins and were targeting a gross margin of at least 55% by the fourth quarter of 2018. We achieved that goal ahead of schedule in the recently completed second quarter and are now focused on maintaining, or improving, those margins. Our overall margin is impacted by product mix, so there may be variations in margin from quarter to quarter, depending on the product mix, introduction of new products, and other factors.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expenses increased from approximately $1.6 million for the three months ended June 30, 2017 to approximately $2.6 million for the same period in 2018. Operating expenses increased from approximately $3.3 million for the six months ended June 30, 2017 to approximately $4.9 million for the same period in 2018. The detail by major category is reflected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1,306,689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882,646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2,516,986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516,700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162,431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1,013,822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51,448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179,399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Board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33,375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18,750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58,625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22,758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52,865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Consultants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29,809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100,661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39,809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37,177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118,728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54,473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70,973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108,945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Maintenance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88,267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325,312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Integration Incentives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40,626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61,500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81,252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Office, Facility, and other</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154,165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226,972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Travel and Entertainment</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92,939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62,497</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161,752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2,589,126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1,630,853</w:t>
            </w:r>
          </w:p>
        </w:tc>
        <w:tc>
          <w:tcPr>
            <w:tcW w:w="2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4,884,467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3,291,631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258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581275"/>
                    </a:xfrm>
                    <a:prstGeom prst="rect">
                      <a:avLst/>
                    </a:prstGeom>
                    <a:noFill/>
                  </pic:spPr>
                </pic:pic>
              </a:graphicData>
            </a:graphic>
          </wp:anchor>
        </w:drawing>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largest increases in operating expenses related to salaries, wages, and benefits and other human resource-related costs. Since the beginning of the first quarter of 2017, we have appointed a new president, a new VP of engineering and two new vice presidents of sales, as well as hired a new account manager and related technical and administrative support. These new team members also resulted in increases in benefits, payroll taxes, travel, and stock compensation. We also implemented new incentive compensation plans for our sales force that increased their incentive compensation. In addition, virtually all of our incentive compensation is tied to revenue and the strong revenue growth in 2018 resulted in increased incentive compensation. The increased stock-based compensation results from the acceleration of vesting of previously granted options as well as the grant of options during the period related to achievement of performance-based goals. The expense related to stock compensation is also correlated to our stock price and the increase in our stock price results in an increase in stock compensation expense. We expect stock-based compensation to remain at similar levels on a quarterly basis for the balance of the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4"/>
          </w:tcPr>
          <w:p>
            <w:pPr>
              <w:spacing w:after="0"/>
              <w:rPr>
                <w:sz w:val="20"/>
                <w:szCs w:val="20"/>
                <w:color w:val="auto"/>
              </w:rPr>
            </w:pPr>
            <w:r>
              <w:rPr>
                <w:rFonts w:ascii="Arial" w:cs="Arial" w:eastAsia="Arial" w:hAnsi="Arial"/>
                <w:sz w:val="18"/>
                <w:szCs w:val="18"/>
                <w:color w:val="auto"/>
                <w:w w:val="92"/>
              </w:rPr>
              <w:t>As reflected in the table below, our operating expenses decreased as a percentage of overall revenue.</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594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8"/>
                <w:szCs w:val="18"/>
                <w:color w:val="auto"/>
                <w:w w:val="87"/>
              </w:rPr>
              <w:t>Three months ended</w:t>
            </w:r>
          </w:p>
        </w:tc>
        <w:tc>
          <w:tcPr>
            <w:tcW w:w="268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Six months ended</w:t>
            </w:r>
          </w:p>
        </w:tc>
      </w:tr>
      <w:tr>
        <w:trPr>
          <w:trHeight w:val="237"/>
        </w:trPr>
        <w:tc>
          <w:tcPr>
            <w:tcW w:w="594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7"/>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4"/>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9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w w:val="93"/>
              </w:rPr>
              <w:t>Operating expense as a percentage of revenue, excluding litigation settlements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65.6%</w:t>
            </w:r>
          </w:p>
        </w:tc>
      </w:tr>
    </w:tbl>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expect our overall operating expenses to continue to increase slightly on a quarter to quarter basis as we further implement our business plan and expand our operations to grow the business in a very dynamic and active marketplace; however, we expect operating expense as a percentage of revenue to continue to decrease.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had net income of approximately $280,000 for the three months ended June 30, 2018 as compared to a loss of approximately $362,000 during the same period in 2017. Our net income for the six months ended June 30, 2018 was approximately $91,000, as compared to a loss of approximately $1.2 million during the same period in 2017. The reasons for specific components are discussed above, however our increased revenues have resulted in us achieving profitability. We expect to continue to be profitable on a quarterly basis, although in any particular quarter, one-time expenses related to growth initiatives could result in a loss for a particular quarter.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2018, we had total current assets of approximately $17.7 million, compared with current liabilities of approximately $2.8 million, resulting in working capital of approximately $14.9 million and a current ratio of approximately 6.2 to 1. This was an improvement from working capital of approximately $5.3 million and a current ratio of 2.5 to 1 at December 31, 2017.</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operating activities used approximately $1.2 million in cash during the six months ended June 30, 2018, compared to approximately $700,000 in the same period in 2017. The cash used in the 2017 period was the result of our net loss, partially offset by working capital management. The cash used in the 2018 period was primarily the result of our significant increase in revenues, resulting in a significantly larger amount of accounts receivable. We also had a change in payment terms for one of our key partners, which resulted in a reduction of our revenue share payable, as well as payment of certain year-end liabilities that occurred in 2018. We expect to have positive cash flow from operations on a quarterly basis for the balance of the year.</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used insignificant amounts in investing activities in the six months ended June 30, 2018, and 2017. These investments related to purchases of equipment as well as investments related to the expansion of our network capabilities.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had cash provided from financing activities of approximately $8.2 million during the six months ended June 30, 2018, compared with cash used of $390,000 in the same period in 2017. During that period, we issued 1.667 million shares of our common stock for gross proceeds of $9.0 million and approximate net proceeds of $8.2 million. In addition, as discussed in Note 3, we issued 100,000 shares valued at $447,000 in a non-cash transaction in payment of revenue share due under a comarketing agreement and the accompanying termination of the agreement. We used cash in financing activities in the same period in 2017 for the repurchase of shares held by our previous CEO.</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With the additional capital that we raised this year, 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activities, we may have opportunities, such as for acquisitions or strategic partner relationships, which may require additional capital. We will assess these opportunities as they arise with the view of maximizing shareholder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2017;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As described in greater detail in Note 2,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of the related amendments, which had an immaterial impact on our financial statements.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this evaluation, our Chief Executive Officer and Chief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relating to the our company, including, our consolidated subsidiary, and was made known to them by others within those entities, particularly during the period when this report was being prepared.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six months ended June 30,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the Company’s Annual Report on Form 10-K for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issued 6,252 and 8,336 shares of common stock in March 2018 and June 2018, respectively, to our independent directors in connection with our Director Compensation Plan.</w:t>
      </w:r>
    </w:p>
    <w:p>
      <w:pPr>
        <w:spacing w:after="0" w:line="17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In May 2018, we issued an aggregate of 1,666,669 shares of our common stock, par value $0.001 per share for $5.40 per share, or gross proceeds of $9,000,000. The net proceeds of the offering of approximately $8.2 million will be used for working capital purposes.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20" w:type="dxa"/>
            <w:vAlign w:val="bottom"/>
          </w:tcPr>
          <w:p>
            <w:pPr>
              <w:spacing w:after="0"/>
              <w:rPr>
                <w:sz w:val="15"/>
                <w:szCs w:val="15"/>
                <w:color w:val="auto"/>
              </w:rPr>
            </w:pPr>
          </w:p>
        </w:tc>
        <w:tc>
          <w:tcPr>
            <w:tcW w:w="10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260" w:type="dxa"/>
            <w:vAlign w:val="bottom"/>
            <w:tcBorders>
              <w:top w:val="single" w:sz="8" w:color="auto"/>
            </w:tcBorders>
            <w:gridSpan w:val="6"/>
          </w:tcPr>
          <w:p>
            <w:pPr>
              <w:spacing w:after="0" w:line="17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Certification of Chief Executive Officer pursuant to 18 U.S.C. Section 1350, as adopted pursuant to Section 302 of the Sarbanes-Oxley Act of</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2002</w:t>
              </w:r>
            </w:hyperlink>
          </w:p>
        </w:tc>
        <w:tc>
          <w:tcPr>
            <w:tcW w:w="2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10260" w:type="dxa"/>
            <w:vAlign w:val="bottom"/>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Certification of Chief Financial Officer pursuant to 18 U.S.C. Section 1350, as adopted pursuant to Section 302 of the Sarbanes-Oxley Act of</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2002</w:t>
              </w:r>
            </w:hyperlink>
          </w:p>
        </w:tc>
        <w:tc>
          <w:tcPr>
            <w:tcW w:w="2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101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Certification of Chief Executive Officer and Chief Financial Officer pursuant to 18 U.S.C. Section 1350, as adopted pursuant to Section 906</w:t>
              </w:r>
            </w:hyperlink>
          </w:p>
        </w:tc>
        <w:tc>
          <w:tcPr>
            <w:tcW w:w="1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of the Sarbanes-Oxley Act of 2002</w:t>
              </w:r>
            </w:hyperlink>
          </w:p>
        </w:tc>
        <w:tc>
          <w:tcPr>
            <w:tcW w:w="7740" w:type="dxa"/>
            <w:vAlign w:val="bottom"/>
            <w:gridSpan w:val="4"/>
          </w:tcPr>
          <w:p>
            <w:pPr>
              <w:spacing w:after="0"/>
              <w:rPr>
                <w:sz w:val="17"/>
                <w:szCs w:val="17"/>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w w:val="94"/>
              </w:rPr>
              <w:t>The following materials from the Company’s Quarterly Report on Form 10-Q for the quarter ended June 30, 2018 formatted in Extensible</w:t>
            </w:r>
          </w:p>
        </w:tc>
      </w:tr>
    </w:tbl>
    <w:p>
      <w:pPr>
        <w:ind w:left="1160"/>
        <w:spacing w:after="0"/>
        <w:rPr>
          <w:sz w:val="20"/>
          <w:szCs w:val="20"/>
          <w:color w:val="auto"/>
        </w:rPr>
      </w:pPr>
      <w:r>
        <w:rPr>
          <w:rFonts w:ascii="Arial" w:cs="Arial" w:eastAsia="Arial" w:hAnsi="Arial"/>
          <w:sz w:val="18"/>
          <w:szCs w:val="18"/>
          <w:color w:val="auto"/>
        </w:rPr>
        <w:t>Business Reporting Language (XBRL).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Provided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August 7,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color w:val="auto"/>
              </w:rPr>
              <w:t>Will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August 7,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Febbo, certify that;</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2018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12"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2018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2018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August 7,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August 7,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2019-12-28T20:44:37Z</dcterms:created>
  <dcterms:modified xsi:type="dcterms:W3CDTF">2019-12-28T20:44:37Z</dcterms:modified>
</cp:coreProperties>
</file>