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62" w:lineRule="exact"/>
        <w:rPr>
          <w:sz w:val="24"/>
          <w:szCs w:val="24"/>
          <w:color w:val="auto"/>
        </w:rPr>
      </w:pPr>
    </w:p>
    <w:p>
      <w:pPr>
        <w:jc w:val="center"/>
        <w:ind w:left="3980" w:right="1640" w:hanging="2340"/>
        <w:spacing w:after="0" w:line="403" w:lineRule="auto"/>
        <w:tabs>
          <w:tab w:leader="none" w:pos="1842"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UNDER SECTION 13 OR 15(d) OF THE SECURITIES EXCHANGE ACT OF 1934 For the fiscal year ended </w:t>
      </w:r>
      <w:r>
        <w:rPr>
          <w:rFonts w:ascii="Arial" w:cs="Arial" w:eastAsia="Arial" w:hAnsi="Arial"/>
          <w:sz w:val="18"/>
          <w:szCs w:val="18"/>
          <w:b w:val="1"/>
          <w:bCs w:val="1"/>
          <w:color w:val="auto"/>
        </w:rPr>
        <w:t>December 31, 2020</w:t>
      </w:r>
    </w:p>
    <w:p>
      <w:pPr>
        <w:spacing w:after="0" w:line="33" w:lineRule="exact"/>
        <w:rPr>
          <w:rFonts w:ascii="MS PGothic" w:cs="MS PGothic" w:eastAsia="MS PGothic" w:hAnsi="MS PGothic"/>
          <w:sz w:val="18"/>
          <w:szCs w:val="18"/>
          <w:color w:val="auto"/>
        </w:rPr>
      </w:pPr>
    </w:p>
    <w:p>
      <w:pPr>
        <w:jc w:val="center"/>
        <w:ind w:left="3660" w:right="1480" w:hanging="2180"/>
        <w:spacing w:after="0" w:line="420" w:lineRule="auto"/>
        <w:tabs>
          <w:tab w:leader="none" w:pos="169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 For the transition period from _________ to ________</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001-38543</w:t>
      </w:r>
    </w:p>
    <w:p>
      <w:pPr>
        <w:spacing w:after="0" w:line="15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56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0"/>
              </w:rPr>
              <w:t>Nevada</w:t>
            </w:r>
          </w:p>
        </w:tc>
        <w:tc>
          <w:tcPr>
            <w:tcW w:w="3680" w:type="dxa"/>
            <w:vAlign w:val="bottom"/>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5520" w:type="dxa"/>
            <w:vAlign w:val="bottom"/>
            <w:tcBorders>
              <w:top w:val="single" w:sz="8" w:color="auto"/>
            </w:tcBorders>
          </w:tcPr>
          <w:p>
            <w:pPr>
              <w:ind w:left="1700"/>
              <w:spacing w:after="0" w:line="201"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ind w:left="30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7560" w:type="dxa"/>
            <w:vAlign w:val="bottom"/>
            <w:gridSpan w:val="3"/>
          </w:tcPr>
          <w:p>
            <w:pPr>
              <w:jc w:val="center"/>
              <w:ind w:right="2040"/>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tcPr>
          <w:p>
            <w:pPr>
              <w:jc w:val="center"/>
              <w:ind w:right="17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5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1"/>
              </w:rPr>
              <w:t>400 Water Street, Ste. 200</w:t>
            </w:r>
          </w:p>
        </w:tc>
        <w:tc>
          <w:tcPr>
            <w:tcW w:w="3680" w:type="dxa"/>
            <w:vAlign w:val="bottom"/>
          </w:tcPr>
          <w:p>
            <w:pPr>
              <w:spacing w:after="0"/>
              <w:rPr>
                <w:sz w:val="24"/>
                <w:szCs w:val="24"/>
                <w:color w:val="auto"/>
              </w:rPr>
            </w:pPr>
          </w:p>
        </w:tc>
      </w:tr>
      <w:tr>
        <w:trPr>
          <w:trHeight w:val="241"/>
        </w:trPr>
        <w:tc>
          <w:tcPr>
            <w:tcW w:w="75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1"/>
              </w:rPr>
              <w:t>Rochester, MI</w:t>
            </w:r>
          </w:p>
        </w:tc>
        <w:tc>
          <w:tcPr>
            <w:tcW w:w="368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3680" w:type="dxa"/>
            <w:vAlign w:val="bottom"/>
            <w:tcBorders>
              <w:top w:val="single" w:sz="8" w:color="auto"/>
            </w:tcBorders>
          </w:tcPr>
          <w:p>
            <w:pPr>
              <w:jc w:val="center"/>
              <w:ind w:right="1710"/>
              <w:spacing w:after="0"/>
              <w:rPr>
                <w:sz w:val="20"/>
                <w:szCs w:val="20"/>
                <w:color w:val="auto"/>
              </w:rPr>
            </w:pPr>
            <w:r>
              <w:rPr>
                <w:rFonts w:ascii="Arial" w:cs="Arial" w:eastAsia="Arial" w:hAnsi="Arial"/>
                <w:sz w:val="18"/>
                <w:szCs w:val="18"/>
                <w:color w:val="auto"/>
                <w:w w:val="94"/>
              </w:rPr>
              <w:t>(Zip Code)</w:t>
            </w:r>
          </w:p>
        </w:tc>
      </w:tr>
      <w:tr>
        <w:trPr>
          <w:trHeight w:val="350"/>
        </w:trPr>
        <w:tc>
          <w:tcPr>
            <w:tcW w:w="7560" w:type="dxa"/>
            <w:vAlign w:val="bottom"/>
            <w:gridSpan w:val="3"/>
          </w:tcPr>
          <w:p>
            <w:pPr>
              <w:ind w:left="3960"/>
              <w:spacing w:after="0"/>
              <w:rPr>
                <w:sz w:val="20"/>
                <w:szCs w:val="20"/>
                <w:color w:val="auto"/>
              </w:rPr>
            </w:pPr>
            <w:r>
              <w:rPr>
                <w:rFonts w:ascii="Arial" w:cs="Arial" w:eastAsia="Arial" w:hAnsi="Arial"/>
                <w:sz w:val="18"/>
                <w:szCs w:val="18"/>
                <w:color w:val="auto"/>
                <w:w w:val="97"/>
              </w:rPr>
              <w:t xml:space="preserve">Registrant’s telephone number: </w:t>
            </w:r>
            <w:r>
              <w:rPr>
                <w:rFonts w:ascii="Arial" w:cs="Arial" w:eastAsia="Arial" w:hAnsi="Arial"/>
                <w:sz w:val="18"/>
                <w:szCs w:val="18"/>
                <w:b w:val="1"/>
                <w:bCs w:val="1"/>
                <w:color w:val="auto"/>
                <w:w w:val="97"/>
              </w:rPr>
              <w:t>248-651-6568</w:t>
            </w:r>
          </w:p>
        </w:tc>
        <w:tc>
          <w:tcPr>
            <w:tcW w:w="3680" w:type="dxa"/>
            <w:vAlign w:val="bottom"/>
          </w:tcPr>
          <w:p>
            <w:pPr>
              <w:spacing w:after="0"/>
              <w:rPr>
                <w:sz w:val="24"/>
                <w:szCs w:val="24"/>
                <w:color w:val="auto"/>
              </w:rPr>
            </w:pP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12(b) of the Exchange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p>
        </w:tc>
        <w:tc>
          <w:tcPr>
            <w:tcW w:w="4240" w:type="dxa"/>
            <w:vAlign w:val="bottom"/>
            <w:gridSpan w:val="3"/>
          </w:tcPr>
          <w:p>
            <w:pPr>
              <w:jc w:val="center"/>
              <w:ind w:right="1700"/>
              <w:spacing w:after="0"/>
              <w:rPr>
                <w:sz w:val="20"/>
                <w:szCs w:val="20"/>
                <w:color w:val="auto"/>
              </w:rPr>
            </w:pPr>
            <w:r>
              <w:rPr>
                <w:rFonts w:ascii="Arial" w:cs="Arial" w:eastAsia="Arial" w:hAnsi="Arial"/>
                <w:sz w:val="18"/>
                <w:szCs w:val="18"/>
                <w:color w:val="auto"/>
                <w:w w:val="90"/>
              </w:rPr>
              <w:t>Title of each class</w:t>
            </w:r>
          </w:p>
        </w:tc>
        <w:tc>
          <w:tcPr>
            <w:tcW w:w="550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150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 xml:space="preserve">Common Stock, par value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0.001</w:t>
            </w:r>
          </w:p>
        </w:tc>
        <w:tc>
          <w:tcPr>
            <w:tcW w:w="1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2"/>
          </w:tcPr>
          <w:p>
            <w:pPr>
              <w:jc w:val="center"/>
              <w:ind w:right="1840"/>
              <w:spacing w:after="0" w:line="176" w:lineRule="exact"/>
              <w:rPr>
                <w:sz w:val="20"/>
                <w:szCs w:val="20"/>
                <w:color w:val="auto"/>
              </w:rPr>
            </w:pPr>
            <w:r>
              <w:rPr>
                <w:rFonts w:ascii="Arial" w:cs="Arial" w:eastAsia="Arial" w:hAnsi="Arial"/>
                <w:sz w:val="18"/>
                <w:szCs w:val="18"/>
                <w:b w:val="1"/>
                <w:bCs w:val="1"/>
                <w:color w:val="auto"/>
                <w:w w:val="94"/>
              </w:rPr>
              <w:t>Nasdaq Capital Market</w:t>
            </w:r>
          </w:p>
        </w:tc>
      </w:tr>
      <w:tr>
        <w:trPr>
          <w:trHeight w:val="20"/>
        </w:trPr>
        <w:tc>
          <w:tcPr>
            <w:tcW w:w="15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111" w:lineRule="exact"/>
        <w:rPr>
          <w:sz w:val="24"/>
          <w:szCs w:val="24"/>
          <w:color w:val="auto"/>
        </w:rPr>
      </w:pPr>
    </w:p>
    <w:p>
      <w:pPr>
        <w:ind w:right="1640"/>
        <w:spacing w:after="0" w:line="32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5601335</wp:posOffset>
            </wp:positionH>
            <wp:positionV relativeFrom="paragraph">
              <wp:posOffset>-365760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-365760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-133985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6003925</wp:posOffset>
            </wp:positionH>
            <wp:positionV relativeFrom="paragraph">
              <wp:posOffset>-133985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1785620</wp:posOffset>
            </wp:positionH>
            <wp:positionV relativeFrom="paragraph">
              <wp:posOffset>-133350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-133350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wp:posOffset>
            </wp:positionH>
            <wp:positionV relativeFrom="paragraph">
              <wp:posOffset>-133350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-133350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Large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-71755</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Emerging growth company</w:t>
      </w:r>
    </w:p>
    <w:p>
      <w:pPr>
        <w:spacing w:after="0" w:line="165" w:lineRule="exact"/>
        <w:rPr>
          <w:sz w:val="24"/>
          <w:szCs w:val="24"/>
          <w:color w:val="auto"/>
        </w:rPr>
      </w:pPr>
    </w:p>
    <w:p>
      <w:pPr>
        <w:sectPr>
          <w:pgSz w:w="11900" w:h="16838" w:orient="portrait"/>
          <w:cols w:equalWidth="0" w:num="2">
            <w:col w:w="4900" w:space="720"/>
            <w:col w:w="5620"/>
          </w:cols>
          <w:pgMar w:left="320" w:top="517" w:right="339" w:bottom="1440" w:gutter="0" w:footer="0" w:header="0"/>
          <w:type w:val="continuous"/>
        </w:sect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5427980</wp:posOffset>
            </wp:positionH>
            <wp:positionV relativeFrom="paragraph">
              <wp:posOffset>-86360</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-86360</wp:posOffset>
            </wp:positionV>
            <wp:extent cx="86995" cy="88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$185,090,055</w:t>
      </w:r>
    </w:p>
    <w:p>
      <w:pPr>
        <w:spacing w:after="0" w:line="11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16,806,637 common shares as of March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9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17"/>
                <w:szCs w:val="17"/>
                <w:color w:val="auto"/>
              </w:rPr>
            </w:pPr>
          </w:p>
        </w:tc>
      </w:tr>
      <w:tr>
        <w:trPr>
          <w:trHeight w:val="460"/>
        </w:trPr>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r>
      <w:tr>
        <w:trPr>
          <w:trHeight w:val="432"/>
        </w:trPr>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920" w:type="dxa"/>
            <w:vAlign w:val="bottom"/>
            <w:gridSpan w:val="2"/>
          </w:tcPr>
          <w:p>
            <w:pPr>
              <w:jc w:val="center"/>
              <w:ind w:right="3980"/>
              <w:spacing w:after="0"/>
              <w:rPr>
                <w:rFonts w:ascii="Arial" w:cs="Arial" w:eastAsia="Arial" w:hAnsi="Arial"/>
                <w:sz w:val="18"/>
                <w:szCs w:val="18"/>
                <w:u w:val="single" w:color="auto"/>
                <w:color w:val="0000EE"/>
                <w:w w:val="92"/>
              </w:rPr>
            </w:pPr>
            <w:hyperlink w:anchor="page3">
              <w:r>
                <w:rPr>
                  <w:rFonts w:ascii="Arial" w:cs="Arial" w:eastAsia="Arial" w:hAnsi="Arial"/>
                  <w:sz w:val="18"/>
                  <w:szCs w:val="18"/>
                  <w:u w:val="single" w:color="auto"/>
                  <w:color w:val="0000EE"/>
                  <w:w w:val="92"/>
                </w:rPr>
                <w:t>PART I</w:t>
              </w:r>
            </w:hyperlink>
          </w:p>
        </w:tc>
        <w:tc>
          <w:tcPr>
            <w:tcW w:w="66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Unresolved Staff Comments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Properties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Legal Proceedings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Mine Safety Disclosures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432"/>
        </w:trPr>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920" w:type="dxa"/>
            <w:vAlign w:val="bottom"/>
            <w:gridSpan w:val="2"/>
          </w:tcPr>
          <w:p>
            <w:pPr>
              <w:jc w:val="center"/>
              <w:ind w:right="4000"/>
              <w:spacing w:after="0"/>
              <w:rPr>
                <w:rFonts w:ascii="Arial" w:cs="Arial" w:eastAsia="Arial" w:hAnsi="Arial"/>
                <w:sz w:val="18"/>
                <w:szCs w:val="18"/>
                <w:u w:val="single" w:color="auto"/>
                <w:color w:val="0000EE"/>
                <w:w w:val="95"/>
              </w:rPr>
            </w:pPr>
            <w:hyperlink w:anchor="page17">
              <w:r>
                <w:rPr>
                  <w:rFonts w:ascii="Arial" w:cs="Arial" w:eastAsia="Arial" w:hAnsi="Arial"/>
                  <w:sz w:val="18"/>
                  <w:szCs w:val="18"/>
                  <w:u w:val="single" w:color="auto"/>
                  <w:color w:val="0000EE"/>
                  <w:w w:val="95"/>
                </w:rPr>
                <w:t>PART II</w:t>
              </w:r>
            </w:hyperlink>
          </w:p>
        </w:tc>
        <w:tc>
          <w:tcPr>
            <w:tcW w:w="66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Market for Registrant’s Common Equity and Related Stockholder Matters and Issuer Purchases of Equity Securities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Selected Financial Data</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Financial Statements and Supplementary Data</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Changes In and Disagreements With Accountants on Accounting and Financial Disclosure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Controls and Procedures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9680" w:type="dxa"/>
            <w:vAlign w:val="bottom"/>
            <w:gridSpan w:val="3"/>
          </w:tcPr>
          <w:p>
            <w:pPr>
              <w:ind w:left="240"/>
              <w:spacing w:after="0"/>
              <w:rPr>
                <w:sz w:val="20"/>
                <w:szCs w:val="20"/>
                <w:color w:val="auto"/>
              </w:rPr>
            </w:pPr>
            <w:r>
              <w:rPr>
                <w:rFonts w:ascii="Arial" w:cs="Arial" w:eastAsia="Arial" w:hAnsi="Arial"/>
                <w:sz w:val="18"/>
                <w:szCs w:val="18"/>
                <w:color w:val="auto"/>
              </w:rPr>
              <w:t>Other Information</w:t>
            </w:r>
          </w:p>
        </w:tc>
        <w:tc>
          <w:tcPr>
            <w:tcW w:w="66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920" w:type="dxa"/>
            <w:vAlign w:val="bottom"/>
            <w:gridSpan w:val="2"/>
          </w:tcPr>
          <w:p>
            <w:pPr>
              <w:jc w:val="center"/>
              <w:ind w:right="3980"/>
              <w:spacing w:after="0"/>
              <w:rPr>
                <w:rFonts w:ascii="Arial" w:cs="Arial" w:eastAsia="Arial" w:hAnsi="Arial"/>
                <w:sz w:val="18"/>
                <w:szCs w:val="18"/>
                <w:u w:val="single" w:color="auto"/>
                <w:color w:val="0000EE"/>
                <w:w w:val="96"/>
              </w:rPr>
            </w:pPr>
            <w:hyperlink w:anchor="page57">
              <w:r>
                <w:rPr>
                  <w:rFonts w:ascii="Arial" w:cs="Arial" w:eastAsia="Arial" w:hAnsi="Arial"/>
                  <w:sz w:val="18"/>
                  <w:szCs w:val="18"/>
                  <w:u w:val="single" w:color="auto"/>
                  <w:color w:val="0000EE"/>
                  <w:w w:val="96"/>
                </w:rPr>
                <w:t>PART III</w:t>
              </w:r>
            </w:hyperlink>
          </w:p>
        </w:tc>
        <w:tc>
          <w:tcPr>
            <w:tcW w:w="66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Directors, Executive Officers and Corporate Governance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Executive Compensation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Security Ownership of Certain Beneficial Owners and Management and Related Stockholder Matters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Certain Relationships and Related Transactions, and Director Independence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Principal Accountant Fees and Services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432"/>
        </w:trPr>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920" w:type="dxa"/>
            <w:vAlign w:val="bottom"/>
            <w:gridSpan w:val="2"/>
          </w:tcPr>
          <w:p>
            <w:pPr>
              <w:jc w:val="center"/>
              <w:ind w:right="3980"/>
              <w:spacing w:after="0"/>
              <w:rPr>
                <w:rFonts w:ascii="Arial" w:cs="Arial" w:eastAsia="Arial" w:hAnsi="Arial"/>
                <w:sz w:val="18"/>
                <w:szCs w:val="18"/>
                <w:u w:val="single" w:color="auto"/>
                <w:color w:val="0000EE"/>
                <w:w w:val="94"/>
              </w:rPr>
            </w:pPr>
            <w:hyperlink w:anchor="page70">
              <w:r>
                <w:rPr>
                  <w:rFonts w:ascii="Arial" w:cs="Arial" w:eastAsia="Arial" w:hAnsi="Arial"/>
                  <w:sz w:val="18"/>
                  <w:szCs w:val="18"/>
                  <w:u w:val="single" w:color="auto"/>
                  <w:color w:val="0000EE"/>
                  <w:w w:val="94"/>
                </w:rPr>
                <w:t>PART IV</w:t>
              </w:r>
            </w:hyperlink>
          </w:p>
        </w:tc>
        <w:tc>
          <w:tcPr>
            <w:tcW w:w="660" w:type="dxa"/>
            <w:vAlign w:val="bottom"/>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9680" w:type="dxa"/>
            <w:vAlign w:val="bottom"/>
            <w:gridSpan w:val="3"/>
          </w:tcPr>
          <w:p>
            <w:pPr>
              <w:ind w:left="2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 Financial Statement Schedules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41</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Company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revenue increased to a record $43.3 million in 2020, a 76% increase over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revenue increased to a record $16.4 million in Q4 2020, up 123% over Q4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expanded our sales leadership team by a adding a point of care expert and established a strong base for growth in 2021.</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launched our TelaRep solution in April and in December, it was recognized as one of the most innovative products for life sciences in 2020 by PM 360 magazine.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sales team continues to expand our business with existing and new clients communicating the increased value of our enterprise platform approach. We are focused on increasing the depth and breadth of our business across existing client product portfolios by maximizing the utilization of our network. We are expanding our business by providing new solutions and obtaining new clients. Our team is also working on converting current clients from individual solutions to enterprise platform deals with access to our full set of solutions across our network. These enterprise deals enable us to increase our revenue per customer, and give us a more predictable and consistent revenue stream.</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our expenditures were down in 2020 due to the global pandemic, we have continued to ramp up our marketing efforts by focusing more heavily on strategic content with thought leadership in the media and at events, as well as tailoring our solution marketing with an account-based approach. Our efforts are focused on cementing our image as a strategic partner with our buyers, so we have expanded our panel of thought leadership voices to include more of our leadership team. They are actively participating as speakers and panelists at industry events, and we have significantly increased our footprint within earned industry media. Additionally, we hosted a series of webinars featuring industry leaders in 2020 to foster collaboration, and we introduced the first annual Innovate4Outcomes event, bringing together thought leaders from across the healthcare industry to collaborate on solutions to some of the toughest challenges facing life sciences and providers.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We expanded our attendance and participation at investor conferences in 2020, most on a virtual basis. We have built marketing strategy momentum in 2020 with increased industry visibility that we expect to expand in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we continued to expand our existing network and physician utilization of our partner networks. We continue to work individually with our partners to improve point-of-care workflow, increase overall revenue derived from each channel and increase coupon utilization by providers who have access. We are also focused on increasing the number of physicians who have access to our service offerings. In addition to revenue growth provided by new pharma brands and network partners, we believe there is significant revenue growth potential within existing brands by better utilizing our existing partner networks and expanding our available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also signed agreements with partners that give us access to provide messages directly to consumers.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support our growth and to further improve the efficiency of our systems, we have moved our core platforms to Amazon Web Services. As a result of our acquisitions in 2018 and 2019, we now have tech teams based in both Croatia and Israel, in addition to our core team in the U.S., to help develop further applications throughout the organization.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Solutions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solutions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Messaging – Our integrated financial messaging platform is a revolutionary virtual “Patient Support Center” that allows doctors and staff to access a universe of sample vouchers, co-pay coupons and other patient support options through their EMR and/or e-Prescribe systems. It allows them to search, print or electronically dispense directly to patients and a national network of pharmacies. Our platform eliminates the need for physicians to manage and store physical drug samples by offering a more convenient and efficient way to allocate, administer and track samples and co-pay savings for their patients. Today, nearly 60% of doctor offices ban or limit drug representatives and the samples they offer. While samples are still valuable, our solution addresses the fact that many healthcare systems and doctors are looking for an easier, more effective way to increase affordable access and adherence to their prescribed branded medications.</w:t>
      </w:r>
    </w:p>
    <w:p>
      <w:pPr>
        <w:spacing w:after="0" w:line="177"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Brand and Therapeutic Support Messaging – Our brand messaging services include a variety of brand awareness and therapeutic support messaging services that can be tailored to meet the needs of a brand. These messages can include brand awareness messages, reminder ads, therapeutic support messages and unbranded messages that can be targeted by specialty, diagnostic code and other criteria. Brand messaging is highly complementary to our core financial messaging solution. Historically, we have sold brand messaging based on specific solutions offered by our Electronic Health Record (“EHR”) partners, but we have developed our own proprietary banner messaging system, rolled this solution out in 2017, and expanded it since then. We also developed our own therapeutic support messaging system and launched it with our first partner in late 2018. We believe brand messaging represents a significant growth opportunity for us.</w:t>
      </w:r>
    </w:p>
    <w:p>
      <w:pPr>
        <w:spacing w:after="0" w:line="177"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Brand Support – Our brand support is focused on educating and working with pharmaceutical manufacturers on identifying, formulating, and implementing new eRx media strategies for promoting their solutions. Our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pharmaceutical manufacturers in identifying and building a competitive strategy to take advantage of this new digital frontier. Currently, this activity results in less than 10% of our revenue, but represents a significant growth opportunity for 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both"/>
        <w:ind w:left="660" w:hanging="328"/>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Patient Engagement – Our patient engagement activities arose out of our acquisition of CareSpeak Communications in October 2018, followed by our acquisition of RMDY Health in 2019. Our technology solution provides digital messaging services through our cloud based Mobile Health Messenger (“MHM”) Platform. We provide interactive health messaging for improved medication adherence and care coordination. Our HIPAA-compliant, automated, mobile messaging platform allows pharmaceutical manufactures and related entities to directly engage with patients to improve regimen compliance. We also deliver patient programs with treatment and affordability information, lifestyle and condition trackers, Internet device connectivity, forms and surveys, with this all supported by a wide range of communication capabilities delivered via chat, bots, audio and telehealth. We enable this functionality for our customers, with our solutions delivering a variety of intervention mechanisms that help treat chronic conditions, such as diabetes and heart disease.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core platform competes in the highly competitive pharmaceutical and life sciences digital marketing industry that is dominated by large well-known companies with established names, solid market niches, wide arrays of product offerings and marketing networks. Our messaging offerings compete for pharmaceutical budgets with a variety of other forms of advertising and promotion.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 growing list of potential partners whom either have content that they want to deliver through our distribution engine and network, or have complementary technology and want to integrate our solution as a channel partner and thereby increase their reach to clinicians. The primary direct competitor in our space of the market is ConnectiveRx. However, we believe our breadth of brands offered, extensive list of pharmaceutical clients, and the vast reach of our network give us a substantial advantage and allow us to achieve a dominant position in the marketplace.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 As part of our acquisition of CareSpeak Communications, we also acquired (US Patent No. 7,956,727) related to methods and systems for medication management. We also have other patent applications submitted in various stages of review.</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a nationally ranked intellectual property law firm to further expand and protect our intellectual property.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OPTIMIZERx, CareSpeak, RMDY Wellness Layers, Diet Watch, and SampleMD are our licensed trademarks.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57 full-time employees in the U.S, as well as 14 full-time international employees. None of our employees are represented by a labor union with respect to their employment with us. We have not experienced any work stoppages, and we consider our relations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conduct our operations through our wholly-owned subsidiaries, OptimizeRx Corporation, a Michigan corporation, CareSpeak Communications, Inc., a New Jersey corporation, CareSpeak Communications, D.O.O, a controlled foreign corporation incorporated in Croatia, RMDY Health, Inc. a Delaware corporation, and Cyberdiet, a controlled foreign corporation incorporated in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March 2021, our Board of Directors amended the 2013 Incentive Plan to increase the number of shares authorized under the Plan to 6,000.000 shares.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Business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historically experienced losses, if we are unable to achieve profitability, our financial condition and company could suffer.</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were profitable for the full year of 2018 and in the fourth quarter of 2020, since the inception of our business we have historically incurred losses as a result of investing in growth. We incurred losses in 2019 and 2020 as a result of our increased spending to invest in growth – both through additional new hires, as well as through the acquisition of RMDY. While we have increased revenues significantly, we have not yet consistently achieved profitability due to significant investments in our growth,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If we are unable to engage and retain the necessary personnel, our business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work with many leading pharmaceutical companies, medical device manufacturers, medtech, associations, and other companies. Our failure to retain existing customers or expand with new customers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revenues are concentrated in less than 50 customers, primarily large pharmaceutical manufacturers. Loss of one or more of our larger customers could have a negative impact on our operating results. In both 2020 and 2019, we had three customers that each represented slightly over 10% of our revenues; however only one customer represented over 10% of our revenues in both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and electronic health record systems to generate our revenues received from customers Such arrangements subject us to a number of risks, including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 partners may experience financial, regulatory or operational difficulties, which may impair their ability to focus on and fulfill their contract obligations to us;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disputes or disagreements, including the ownership of intellectual property, may occur with one or more of our partners and may lead to lengthy and expensive litigation or arbitration;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changes in a partner’s business strategy may adversely affect a partner’s willingness or ability to satisfy obligations under any such arrangement;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partner could terminate the partnership arrangement, which could negatively impact our ability to sell our solutions and achieve revenues.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need to maintain these relationships as well as diversify them. The inability to do so could adversely impact our business. We generated 52.7% and 37.4% of our revenue through our largest partner in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electronic prescription platforms and electronic health record systems are subject to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labyrinth of regulations in healthcare space, state and federal, as well as political sensitivity of healthcare delivery, our business model could be negatively impacted or fail.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searches; and advertising networks that aggregate traffic from multiple sites.</w:t>
      </w:r>
    </w:p>
    <w:p>
      <w:pPr>
        <w:spacing w:after="0" w:line="161"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or changes in governmental funding for healthcare;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move to a single-payer healthcare system in the U.S.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solutions and services could be affected by:</w:t>
      </w:r>
    </w:p>
    <w:p>
      <w:pPr>
        <w:spacing w:after="0" w:line="1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solutions and services of the types we provide.</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solutions and services will continue to exist at current levels or that we will have adequate technical, financial and marketing resources to react to changes in those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we currently do not have any immediate arrangements, commitments or understandings regarding any future acquisitions, as part of our strategy for growth, we may continue to explore acquisitions or strategic alliances, which may not be completed or may not be ultimately beneficial to us. Acquisitions may pose risks to our operations, including:</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problems and increased costs in connection with the integration of the personnel, operations, technologies, or products of the acquired businesses;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anticipated increases in revenues and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acquired assets becoming impaired as a result of technical advancements or worse-than-expected performance by the acquired company;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associated with accounting for earn-outs in a given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adversely affecting our internal control over financial reporting before the acquiree’s complete integration into our control environment.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financing on unfavorable terms, or not be able to obtain financing on any terms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The failure to successfully integrate any acquisitions in an efficient or timely manner may negatively impact our financial condition and operating results, or we may not be able to fully realize anticipated savings. In addition, our competitors could try to emulate our acquisition strategy, leading to greater competition for scarce acquisition targets and could lead to larger competitors if they succeed in emulating our strategy.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pandemic may disrupt our business or the business of our customers.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a novel strain of corona virus, which causes the infectious disease known as COVID-19 was reported. The World Health Organization declared COVID-19 a Public Health Emergency and Global Pandemic. COVID-19 has severely impacted economies around the world. We have taken steps to mitigate the impact on us, but there can be no assurance that such steps will be successful, or that our business operations, or the operations of our customers will not be materially and adversely affected by the consequences of the pandemic. This could materially impact our results of operations, cash flows, and financial condition.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material weakness in our internal control over financial reporting, if not remediated, could result in material misstatements in our financial statements.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Securities Exchange Act of 1934, as amended. A material weakness (as defined in Rule 12b-2) is a deficiency, or combination of deficiencies, in internal control over financial reporting, such that there is a reasonable possibility that a material misstatement of annual or interim financial statements will not be prevented or detected on a timely basis. We have had material weaknesses in the past that have been remediated as of December 31, 2020. There is no guarantee that material weakness could not arise in the future. If additional material weaknesses were to be identified, it could result in our consolidated financial statements containing material misstatements in the future.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solutions that may block our use of our intellectual property or may be used in third-party products that compete with our solutions and processes.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economic, political, regulatory and other risks arising from our international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as a result of our acquisitions in 2018 and 2019 wherein we now operate in Israel and Croatia, may involve risks that could adversely affect our business, including:</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adapt our content and user interfaces for specific 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distraction;</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natural or man-made disasters, political, social and economic instability, including wars, terrorism and political unrest, outbreak of disease (such as the recent outbreak of the novel coronavirus, or COVID-19), boycotts, curtailment of trade, and other business restrictions;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United States laws, such as the Foreign Corrupt Practices Act, export controls and economic sanctions, and local laws prohibiting corrupt payments to government officials;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favorable foreign intellectual property laws;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impact revenues and expenses of our international operations and expose us to foreign currency exchange rate risk;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profit repatriation and other restrictions on the transfer of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differing payment processing systems as well as consumer use and acceptance of electronic payment methods, such as payment cards;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and more stringent user protection, data protection, privacy and other laws;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reliable broadband connectivity and wide area networks in targeted areas for expansion.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failure to manage any of these risks successfully could harm our international operations and our overall business, as well as results of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is not maintained, shareholders may be unable to sell their shares.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highly volatile and could fluctuate widely in price in response to various factors,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innovations or new solutions and services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regulation of our solutions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establishment of partnerships with other healthcare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operations, technology, solutions,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results below or exceeding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achieve profits or not;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or addition of any strategic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We do not expect to pay dividends in the foreseeable future and any return on investment may be limited to the value of our common stock.</w:t>
      </w: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Currently, we do not own any real estate. Our principal executive offices are located at 400 Water Street, Suite 200, Rochester, Michigan 48307.</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operating leases with terms greater than 12 months for office space in three multitenant facilities. The lease on our headquarters space in Rochester, Michigan expires November 30, 2022, with a three-year renewal option through 2025, with monthly rent payable at rates ranging from $6,384 to $6,688. We have assumed renewal of the lease. We also have a lease on office space in Cranbury, New Jersey, expiring in 2022 with monthly payments ranging from $3,008 to $3,158, as well as a lease of approximately $1,883 per month in Zagreb, Croatia expiring in 2022. We also lease minor amounts of space in shared space facilities on a month to month basis as necessary.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properties are adequate for our current needs, but growth potential may require larger facilities due to anticipated addition of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policies regarding investments in real estate, securities or other forms of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current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under the symbol “OPRX” on the Nasdaq Capital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 2021, we had 16,806,637 shares of our common stock issued and outstanding, held by approximately 400 shareholders of record at our transfer agent, with approximately 7,000 additional shareholders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ind w:right="20" w:firstLine="56"/>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As of December 31, 2020, under the Plan, as amended, we are currently able to issue up to an aggregate total of 3,000,000 incentive or non-qualified options to purchase our common stock, stock awards and other offerings. In March 2021, our Board of Directors amended the Plan to increase the number of shares authorized under the plan to 6,000,000 shares.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Equity Compensation Plans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Plans Approved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5688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68825"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2013 Equity Compensation Plan - Options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2013 Equity Compensation Plan – Restricted Stock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Securities</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remaining</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2"/>
              </w:rPr>
              <w:t>of Securities to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available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6"/>
              </w:rPr>
              <w:t>be issued upon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Weighted-</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for future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6"/>
              </w:rPr>
              <w:t>exercise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issuance</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0"/>
              </w:rPr>
              <w:t>of 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exercise</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under</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3"/>
              </w:rPr>
              <w:t>options or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price of</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equity</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0"/>
              </w:rPr>
              <w:t>restricted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3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awards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options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plans</w:t>
            </w:r>
          </w:p>
        </w:tc>
      </w:tr>
      <w:tr>
        <w:trPr>
          <w:trHeight w:val="418"/>
        </w:trPr>
        <w:tc>
          <w:tcPr>
            <w:tcW w:w="1140" w:type="dxa"/>
            <w:vAlign w:val="bottom"/>
          </w:tcPr>
          <w:p>
            <w:pPr>
              <w:jc w:val="right"/>
              <w:spacing w:after="0"/>
              <w:rPr>
                <w:sz w:val="20"/>
                <w:szCs w:val="20"/>
                <w:color w:val="auto"/>
              </w:rPr>
            </w:pPr>
            <w:r>
              <w:rPr>
                <w:rFonts w:ascii="Arial" w:cs="Arial" w:eastAsia="Arial" w:hAnsi="Arial"/>
                <w:sz w:val="18"/>
                <w:szCs w:val="18"/>
                <w:color w:val="auto"/>
              </w:rPr>
              <w:t>1,545,518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7.31</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51"/>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50"/>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1,645,518</w:t>
            </w:r>
          </w:p>
        </w:tc>
        <w:tc>
          <w:tcPr>
            <w:tcW w:w="3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tcPr>
          <w:p>
            <w:pPr>
              <w:ind w:left="680"/>
              <w:spacing w:after="0" w:line="203" w:lineRule="exact"/>
              <w:rPr>
                <w:sz w:val="20"/>
                <w:szCs w:val="20"/>
                <w:color w:val="auto"/>
              </w:rPr>
            </w:pPr>
            <w:r>
              <w:rPr>
                <w:rFonts w:ascii="Arial" w:cs="Arial" w:eastAsia="Arial" w:hAnsi="Arial"/>
                <w:sz w:val="18"/>
                <w:szCs w:val="18"/>
                <w:color w:val="auto"/>
              </w:rPr>
              <w:t>N/A</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299,461</w:t>
            </w: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600" w:space="720"/>
            <w:col w:w="3920"/>
          </w:cols>
          <w:pgMar w:left="320" w:top="337" w:right="339" w:bottom="1440" w:gutter="0" w:footer="0" w:header="0"/>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below relates to our issuances of securities without registration under the Securities Act of 1933 during the reporting period which were not previously included in a Quarterly Report on Form 10-Q or Current Report on Form 8-K.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2020, we issued 4,010 shares of restricted common stock to our outside Directors as part of our director compensation package for services rendered in Q4 2020.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October through December 2020, we issued 125,918 shares of common stock and received proceeds of $1,156,314 in connection with the exercise of options.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under Regulation S-K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pioneering digital health company that provides healthcare communications solutions for life science companies to connect and deliver relevant information to healthcare providers and patients. As the largest digital health network of its kind, the OptimizeRx platform bridges the communication gap that exists between key stakeholders in healthcare, including pharmaceutical companies, payers, hospitals, physicians, and patients, providing patient affordability, access, and adherence directly at the point of care through EHRs and e-prescribing systems.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our revenue was generated primarily through the facilitation of financial messages to health care providers via their EHR and ePrescribe systems using the OptimizeRx proprietary network to solve the ever-increasing communication barriers between pharmaceutical representatives and healthcare providers that have presented in the rapidly changing healthcare industry. Over time, as the demand for communication of an increasing variety of different health information between life science companies, providers, and patients continues to rise, our platform has expanded over the years to encompass additional solutions that enable healthcare providers to access information for patients at the point of care. These solutions include brand messaging, therapeutic support messaging, brand support, and innovative patient engagement services, all of which now make up a significant portion of our total revenue.</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strategic focus remains on growing our existing client base and generating greater and more consistent revenues in part through our continued shift in our business model toward enterprise level engagements with recurring revenue streams, while also broadening our platform with innovative proprietary solutions such as our TelaRep™ virtual communication solution and our AI-powered real-world evidence solution which uses sophisticated proprietary algorithms to derive additional revenue from our existing network. In addition, we have continued to expand our team in preparation for future growth aspirations, which may be supplemented with future acquisitions and other strategic collaborations and investments to further solidify our market dominance in this space.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strategy for driving revenue growth is also expected to work in tandem with our efforts to increase margin and profitability through the use of the aforementioned recurring revenue models that have inherently higher margins.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as the business continues to scale, operating expenses are expected to remain relatively consistent given the nature of the Company’s business model, further driving profitability.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includes an analysis and comparison of the Company’s 2020 and 2019 fiscal year results of operations, liquidity and capital resources, and critical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OVID-19 Business Update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COVID-19 pandemic, we have remained focused on being a leading provider of digital health solutions to life science companies and connecting healthcare providers and patients along the entire patient journey, while simultaneously expanding our client base, increasing our network of partners, and maintaining the safety of our employees.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has created unprecedented challenges in the healthcare industry which has significantly increased the demand for unique solutions ranging from access to accurate and timely information to increasing the accessibility of medications and care management. In March 2020, shortly after the World Health Organization (WHO) declared COVID-19 a global pandemic, we launched a free interactive text message alert program available to the general public that delivers current, relevant coronavirus information issued by the Centers for Disease Control and Prevention (CDC) directly to any SMS-enabled mobile device. In April 2020, we launched our TelaRep communications solution to connect life science companies and healthcare providers treating patients with specialty drug therapies in an environment facing a critical communication gap with restricted face-to-face interactions. We also leveraged our digital platform to provide telehealth capabilities for healthcare providers to adapt to COVID-19 restrictions.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During the beginning of the pandemic and onward, we transitioned our global workforce to working remotely in an effort to maintain the health and safety of our employees. Governments of cities, states, and countries globally have imposed restrictions on travel and business operations, which has curtailed various means of performing business and marketing activities such as the attending of health IT conferences. We have been able to continue to achieve our goals by leveraging innovative technology and existing resources while shifting strategies where necessary in areas such as sales and marketing. As a result of these practices and initiatives, remote work arrangements and travel restrictions have not had any adverse effects on our ability to maintain operations or achieve our goals. In addition, we have implemented health and safety policies in our offices to enable our employees to safely return to traditional working arrangements should it become feasible.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did not have an adverse impact on our financial condition and results of operations in 2020, and we currently do not expect the results of future operations and our near-and-long-term financial position and growth prospects to be negatively impacted by the pandemic given the nature of the business and the increased demand for digital health solutions. We reported record year over year and quarterly net revenue results in 2020, and we believe that the markets in which we compete will remain favorable. Additionally, there has been no impact on the accessibility or terms of acquiring capital; we completed a public offering of common stock in February of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risk factors as it relates to the COVID-19 pandemic can be found in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revenue for the year ended December 31, 2020 was approximately $43.3 million, an increase of 76% from the year ended December 31, 2019. This increase resulted from a combination of factors, including the shift to enterprise contracts, increased pharmaceutical brands, an increased distribution network, strong growth in our brand messaging solution, and our acquisition of RMDY Health in late 2019. We expect continued strong revenue growth in 2021 as a result of the foundations laid in 2019 and 2020.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50 pharmaceutical companies as customers. We have focused our efforts on expanding our customer base and through our acquisitions, have added medical device manufactures, payers, associations and other entities. In both 2020 and 2019, we had three customers that each represented slightly over 10% of our revenues, however only one customer exceeded 10% of revenues in both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total cost of revenues, composed primarily of revenue share expense, increased in the year ended December 31, 2020 compared to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due to the increase in revenues. Our cost of revenues as a percentage of revenue increased from approximately 37% in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to approximately 44% in the year ended December 31,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increase in our cost of revenues as a percentage of revenue resulted primarily from solution mix, specifically the increase in our core messaging revenues that have higher revenue share percentages.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gross margin, which is simply the difference between our revenues and our cost of revenues, discussed above, increased from 2019 to 2020 as a result of the increased revenue. In addition, our gross margin percentage decreased from approximately 63% in 2019 to 56% in 2020 for the reasons discussed above in the cost of revenues section. We expect our margins to remain in the 56% to 58% range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increased to approximately $26.2 million for the year ended December 31, 2020, from approximately $19.1 million for the year ended December 31, 2019, an increase of approximately 37%. The detail by major category is reflected in the table below. Certain 2019 expenses were reclassified in the table to be comparable to the 2020 presentation.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1"/>
              </w:rPr>
              <w:t>Years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14,538,570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8,681,042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1,312,395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Acquisition Related Costs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799,623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Board Compensation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225,250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Investor Relations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132,652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105,639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Consultants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1,053,424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425,885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615,923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709,006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2,075,888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1,282,786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Development, and Maintenance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1,081,137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2,282,143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Integration Incentives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811,131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208,855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932,253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695,493</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Travel</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289,277</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695,283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680" w:type="dxa"/>
            <w:vAlign w:val="bottom"/>
          </w:tcPr>
          <w:p>
            <w:pPr>
              <w:ind w:left="1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23,067,900</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16,872,841</w:t>
            </w:r>
          </w:p>
        </w:tc>
        <w:tc>
          <w:tcPr>
            <w:tcW w:w="0" w:type="dxa"/>
            <w:vAlign w:val="bottom"/>
          </w:tcPr>
          <w:p>
            <w:pPr>
              <w:spacing w:after="0"/>
              <w:rPr>
                <w:sz w:val="1"/>
                <w:szCs w:val="1"/>
                <w:color w:val="auto"/>
              </w:rPr>
            </w:pPr>
          </w:p>
        </w:tc>
      </w:tr>
      <w:tr>
        <w:trPr>
          <w:trHeight w:val="445"/>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3,172,840</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2,260,298</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9"/>
        </w:trPr>
        <w:tc>
          <w:tcPr>
            <w:tcW w:w="8680" w:type="dxa"/>
            <w:vAlign w:val="bottom"/>
            <w:vMerge w:val="continue"/>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26,240,740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19,133,139</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main drivers for the overall increase in operating expenses in 2020 was our focus on staffing and scaling our company to foster, and be able to support, accelerated revenue growth.</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Within the operating expenses, there were a variety of increases, the largest of which was in salaries, wages and benefits, as a result of additional staff added in 2019 and 2020, including related benefits. During 2019, we hired a chief commercial officer, a chief technology officer, five new salespeople, a human resources manager, as well as other administrative positions at various times throughout the year. We also added 14 employees as a result of our RMDY acquisition in October 2019. These 2019 additions were there for the entire year in 2020. During 2020, we added to our staff in several key areas, including a head of product development, additional sales people, and additional IT people, among others. We expect our compensation expense to increase in 2021, but at a much lower rate than in 2020.</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Professional fees increased primarily because of costs associated with our audit, as a result of our change to a larger, national firm, as well as increased legal costs due to the increased complexity of our contracts. In addition, we incurred costs related to the finalization of our RMDY earnout.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Acquisition costs are related to our acquisition of RMDY Health in 2019. These costs include investment banker fees, legal and accounting due diligence, audit costs associated with RMDY, valuation experts for the purchase price allocation, and other miscellaneous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Board compensation increased slightly from 2019 to 2020 due to both an increase in the size of our board as well as a revision of the board compensation structure to pay a larger portion in cash and a smaller portion in stock. This represents only the cash portion.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cost of consultants increased from 2019 to 2020. The primary reason for the increase was related to consultants used in the IT area, primarily in the patient engagement area, resulting from a full year of activity from the former RMDY Health business as opposed to a partial year in 2019.</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advertising and promotion costs decreased significantly from 2019 to 2020 as a result of a reduction in the sponsorship of, and attendance at, conferences as a result of the global pandemic.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related to research, development, management, and maintenance of our technology decreased in 2020 to more normal levels, as 2019 included significant nonrecurring research projects.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Integration incentives and exclusivity fees, which are fees paid to accelerate access to new partners and payments for exclusivity, increased in 2020, as we signed more contracts and contracts with larger payments related to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increased significantly in 2020 from the 2019 levels. The increased amortization resulting from the acquisition of RMDY Health, and the resulting intangible assets were amortized for a full year in 2020 as opposed to only part of the fourth quarter in 2019. We expect depreciation and amortization expense in 2021 to be similar to 2020 levels.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Office, facility, and other costs increased from 2019 to 2020. The main reason for the change related to a higher level of activity with more employees.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based compensation increased by approximately $900,000 from $2.3 million in 2019 to $3.2 million in 2020 primarily because of more employees and an increase in our stock price. There is a relationship between the price of the stock at the time of the option grant and the value of the option, resulting in a higher cost when the stock price is higher.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finished the year ended December 31, 2020 with a net loss of approximately $2.2 million, as compared to a net loss of approximately $3.1 million during the year ended December 31, 2019. The reasons for specific components are discussed above. Overall, we had an increase in revenue and gross margin partially offset by increased operating expenses to support future growth. In addition, the income in both periods included significant noncash items. We had approximately $3.5 million in noncash operating expenses in 2019 and approximately $5.2 million in noncash operating expenses in 2020.</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Quarterly Financial Information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80" w:type="dxa"/>
            <w:vAlign w:val="bottom"/>
            <w:gridSpan w:val="7"/>
          </w:tcPr>
          <w:p>
            <w:pPr>
              <w:spacing w:after="0"/>
              <w:rPr>
                <w:sz w:val="20"/>
                <w:szCs w:val="20"/>
                <w:color w:val="auto"/>
              </w:rPr>
            </w:pPr>
            <w:r>
              <w:rPr>
                <w:rFonts w:ascii="Arial" w:cs="Arial" w:eastAsia="Arial" w:hAnsi="Arial"/>
                <w:sz w:val="18"/>
                <w:szCs w:val="18"/>
                <w:color w:val="auto"/>
              </w:rPr>
              <w:t>Following is a table of our quarterly operating results for 2020 for information purposes.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First</w:t>
            </w:r>
          </w:p>
        </w:tc>
        <w:tc>
          <w:tcPr>
            <w:tcW w:w="20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Second</w:t>
            </w:r>
          </w:p>
        </w:tc>
        <w:tc>
          <w:tcPr>
            <w:tcW w:w="18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Third</w:t>
            </w:r>
          </w:p>
        </w:tc>
        <w:tc>
          <w:tcPr>
            <w:tcW w:w="18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Fourth</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Quarter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Total Year</w:t>
            </w:r>
          </w:p>
        </w:tc>
        <w:tc>
          <w:tcPr>
            <w:tcW w:w="60" w:type="dxa"/>
            <w:vAlign w:val="bottom"/>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7,584,602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8,783,230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10,519,191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16,426,301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43,313,324</w:t>
            </w:r>
          </w:p>
        </w:tc>
        <w:tc>
          <w:tcPr>
            <w:tcW w:w="60" w:type="dxa"/>
            <w:vAlign w:val="bottom"/>
          </w:tcPr>
          <w:p>
            <w:pPr>
              <w:spacing w:after="0"/>
              <w:rPr>
                <w:sz w:val="24"/>
                <w:szCs w:val="24"/>
                <w:color w:val="auto"/>
              </w:rPr>
            </w:pP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3,241,763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3,639,016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4,504,844</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7,822,280</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19,207,903</w:t>
            </w:r>
          </w:p>
        </w:tc>
        <w:tc>
          <w:tcPr>
            <w:tcW w:w="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4,342,839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5,144,214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6,014,347</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8,604,021</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24,105,421</w:t>
            </w:r>
          </w:p>
        </w:tc>
        <w:tc>
          <w:tcPr>
            <w:tcW w:w="60" w:type="dxa"/>
            <w:vAlign w:val="bottom"/>
          </w:tcPr>
          <w:p>
            <w:pPr>
              <w:spacing w:after="0"/>
              <w:rPr>
                <w:sz w:val="24"/>
                <w:szCs w:val="24"/>
                <w:color w:val="auto"/>
              </w:rPr>
            </w:pPr>
          </w:p>
        </w:tc>
      </w:tr>
      <w:tr>
        <w:trPr>
          <w:trHeight w:val="446"/>
        </w:trPr>
        <w:tc>
          <w:tcPr>
            <w:tcW w:w="46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6,602,091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6,200,027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6,191,069</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7,247,553</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26,240,740</w:t>
            </w:r>
          </w:p>
        </w:tc>
        <w:tc>
          <w:tcPr>
            <w:tcW w:w="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(2,259,252)</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(1,055,813)</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(176,722)</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1,356,468</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(2,135,319)</w:t>
            </w: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55,321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(21,655)</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(106,172)</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(71,808)</w:t>
            </w: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(2,203,931)</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(1,077,468)</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(282,894)</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1,357,166</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(2,207,127)</w:t>
            </w: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53"/>
        </w:trPr>
        <w:tc>
          <w:tcPr>
            <w:tcW w:w="462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(2,203,931)</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(1,077,468)</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(282,894)</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1,357,166</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(2,207,127)</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(0.15)</w:t>
            </w:r>
          </w:p>
        </w:tc>
      </w:tr>
      <w:tr>
        <w:trPr>
          <w:trHeight w:val="244"/>
        </w:trPr>
        <w:tc>
          <w:tcPr>
            <w:tcW w:w="4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Sum of four quarterly per share amounts does not equal annual total due to rounding and the mechanics of the weighted average shares outstanding calculation.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Following is a table of our quarterly operating results for 2019 for information purposes.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First</w:t>
            </w:r>
          </w:p>
        </w:tc>
        <w:tc>
          <w:tcPr>
            <w:tcW w:w="2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Second</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Third</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Fourth</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Quarter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Total Year</w:t>
            </w:r>
          </w:p>
        </w:tc>
        <w:tc>
          <w:tcPr>
            <w:tcW w:w="60" w:type="dxa"/>
            <w:vAlign w:val="bottom"/>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5,209,434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7,006,291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5,002,767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7,379,782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24,598,274</w:t>
            </w:r>
          </w:p>
        </w:tc>
        <w:tc>
          <w:tcPr>
            <w:tcW w:w="60" w:type="dxa"/>
            <w:vAlign w:val="bottom"/>
          </w:tcPr>
          <w:p>
            <w:pPr>
              <w:spacing w:after="0"/>
              <w:rPr>
                <w:sz w:val="24"/>
                <w:szCs w:val="24"/>
                <w:color w:val="auto"/>
              </w:rPr>
            </w:pP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1,583,480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2,687,143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1,981,143</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2,906,933</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9,158,699</w:t>
            </w:r>
          </w:p>
        </w:tc>
        <w:tc>
          <w:tcPr>
            <w:tcW w:w="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3,625,954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4,319,148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3,021,624</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4,472,849</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15,439,575</w:t>
            </w:r>
          </w:p>
        </w:tc>
        <w:tc>
          <w:tcPr>
            <w:tcW w:w="60" w:type="dxa"/>
            <w:vAlign w:val="bottom"/>
          </w:tcPr>
          <w:p>
            <w:pPr>
              <w:spacing w:after="0"/>
              <w:rPr>
                <w:sz w:val="24"/>
                <w:szCs w:val="24"/>
                <w:color w:val="auto"/>
              </w:rPr>
            </w:pP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3,493,789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3,839,105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5,008,934</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6,791,311</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19,133,139</w:t>
            </w:r>
          </w:p>
        </w:tc>
        <w:tc>
          <w:tcPr>
            <w:tcW w:w="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132,165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480,043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(1,987,310)</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(2,318,462)</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(3,693,564)</w:t>
            </w:r>
          </w:p>
        </w:tc>
      </w:tr>
      <w:tr>
        <w:trPr>
          <w:trHeight w:val="446"/>
        </w:trPr>
        <w:tc>
          <w:tcPr>
            <w:tcW w:w="4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(125,636)</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(73,426)</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416,368</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(564,278)</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(346,972)</w:t>
            </w: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406,617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(1,570,942)</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(2,882,740)</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(4,040,536)</w:t>
            </w: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897,960</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897,960</w:t>
            </w:r>
          </w:p>
        </w:tc>
        <w:tc>
          <w:tcPr>
            <w:tcW w:w="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53"/>
        </w:trPr>
        <w:tc>
          <w:tcPr>
            <w:tcW w:w="462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406,617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(1,570,942)</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(1,984,780)</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(3,142,576)</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(0.23)</w:t>
            </w:r>
          </w:p>
        </w:tc>
      </w:tr>
      <w:tr>
        <w:trPr>
          <w:trHeight w:val="244"/>
        </w:trPr>
        <w:tc>
          <w:tcPr>
            <w:tcW w:w="4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total current assets of approximately $32.9 million, compared with current liabilities of approximately $10.0 million, resulting in working capital of approximately $22.9 million and a current ratio of approximately 3.3 to 1. This compares with the working capital balance of approximately $21.0 million and the current ratio of 4.4 to 1 at December 31, 2019. This increase in working capital, as discussed in more detail below, is primarily the result of the earnings before non-cash expenses.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table with summary data from the consolidated statement of cash flows for the years ended December 31, 2020 and 2019, as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5"/>
              </w:rPr>
              <w:t>(6,310,386)</w:t>
            </w:r>
          </w:p>
        </w:tc>
        <w:tc>
          <w:tcPr>
            <w:tcW w:w="2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(1,660,796)</w:t>
            </w:r>
          </w:p>
        </w:tc>
        <w:tc>
          <w:tcPr>
            <w:tcW w:w="40" w:type="dxa"/>
            <w:vAlign w:val="bottom"/>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(124,725)</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(10,582,086)</w:t>
            </w: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(1,900,793)</w:t>
            </w:r>
          </w:p>
        </w:tc>
        <w:tc>
          <w:tcPr>
            <w:tcW w:w="1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22,181,528</w:t>
            </w:r>
          </w:p>
        </w:tc>
      </w:tr>
      <w:tr>
        <w:trPr>
          <w:trHeight w:val="27"/>
        </w:trPr>
        <w:tc>
          <w:tcPr>
            <w:tcW w:w="8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45"/>
        </w:trPr>
        <w:tc>
          <w:tcPr>
            <w:tcW w:w="86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(8,335,904)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9,938,646</w:t>
            </w:r>
          </w:p>
        </w:tc>
        <w:tc>
          <w:tcPr>
            <w:tcW w:w="40" w:type="dxa"/>
            <w:vAlign w:val="bottom"/>
          </w:tcPr>
          <w:p>
            <w:pPr>
              <w:spacing w:after="0"/>
              <w:rPr>
                <w:sz w:val="24"/>
                <w:szCs w:val="24"/>
                <w:color w:val="auto"/>
              </w:rPr>
            </w:pPr>
          </w:p>
        </w:tc>
      </w:tr>
      <w:tr>
        <w:trPr>
          <w:trHeight w:val="27"/>
        </w:trPr>
        <w:tc>
          <w:tcPr>
            <w:tcW w:w="8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activities used approximately $6.3 million in the year ended December 31, 2020, as compared with approximately $1.7 million used in operating activities in the year ended December 31, 2019. The cash used in both 2019 and 2020 was the result of our net loss and the increased working capital required to support higher revenues, partially offset by our non-cash expenses.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used approximately $125,000 in investing activities in 2020, primarily as the result of purchase of assets. The majority of our approximately $10.6 million in investing in activities in 2019 related to our acquisitions of RMDY Health, Inc., as well as a software purchase.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Financing activities provided approximately $22.2 million in the year ended December 31, 2019. The cash provided in 2019 was the result of our underwritten offering in 2019, as well as from the proceeds of option exercises. We used cash of approximately $1.9 million in 2020 as the result of proceeds of option exercises, partially offset by the payment of contingent consideration related to previous acquisitions.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our cash on hand, we have sufficient cash to operate our business for more than the next 12 months and we have raised approximately $71 million in February 2021 that will enable us to continue to expand our business and accelerate revenue growth. We do not anticipate the need to raise any additional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accounting policies are discussed in detail in the footnotes to our financial statements included in this Annual Report on Form 10-K for the year ended December 31, 2020; however, we consider our critical accounting policies to be those related to revenue recognition, calculation of revenue share expense (cost of revenues), stock-based compensation, capitalization and related amortization of intangible assets and impairment of assets. Following is a summary of those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contracts are generally all less than one year and the primary performance obligation is delivery of messages or other forms of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these design of the programs and related consulting services to be performance obligations separate from the delivery of messages.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We recognize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we also recognizes revenue for providing program performance reporting and maintenance, either by our company directly delivering reports or by providing access to its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We do not disaggregate our revenue as virtually all types of revenue are generated through the same core group of customers and generally all involve the delivery of content. Different types of revenue are not impacted by economic factors that affect the nature, amount, timing, or uncertainty of revenues or cash flows.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instances, we also resell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There were only minor immaterial programs recorded on a net basis in the years presented. In instances where we resell these messaging solutions and have all financial risk and significant operation input and risk, we record the revenue based on the gross amount sold and the amount paid to the channel partner as a cost of sales.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cost of revenue is revenue share expense. Based on the volume of transactions that are delivered through the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ConnectiveRx (formerly LDM/PDR) as a result of a 2014 legal settlement in an amount equal to the greater of 10% of financial messaging distribution revenues generated through our integrated network, or $0.37 per financial message distributed through our integrated network. The contractual amount due to the channel partners is recorded as an expense at the time the message is distributed.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are stated at cost. Finite-lived assets are being amortized over their estimated useful lives of 15 to 17 years for patents, 8 to 15 years for customer relationships, 2 to 4 years for covenants not to compete, 10 years for technology, and 3 to 4 years for software and websites, all using the straight-line method. These assets, as well as our indefinite-lived asset, are evaluated annually in our fiscal fourth quarter for impairment.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evaluate goodwill for impairment during our fiscal fourth quarter, or more frequently if an event occurs or circumstances change. We determined there was no impairment as goodwill had a fair value comfortably in excess of its carrying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 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that requires measurement and recognition of expected credit losses for most financial assets and certain other instruments, including but not limited to accounts receivable and available for sale debt securities. ASU 2016-13 was effective for us on January 1, 2020. The adoption of this standard did not have a material effect on our financial position, results of operations, or cash flows.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2019, the FASB issued ASU 2018-13, Fair Value Measurement (Topic 820): Disclosure Framework-Changes to the Disclosure Requirements for Fair Value Measurement. ASU 2018-13 modifies the disclosure requirements on fair value measurements and became effective for us on January 1, 2020. The adoption of this standard did not have a material effect on our financial position, results of operations, or cash flows.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adoption of this standard did not have a material effect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15, 2020, with early adoption permitted. The adoption of this standard is not expected to have a material effect on our financial position, results of operations, or cash flows.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ind w:right="4859"/>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F-1 </w:t>
      </w:r>
      <w:hyperlink w:anchor="page29">
        <w:r>
          <w:rPr>
            <w:rFonts w:ascii="Arial" w:cs="Arial" w:eastAsia="Arial" w:hAnsi="Arial"/>
            <w:sz w:val="17"/>
            <w:szCs w:val="17"/>
            <w:u w:val="single" w:color="auto"/>
            <w:color w:val="0000EE"/>
          </w:rPr>
          <w:t>Reports of Independent Registered Public Accounting Firms;</w:t>
        </w:r>
      </w:hyperlink>
      <w:r>
        <w:rPr>
          <w:rFonts w:ascii="Arial" w:cs="Arial" w:eastAsia="Arial" w:hAnsi="Arial"/>
          <w:sz w:val="17"/>
          <w:szCs w:val="17"/>
          <w:color w:val="auto"/>
        </w:rPr>
        <w:t xml:space="preserve"> F-4 </w:t>
      </w:r>
      <w:hyperlink w:anchor="page32">
        <w:r>
          <w:rPr>
            <w:rFonts w:ascii="Arial" w:cs="Arial" w:eastAsia="Arial" w:hAnsi="Arial"/>
            <w:sz w:val="17"/>
            <w:szCs w:val="17"/>
            <w:u w:val="single" w:color="auto"/>
            <w:color w:val="0000EE"/>
          </w:rPr>
          <w:t>Consolidated Balance Sheets as of December 31, 2020 and 2019;</w:t>
        </w:r>
      </w:hyperlink>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F-5</w:t>
      </w:r>
      <w:r>
        <w:rPr>
          <w:sz w:val="20"/>
          <w:szCs w:val="20"/>
          <w:color w:val="auto"/>
        </w:rPr>
        <w:tab/>
      </w:r>
      <w:hyperlink w:anchor="page33">
        <w:r>
          <w:rPr>
            <w:rFonts w:ascii="Arial" w:cs="Arial" w:eastAsia="Arial" w:hAnsi="Arial"/>
            <w:sz w:val="16"/>
            <w:szCs w:val="16"/>
            <w:u w:val="single" w:color="auto"/>
            <w:color w:val="0000EE"/>
          </w:rPr>
          <w:t>Consolidated Statements of Operations for the years ended December 31, 2020 and 2019;</w:t>
        </w:r>
      </w:hyperlink>
    </w:p>
    <w:p>
      <w:pPr>
        <w:spacing w:after="0" w:line="9"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34">
        <w:r>
          <w:rPr>
            <w:rFonts w:ascii="Arial" w:cs="Arial" w:eastAsia="Arial" w:hAnsi="Arial"/>
            <w:sz w:val="16"/>
            <w:szCs w:val="16"/>
            <w:u w:val="single" w:color="auto"/>
            <w:color w:val="0000EE"/>
          </w:rPr>
          <w:t>Consolidated Statement of Stockholders’ Equity for the year ended December 31, 2020;</w:t>
        </w:r>
      </w:hyperlink>
    </w:p>
    <w:p>
      <w:pPr>
        <w:spacing w:after="0" w:line="9" w:lineRule="exact"/>
        <w:rPr>
          <w:sz w:val="20"/>
          <w:szCs w:val="20"/>
          <w:color w:val="auto"/>
        </w:rPr>
      </w:pPr>
    </w:p>
    <w:p>
      <w:pPr>
        <w:ind w:right="2759"/>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F-7 </w:t>
      </w:r>
      <w:hyperlink w:anchor="page35">
        <w:r>
          <w:rPr>
            <w:rFonts w:ascii="Arial" w:cs="Arial" w:eastAsia="Arial" w:hAnsi="Arial"/>
            <w:sz w:val="18"/>
            <w:szCs w:val="18"/>
            <w:u w:val="single" w:color="auto"/>
            <w:color w:val="0000EE"/>
          </w:rPr>
          <w:t>Consolidated Statement of Stockholders’ Equity for the year ended December 31, 2019;</w:t>
        </w:r>
      </w:hyperlink>
      <w:r>
        <w:rPr>
          <w:rFonts w:ascii="Arial" w:cs="Arial" w:eastAsia="Arial" w:hAnsi="Arial"/>
          <w:sz w:val="18"/>
          <w:szCs w:val="18"/>
          <w:color w:val="auto"/>
        </w:rPr>
        <w:t xml:space="preserve"> F-8 </w:t>
      </w:r>
      <w:hyperlink w:anchor="page36">
        <w:r>
          <w:rPr>
            <w:rFonts w:ascii="Arial" w:cs="Arial" w:eastAsia="Arial" w:hAnsi="Arial"/>
            <w:sz w:val="18"/>
            <w:szCs w:val="18"/>
            <w:u w:val="single" w:color="auto"/>
            <w:color w:val="0000EE"/>
          </w:rPr>
          <w:t>Consolidated Statements of Cash Flows for the years ended December 31, 2020 and 2019; and</w:t>
        </w:r>
      </w:hyperlink>
      <w:r>
        <w:rPr>
          <w:rFonts w:ascii="Arial" w:cs="Arial" w:eastAsia="Arial" w:hAnsi="Arial"/>
          <w:sz w:val="18"/>
          <w:szCs w:val="18"/>
          <w:color w:val="auto"/>
        </w:rPr>
        <w:t xml:space="preserve"> F-9 </w:t>
      </w:r>
      <w:hyperlink w:anchor="page37">
        <w:r>
          <w:rPr>
            <w:rFonts w:ascii="Arial" w:cs="Arial" w:eastAsia="Arial" w:hAnsi="Arial"/>
            <w:sz w:val="18"/>
            <w:szCs w:val="18"/>
            <w:u w:val="single" w:color="auto"/>
            <w:color w:val="0000EE"/>
          </w:rPr>
          <w:t>Notes to Consolidated Financial Statements</w:t>
        </w:r>
      </w:hyperlink>
    </w:p>
    <w:p>
      <w:pPr>
        <w:spacing w:after="0" w:line="399"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22"/>
          <w:szCs w:val="22"/>
          <w:color w:val="auto"/>
        </w:rPr>
        <w:t>26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1005205</wp:posOffset>
            </wp:positionH>
            <wp:positionV relativeFrom="page">
              <wp:posOffset>226060</wp:posOffset>
            </wp:positionV>
            <wp:extent cx="5572125" cy="436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572125" cy="436880"/>
                    </a:xfrm>
                    <a:prstGeom prst="rect">
                      <a:avLst/>
                    </a:prstGeom>
                    <a:noFill/>
                  </pic:spPr>
                </pic:pic>
              </a:graphicData>
            </a:graphic>
          </wp:anchor>
        </w:drawing>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OptimizeRx Corporation and Subsidiaries (the “Company”) as of December 31, 2020, and the related consolidated statements of operations,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year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they related.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Critical Audit Matter - Revenue Recognition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judgment is excised by the Company in determining revenue recognition for these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 the Critical Audit Matter Was Addressed in the Audit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procedures we performed to address this critical audit matter included the following: (1) obtaining an understanding of the design and implementation of controls related to identifying distinct performance obligations, determining the timing of revenue recognition and any estimation of variable consideration, (2) selection of a sample of customer agreements and testing management’s identification and treatment of contract terms, and testing the mathematical accuracy of management’s calculations of revenue and the associated timing of revenue recognized in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25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OptimizeRx Corporation and Subsidiaries (the “Company”) as of December 31, 2019, and the related consolidated statements of operations, stockholders’ equity and cash flows for the year then ended, and the related notes (collectively referred to as the “financial statements”). In our opinion, the financial statements present fairly, in all material respects, the financial position of the Company as of December 31, 2019, and the results of its operations and its cash flows for the year then ended, in conformity with accounting principles generally accepted in the United States of America.</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2019, based on the criteria established in Internal Control - Integrated Framework issued by the Committee of Sponsoring Organizations of the Treadway Commission (COSO) in 2013 and our report dated March 26, 2020, expressed an adverse opinion on the effectiveness of the Company’s internal control over financial reporting because of the existence of material weaknesses.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financial statements, the Company changed its method of accounting for leases in 2019 due to the adoption of ASU No. 2016-02, Leases (Topic 842), as amended, effective January 1, 2019, using the modified retrospective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2019 to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right="1180" w:firstLine="144"/>
        <w:spacing w:after="0" w:line="281" w:lineRule="auto"/>
        <w:rPr>
          <w:sz w:val="20"/>
          <w:szCs w:val="20"/>
          <w:color w:val="auto"/>
        </w:rPr>
      </w:pPr>
      <w:r>
        <w:rPr>
          <w:rFonts w:ascii="Arial" w:cs="Arial" w:eastAsia="Arial" w:hAnsi="Arial"/>
          <w:sz w:val="18"/>
          <w:szCs w:val="18"/>
          <w:color w:val="auto"/>
        </w:rPr>
        <w:t>Prepaid expenses Total Current Assets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Technology assets,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Security deposits and other assets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00"/>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p>
      <w:pPr>
        <w:ind w:left="4780"/>
        <w:spacing w:after="0"/>
        <w:tabs>
          <w:tab w:leader="none" w:pos="6100" w:val="left"/>
        </w:tabs>
        <w:rPr>
          <w:sz w:val="20"/>
          <w:szCs w:val="20"/>
          <w:color w:val="auto"/>
        </w:rPr>
      </w:pPr>
      <w:r>
        <w:rPr>
          <w:rFonts w:ascii="Arial" w:cs="Arial" w:eastAsia="Arial" w:hAnsi="Arial"/>
          <w:sz w:val="18"/>
          <w:szCs w:val="18"/>
          <w:color w:val="auto"/>
        </w:rPr>
        <w:t>December 31,</w:t>
      </w:r>
      <w:r>
        <w:rPr>
          <w:sz w:val="20"/>
          <w:szCs w:val="20"/>
          <w:color w:val="auto"/>
        </w:rPr>
        <w:tab/>
      </w:r>
      <w:r>
        <w:rPr>
          <w:rFonts w:ascii="Arial" w:cs="Arial" w:eastAsia="Arial" w:hAnsi="Arial"/>
          <w:sz w:val="15"/>
          <w:szCs w:val="15"/>
          <w:color w:val="auto"/>
        </w:rPr>
        <w:t>December 31,</w:t>
      </w:r>
    </w:p>
    <w:p>
      <w:pPr>
        <w:spacing w:after="0" w:line="23" w:lineRule="exact"/>
        <w:rPr>
          <w:sz w:val="20"/>
          <w:szCs w:val="20"/>
          <w:color w:val="auto"/>
        </w:rPr>
      </w:pPr>
    </w:p>
    <w:p>
      <w:pPr>
        <w:ind w:left="5120"/>
        <w:spacing w:after="0"/>
        <w:tabs>
          <w:tab w:leader="none" w:pos="644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5715</wp:posOffset>
            </wp:positionV>
            <wp:extent cx="156019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ASSETS</w:t>
      </w:r>
    </w:p>
    <w:p>
      <w:pPr>
        <w:spacing w:after="0" w:line="200" w:lineRule="exact"/>
        <w:rPr>
          <w:sz w:val="20"/>
          <w:szCs w:val="20"/>
          <w:color w:val="auto"/>
        </w:rPr>
      </w:pPr>
    </w:p>
    <w:p>
      <w:pPr>
        <w:spacing w:after="0" w:line="245" w:lineRule="exact"/>
        <w:rPr>
          <w:sz w:val="20"/>
          <w:szCs w:val="20"/>
          <w:color w:val="auto"/>
        </w:rPr>
      </w:pPr>
    </w:p>
    <w:p>
      <w:pPr>
        <w:jc w:val="both"/>
        <w:ind w:left="4740"/>
        <w:spacing w:after="0"/>
        <w:tabs>
          <w:tab w:leader="none" w:pos="5040" w:val="left"/>
          <w:tab w:leader="none" w:pos="6060" w:val="left"/>
          <w:tab w:leader="none" w:pos="6360" w:val="left"/>
        </w:tabs>
        <w:rPr>
          <w:sz w:val="20"/>
          <w:szCs w:val="20"/>
          <w:color w:val="auto"/>
        </w:rPr>
      </w:pPr>
      <w:r>
        <w:rPr>
          <w:rFonts w:ascii="Arial" w:cs="Arial" w:eastAsia="Arial" w:hAnsi="Arial"/>
          <w:sz w:val="18"/>
          <w:szCs w:val="18"/>
          <w:color w:val="auto"/>
        </w:rPr>
        <w:t>$</w:t>
        <w:tab/>
        <w:t>10,516,776</w:t>
        <w:tab/>
        <w:t>$</w:t>
      </w:r>
      <w:r>
        <w:rPr>
          <w:sz w:val="20"/>
          <w:szCs w:val="20"/>
          <w:color w:val="auto"/>
        </w:rPr>
        <w:tab/>
      </w:r>
      <w:r>
        <w:rPr>
          <w:rFonts w:ascii="Arial" w:cs="Arial" w:eastAsia="Arial" w:hAnsi="Arial"/>
          <w:sz w:val="16"/>
          <w:szCs w:val="16"/>
          <w:color w:val="auto"/>
        </w:rPr>
        <w:t>18,852,680</w:t>
      </w:r>
    </w:p>
    <w:p>
      <w:pPr>
        <w:spacing w:after="0" w:line="23" w:lineRule="exact"/>
        <w:rPr>
          <w:sz w:val="20"/>
          <w:szCs w:val="20"/>
          <w:color w:val="auto"/>
        </w:rPr>
      </w:pPr>
    </w:p>
    <w:p>
      <w:pPr>
        <w:jc w:val="both"/>
        <w:ind w:left="5060"/>
        <w:spacing w:after="0"/>
        <w:tabs>
          <w:tab w:leader="none" w:pos="6460" w:val="left"/>
        </w:tabs>
        <w:rPr>
          <w:sz w:val="20"/>
          <w:szCs w:val="20"/>
          <w:color w:val="auto"/>
        </w:rPr>
      </w:pPr>
      <w:r>
        <w:rPr>
          <w:rFonts w:ascii="Arial" w:cs="Arial" w:eastAsia="Arial" w:hAnsi="Arial"/>
          <w:sz w:val="18"/>
          <w:szCs w:val="18"/>
          <w:color w:val="auto"/>
        </w:rPr>
        <w:t>17,885,705</w:t>
      </w:r>
      <w:r>
        <w:rPr>
          <w:sz w:val="20"/>
          <w:szCs w:val="20"/>
          <w:color w:val="auto"/>
        </w:rPr>
        <w:tab/>
      </w:r>
      <w:r>
        <w:rPr>
          <w:rFonts w:ascii="Arial" w:cs="Arial" w:eastAsia="Arial" w:hAnsi="Arial"/>
          <w:sz w:val="18"/>
          <w:szCs w:val="18"/>
          <w:color w:val="auto"/>
        </w:rPr>
        <w:t>7,418,025</w:t>
      </w:r>
    </w:p>
    <w:p>
      <w:pPr>
        <w:spacing w:after="0" w:line="9" w:lineRule="exact"/>
        <w:rPr>
          <w:sz w:val="20"/>
          <w:szCs w:val="20"/>
          <w:color w:val="auto"/>
        </w:rPr>
      </w:pPr>
    </w:p>
    <w:p>
      <w:pPr>
        <w:jc w:val="both"/>
        <w:ind w:left="5160"/>
        <w:spacing w:after="0"/>
        <w:tabs>
          <w:tab w:leader="none" w:pos="6580" w:val="left"/>
        </w:tabs>
        <w:rPr>
          <w:sz w:val="20"/>
          <w:szCs w:val="20"/>
          <w:color w:val="auto"/>
        </w:rPr>
      </w:pPr>
      <w:r>
        <w:rPr>
          <w:rFonts w:ascii="Arial" w:cs="Arial" w:eastAsia="Arial" w:hAnsi="Arial"/>
          <w:sz w:val="18"/>
          <w:szCs w:val="18"/>
          <w:color w:val="auto"/>
        </w:rPr>
        <w:t>4,456,611</w:t>
      </w:r>
      <w:r>
        <w:rPr>
          <w:sz w:val="20"/>
          <w:szCs w:val="20"/>
          <w:color w:val="auto"/>
        </w:rPr>
        <w:tab/>
      </w:r>
      <w:r>
        <w:rPr>
          <w:rFonts w:ascii="Arial" w:cs="Arial" w:eastAsia="Arial" w:hAnsi="Arial"/>
          <w:sz w:val="18"/>
          <w:szCs w:val="18"/>
          <w:color w:val="auto"/>
        </w:rPr>
        <w:t>871,043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14605</wp:posOffset>
            </wp:positionV>
            <wp:extent cx="156019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both"/>
        <w:ind w:left="5060"/>
        <w:spacing w:after="0"/>
        <w:tabs>
          <w:tab w:leader="none" w:pos="6360" w:val="left"/>
        </w:tabs>
        <w:rPr>
          <w:sz w:val="20"/>
          <w:szCs w:val="20"/>
          <w:color w:val="auto"/>
        </w:rPr>
      </w:pPr>
      <w:r>
        <w:rPr>
          <w:rFonts w:ascii="Arial" w:cs="Arial" w:eastAsia="Arial" w:hAnsi="Arial"/>
          <w:sz w:val="18"/>
          <w:szCs w:val="18"/>
          <w:color w:val="auto"/>
        </w:rPr>
        <w:t>32,859,092</w:t>
      </w:r>
      <w:r>
        <w:rPr>
          <w:sz w:val="20"/>
          <w:szCs w:val="20"/>
          <w:color w:val="auto"/>
        </w:rPr>
        <w:tab/>
      </w:r>
      <w:r>
        <w:rPr>
          <w:rFonts w:ascii="Arial" w:cs="Arial" w:eastAsia="Arial" w:hAnsi="Arial"/>
          <w:sz w:val="18"/>
          <w:szCs w:val="18"/>
          <w:color w:val="auto"/>
        </w:rPr>
        <w:t>27,141,748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14605</wp:posOffset>
            </wp:positionV>
            <wp:extent cx="156019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jc w:val="both"/>
        <w:ind w:left="5280"/>
        <w:spacing w:after="0"/>
        <w:tabs>
          <w:tab w:leader="none" w:pos="6580" w:val="left"/>
        </w:tabs>
        <w:rPr>
          <w:sz w:val="20"/>
          <w:szCs w:val="20"/>
          <w:color w:val="auto"/>
        </w:rPr>
      </w:pPr>
      <w:r>
        <w:rPr>
          <w:rFonts w:ascii="Arial" w:cs="Arial" w:eastAsia="Arial" w:hAnsi="Arial"/>
          <w:sz w:val="18"/>
          <w:szCs w:val="18"/>
          <w:color w:val="auto"/>
        </w:rPr>
        <w:t>148,854</w:t>
      </w:r>
      <w:r>
        <w:rPr>
          <w:sz w:val="20"/>
          <w:szCs w:val="20"/>
          <w:color w:val="auto"/>
        </w:rPr>
        <w:tab/>
      </w:r>
      <w:r>
        <w:rPr>
          <w:rFonts w:ascii="Arial" w:cs="Arial" w:eastAsia="Arial" w:hAnsi="Arial"/>
          <w:sz w:val="18"/>
          <w:szCs w:val="18"/>
          <w:color w:val="auto"/>
        </w:rPr>
        <w:t>176,014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14605</wp:posOffset>
            </wp:positionV>
            <wp:extent cx="156019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2" w:lineRule="exact"/>
        <w:rPr>
          <w:sz w:val="20"/>
          <w:szCs w:val="20"/>
          <w:color w:val="auto"/>
        </w:rPr>
      </w:pPr>
    </w:p>
    <w:p>
      <w:pPr>
        <w:jc w:val="both"/>
        <w:ind w:left="5060"/>
        <w:spacing w:after="0"/>
        <w:tabs>
          <w:tab w:leader="none" w:pos="6360" w:val="left"/>
        </w:tabs>
        <w:rPr>
          <w:sz w:val="20"/>
          <w:szCs w:val="20"/>
          <w:color w:val="auto"/>
        </w:rPr>
      </w:pPr>
      <w:r>
        <w:rPr>
          <w:rFonts w:ascii="Arial" w:cs="Arial" w:eastAsia="Arial" w:hAnsi="Arial"/>
          <w:sz w:val="18"/>
          <w:szCs w:val="18"/>
          <w:color w:val="auto"/>
        </w:rPr>
        <w:t>14,740,031</w:t>
      </w:r>
      <w:r>
        <w:rPr>
          <w:sz w:val="20"/>
          <w:szCs w:val="20"/>
          <w:color w:val="auto"/>
        </w:rPr>
        <w:tab/>
      </w:r>
      <w:r>
        <w:rPr>
          <w:rFonts w:ascii="Arial" w:cs="Arial" w:eastAsia="Arial" w:hAnsi="Arial"/>
          <w:sz w:val="18"/>
          <w:szCs w:val="18"/>
          <w:color w:val="auto"/>
        </w:rPr>
        <w:t>14,740,031</w:t>
      </w:r>
    </w:p>
    <w:p>
      <w:pPr>
        <w:spacing w:after="0" w:line="23" w:lineRule="exact"/>
        <w:rPr>
          <w:sz w:val="20"/>
          <w:szCs w:val="20"/>
          <w:color w:val="auto"/>
        </w:rPr>
      </w:pPr>
    </w:p>
    <w:p>
      <w:pPr>
        <w:jc w:val="both"/>
        <w:ind w:left="5140"/>
        <w:spacing w:after="0"/>
        <w:tabs>
          <w:tab w:leader="none" w:pos="6460" w:val="left"/>
        </w:tabs>
        <w:rPr>
          <w:sz w:val="20"/>
          <w:szCs w:val="20"/>
          <w:color w:val="auto"/>
        </w:rPr>
      </w:pPr>
      <w:r>
        <w:rPr>
          <w:rFonts w:ascii="Arial" w:cs="Arial" w:eastAsia="Arial" w:hAnsi="Arial"/>
          <w:sz w:val="18"/>
          <w:szCs w:val="18"/>
          <w:color w:val="auto"/>
        </w:rPr>
        <w:t>5,251,822</w:t>
      </w:r>
      <w:r>
        <w:rPr>
          <w:sz w:val="20"/>
          <w:szCs w:val="20"/>
          <w:color w:val="auto"/>
        </w:rPr>
        <w:tab/>
      </w:r>
      <w:r>
        <w:rPr>
          <w:rFonts w:ascii="Arial" w:cs="Arial" w:eastAsia="Arial" w:hAnsi="Arial"/>
          <w:sz w:val="18"/>
          <w:szCs w:val="18"/>
          <w:color w:val="auto"/>
        </w:rPr>
        <w:t>6,238,453</w:t>
      </w:r>
    </w:p>
    <w:p>
      <w:pPr>
        <w:spacing w:after="0" w:line="9" w:lineRule="exact"/>
        <w:rPr>
          <w:sz w:val="20"/>
          <w:szCs w:val="20"/>
          <w:color w:val="auto"/>
        </w:rPr>
      </w:pPr>
    </w:p>
    <w:p>
      <w:pPr>
        <w:jc w:val="both"/>
        <w:ind w:left="5140"/>
        <w:spacing w:after="0"/>
        <w:tabs>
          <w:tab w:leader="none" w:pos="6460" w:val="left"/>
        </w:tabs>
        <w:rPr>
          <w:sz w:val="20"/>
          <w:szCs w:val="20"/>
          <w:color w:val="auto"/>
        </w:rPr>
      </w:pPr>
      <w:r>
        <w:rPr>
          <w:rFonts w:ascii="Arial" w:cs="Arial" w:eastAsia="Arial" w:hAnsi="Arial"/>
          <w:sz w:val="18"/>
          <w:szCs w:val="18"/>
          <w:color w:val="auto"/>
        </w:rPr>
        <w:t>2,349,570</w:t>
      </w:r>
      <w:r>
        <w:rPr>
          <w:sz w:val="20"/>
          <w:szCs w:val="20"/>
          <w:color w:val="auto"/>
        </w:rPr>
        <w:tab/>
      </w:r>
      <w:r>
        <w:rPr>
          <w:rFonts w:ascii="Arial" w:cs="Arial" w:eastAsia="Arial" w:hAnsi="Arial"/>
          <w:sz w:val="18"/>
          <w:szCs w:val="18"/>
          <w:color w:val="auto"/>
        </w:rPr>
        <w:t>2,550,587</w:t>
      </w:r>
    </w:p>
    <w:p>
      <w:pPr>
        <w:spacing w:after="0" w:line="9" w:lineRule="exact"/>
        <w:rPr>
          <w:sz w:val="20"/>
          <w:szCs w:val="20"/>
          <w:color w:val="auto"/>
        </w:rPr>
      </w:pPr>
    </w:p>
    <w:p>
      <w:pPr>
        <w:jc w:val="both"/>
        <w:ind w:left="5280"/>
        <w:spacing w:after="0"/>
        <w:tabs>
          <w:tab w:leader="none" w:pos="6580" w:val="left"/>
        </w:tabs>
        <w:rPr>
          <w:sz w:val="20"/>
          <w:szCs w:val="20"/>
          <w:color w:val="auto"/>
        </w:rPr>
      </w:pPr>
      <w:r>
        <w:rPr>
          <w:rFonts w:ascii="Arial" w:cs="Arial" w:eastAsia="Arial" w:hAnsi="Arial"/>
          <w:sz w:val="18"/>
          <w:szCs w:val="18"/>
          <w:color w:val="auto"/>
        </w:rPr>
        <w:t>445,974</w:t>
      </w:r>
      <w:r>
        <w:rPr>
          <w:sz w:val="20"/>
          <w:szCs w:val="20"/>
          <w:color w:val="auto"/>
        </w:rPr>
        <w:tab/>
      </w:r>
      <w:r>
        <w:rPr>
          <w:rFonts w:ascii="Arial" w:cs="Arial" w:eastAsia="Arial" w:hAnsi="Arial"/>
          <w:sz w:val="18"/>
          <w:szCs w:val="18"/>
          <w:color w:val="auto"/>
        </w:rPr>
        <w:t>559,863</w:t>
      </w:r>
    </w:p>
    <w:p>
      <w:pPr>
        <w:spacing w:after="0" w:line="9" w:lineRule="exact"/>
        <w:rPr>
          <w:sz w:val="20"/>
          <w:szCs w:val="20"/>
          <w:color w:val="auto"/>
        </w:rPr>
      </w:pPr>
    </w:p>
    <w:p>
      <w:pPr>
        <w:jc w:val="both"/>
        <w:ind w:left="5140"/>
        <w:spacing w:after="0"/>
        <w:tabs>
          <w:tab w:leader="none" w:pos="6460" w:val="left"/>
        </w:tabs>
        <w:rPr>
          <w:sz w:val="20"/>
          <w:szCs w:val="20"/>
          <w:color w:val="auto"/>
        </w:rPr>
      </w:pPr>
      <w:r>
        <w:rPr>
          <w:rFonts w:ascii="Arial" w:cs="Arial" w:eastAsia="Arial" w:hAnsi="Arial"/>
          <w:sz w:val="18"/>
          <w:szCs w:val="18"/>
          <w:color w:val="auto"/>
        </w:rPr>
        <w:t>4,519,552</w:t>
      </w:r>
      <w:r>
        <w:rPr>
          <w:sz w:val="20"/>
          <w:szCs w:val="20"/>
          <w:color w:val="auto"/>
        </w:rPr>
        <w:tab/>
      </w:r>
      <w:r>
        <w:rPr>
          <w:rFonts w:ascii="Arial" w:cs="Arial" w:eastAsia="Arial" w:hAnsi="Arial"/>
          <w:sz w:val="18"/>
          <w:szCs w:val="18"/>
          <w:color w:val="auto"/>
        </w:rPr>
        <w:t>5,151,102</w:t>
      </w:r>
    </w:p>
    <w:p>
      <w:pPr>
        <w:spacing w:after="0" w:line="9" w:lineRule="exact"/>
        <w:rPr>
          <w:sz w:val="20"/>
          <w:szCs w:val="20"/>
          <w:color w:val="auto"/>
        </w:rPr>
      </w:pPr>
    </w:p>
    <w:p>
      <w:pPr>
        <w:jc w:val="both"/>
        <w:ind w:left="5380"/>
        <w:spacing w:after="0"/>
        <w:tabs>
          <w:tab w:leader="none" w:pos="6680" w:val="left"/>
        </w:tabs>
        <w:rPr>
          <w:sz w:val="20"/>
          <w:szCs w:val="20"/>
          <w:color w:val="auto"/>
        </w:rPr>
      </w:pPr>
      <w:r>
        <w:rPr>
          <w:rFonts w:ascii="Arial" w:cs="Arial" w:eastAsia="Arial" w:hAnsi="Arial"/>
          <w:sz w:val="18"/>
          <w:szCs w:val="18"/>
          <w:color w:val="auto"/>
        </w:rPr>
        <w:t>12,859</w:t>
      </w:r>
      <w:r>
        <w:rPr>
          <w:sz w:val="20"/>
          <w:szCs w:val="20"/>
          <w:color w:val="auto"/>
        </w:rPr>
        <w:tab/>
      </w:r>
      <w:r>
        <w:rPr>
          <w:rFonts w:ascii="Arial" w:cs="Arial" w:eastAsia="Arial" w:hAnsi="Arial"/>
          <w:sz w:val="18"/>
          <w:szCs w:val="18"/>
          <w:color w:val="auto"/>
        </w:rPr>
        <w:t>80,727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14605</wp:posOffset>
            </wp:positionV>
            <wp:extent cx="15601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both"/>
        <w:ind w:left="5060"/>
        <w:spacing w:after="0"/>
        <w:tabs>
          <w:tab w:leader="none" w:pos="6360" w:val="left"/>
        </w:tabs>
        <w:rPr>
          <w:sz w:val="20"/>
          <w:szCs w:val="20"/>
          <w:color w:val="auto"/>
        </w:rPr>
      </w:pPr>
      <w:r>
        <w:rPr>
          <w:rFonts w:ascii="Arial" w:cs="Arial" w:eastAsia="Arial" w:hAnsi="Arial"/>
          <w:sz w:val="18"/>
          <w:szCs w:val="18"/>
          <w:color w:val="auto"/>
        </w:rPr>
        <w:t>27,319,808</w:t>
      </w:r>
      <w:r>
        <w:rPr>
          <w:sz w:val="20"/>
          <w:szCs w:val="20"/>
          <w:color w:val="auto"/>
        </w:rPr>
        <w:tab/>
      </w:r>
      <w:r>
        <w:rPr>
          <w:rFonts w:ascii="Arial" w:cs="Arial" w:eastAsia="Arial" w:hAnsi="Arial"/>
          <w:sz w:val="18"/>
          <w:szCs w:val="18"/>
          <w:color w:val="auto"/>
        </w:rPr>
        <w:t>29,320,763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14605</wp:posOffset>
            </wp:positionV>
            <wp:extent cx="15601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3" w:lineRule="exact"/>
        <w:rPr>
          <w:sz w:val="20"/>
          <w:szCs w:val="20"/>
          <w:color w:val="auto"/>
        </w:rPr>
      </w:pPr>
    </w:p>
    <w:p>
      <w:pPr>
        <w:jc w:val="both"/>
        <w:ind w:left="4740"/>
        <w:spacing w:after="0"/>
        <w:tabs>
          <w:tab w:leader="none" w:pos="5040" w:val="left"/>
          <w:tab w:leader="none" w:pos="6060" w:val="left"/>
          <w:tab w:leader="none" w:pos="6360" w:val="left"/>
        </w:tabs>
        <w:rPr>
          <w:sz w:val="20"/>
          <w:szCs w:val="20"/>
          <w:color w:val="auto"/>
        </w:rPr>
      </w:pPr>
      <w:r>
        <w:rPr>
          <w:rFonts w:ascii="Arial" w:cs="Arial" w:eastAsia="Arial" w:hAnsi="Arial"/>
          <w:sz w:val="18"/>
          <w:szCs w:val="18"/>
          <w:u w:val="single" w:color="auto"/>
          <w:color w:val="auto"/>
        </w:rPr>
        <w:t>$</w:t>
        <w:tab/>
        <w:t>60,327,754</w:t>
        <w:tab/>
        <w:t>$</w:t>
      </w:r>
      <w:r>
        <w:rPr>
          <w:sz w:val="20"/>
          <w:szCs w:val="20"/>
          <w:color w:val="auto"/>
        </w:rPr>
        <w:tab/>
      </w:r>
      <w:r>
        <w:rPr>
          <w:rFonts w:ascii="Arial" w:cs="Arial" w:eastAsia="Arial" w:hAnsi="Arial"/>
          <w:sz w:val="16"/>
          <w:szCs w:val="16"/>
          <w:u w:val="single" w:color="auto"/>
          <w:color w:val="auto"/>
        </w:rPr>
        <w:t>56,638,525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40640</wp:posOffset>
            </wp:positionV>
            <wp:extent cx="156019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260"/>
          </w:cols>
          <w:pgMar w:left="320" w:top="337" w:right="379" w:bottom="1440" w:gutter="0" w:footer="0" w:header="0"/>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618,250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492,995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2,420,361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1,800,635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Revenue share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4,969,868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1,618,438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123,220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115,431</w:t>
            </w:r>
          </w:p>
        </w:tc>
        <w:tc>
          <w:tcPr>
            <w:tcW w:w="4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Contingent purchase price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1,610,813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86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285,795</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580,014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680" w:type="dxa"/>
            <w:vAlign w:val="bottom"/>
          </w:tcPr>
          <w:p>
            <w:pPr>
              <w:ind w:left="160"/>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10,028,307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6,107,513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Lease liabilities,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325,533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448,753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8680" w:type="dxa"/>
            <w:vAlign w:val="bottom"/>
          </w:tcPr>
          <w:p>
            <w:pPr>
              <w:ind w:left="160"/>
              <w:spacing w:after="0"/>
              <w:rPr>
                <w:sz w:val="20"/>
                <w:szCs w:val="20"/>
                <w:color w:val="auto"/>
              </w:rPr>
            </w:pPr>
            <w:r>
              <w:rPr>
                <w:rFonts w:ascii="Arial" w:cs="Arial" w:eastAsia="Arial" w:hAnsi="Arial"/>
                <w:sz w:val="18"/>
                <w:szCs w:val="18"/>
                <w:color w:val="auto"/>
              </w:rPr>
              <w:t>Contingent purchase price payable, net of current portion</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5,220,000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680" w:type="dxa"/>
            <w:vAlign w:val="bottom"/>
          </w:tcPr>
          <w:p>
            <w:pPr>
              <w:ind w:left="140"/>
              <w:spacing w:after="0" w:line="203" w:lineRule="exact"/>
              <w:rPr>
                <w:sz w:val="20"/>
                <w:szCs w:val="20"/>
                <w:color w:val="auto"/>
              </w:rPr>
            </w:pPr>
            <w:r>
              <w:rPr>
                <w:rFonts w:ascii="Arial" w:cs="Arial" w:eastAsia="Arial" w:hAnsi="Arial"/>
                <w:sz w:val="18"/>
                <w:szCs w:val="18"/>
                <w:color w:val="auto"/>
              </w:rPr>
              <w:t>Total Non-Current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325,533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5,668,753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10,353,840</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11,776,266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 (See Note 15)</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w w:val="90"/>
              </w:rPr>
              <w:t>Preferred stock, $0.001 par value, 10,000,000 shares authorized, none issued and outstanding at December 31, 2020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and 2019,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w w:val="94"/>
              </w:rPr>
              <w:t>Common stock, $0.001 par value, 166,666,667 shares authorized, 15,223,340 and 14,609,579 shares issued and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outstanding at December 31, 2020 and 2019, respectively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15,223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14,601</w:t>
            </w:r>
          </w:p>
        </w:tc>
        <w:tc>
          <w:tcPr>
            <w:tcW w:w="4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85,590,428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78,272,268</w:t>
            </w:r>
          </w:p>
        </w:tc>
        <w:tc>
          <w:tcPr>
            <w:tcW w:w="40" w:type="dxa"/>
            <w:vAlign w:val="bottom"/>
          </w:tcPr>
          <w:p>
            <w:pPr>
              <w:spacing w:after="0"/>
              <w:rPr>
                <w:sz w:val="18"/>
                <w:szCs w:val="18"/>
                <w:color w:val="auto"/>
              </w:rPr>
            </w:pPr>
          </w:p>
        </w:tc>
      </w:tr>
      <w:tr>
        <w:trPr>
          <w:trHeight w:val="251"/>
        </w:trPr>
        <w:tc>
          <w:tcPr>
            <w:tcW w:w="86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(35,631,737)</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(33,424,610)</w:t>
            </w: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49,973,914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44,862,259</w:t>
            </w:r>
          </w:p>
        </w:tc>
        <w:tc>
          <w:tcPr>
            <w:tcW w:w="40" w:type="dxa"/>
            <w:vAlign w:val="bottom"/>
          </w:tcPr>
          <w:p>
            <w:pPr>
              <w:spacing w:after="0"/>
              <w:rPr>
                <w:sz w:val="19"/>
                <w:szCs w:val="19"/>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60,327,754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56,638,525</w:t>
            </w:r>
          </w:p>
        </w:tc>
        <w:tc>
          <w:tcPr>
            <w:tcW w:w="4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32" w:name="page33"/>
    <w:bookmarkEnd w:id="32"/>
    <w:p>
      <w:pPr>
        <w:jc w:val="center"/>
        <w:ind w:left="296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general and administrative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 in fair value of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Loss before 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shares outstanding – basic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shares outstanding – diluted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Loss per share –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per share – diluted</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For the</w:t>
            </w:r>
          </w:p>
        </w:tc>
      </w:tr>
      <w:tr>
        <w:trPr>
          <w:trHeight w:val="216"/>
        </w:trPr>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year ended</w:t>
            </w: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December 31,</w:t>
            </w:r>
          </w:p>
        </w:tc>
      </w:tr>
      <w:tr>
        <w:trPr>
          <w:trHeight w:val="237"/>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r>
    </w:tbl>
    <w:p>
      <w:pPr>
        <w:spacing w:after="0" w:line="202" w:lineRule="exact"/>
        <w:rPr>
          <w:sz w:val="20"/>
          <w:szCs w:val="20"/>
          <w:color w:val="auto"/>
        </w:rPr>
      </w:pPr>
    </w:p>
    <w:p>
      <w:pPr>
        <w:ind w:left="325" w:hanging="325"/>
        <w:spacing w:after="0"/>
        <w:tabs>
          <w:tab w:leader="none" w:pos="3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43,313,323   $  24,598,274</w:t>
      </w:r>
    </w:p>
    <w:p>
      <w:pPr>
        <w:spacing w:after="0" w:line="23" w:lineRule="exact"/>
        <w:rPr>
          <w:rFonts w:ascii="Arial" w:cs="Arial" w:eastAsia="Arial" w:hAnsi="Arial"/>
          <w:sz w:val="18"/>
          <w:szCs w:val="18"/>
          <w:color w:val="auto"/>
        </w:rPr>
      </w:pPr>
    </w:p>
    <w:p>
      <w:pPr>
        <w:ind w:left="325"/>
        <w:spacing w:after="0"/>
        <w:rPr>
          <w:rFonts w:ascii="Arial" w:cs="Arial" w:eastAsia="Arial" w:hAnsi="Arial"/>
          <w:sz w:val="18"/>
          <w:szCs w:val="18"/>
          <w:color w:val="auto"/>
        </w:rPr>
      </w:pPr>
      <w:r>
        <w:rPr>
          <w:rFonts w:ascii="Arial" w:cs="Arial" w:eastAsia="Arial" w:hAnsi="Arial"/>
          <w:sz w:val="18"/>
          <w:szCs w:val="18"/>
          <w:color w:val="auto"/>
        </w:rPr>
        <w:t>19,207,902</w:t>
      </w:r>
      <w:r>
        <w:rPr>
          <w:rFonts w:ascii="Arial" w:cs="Arial" w:eastAsia="Arial" w:hAnsi="Arial"/>
          <w:sz w:val="16"/>
          <w:szCs w:val="16"/>
          <w:color w:val="auto"/>
        </w:rPr>
        <w:t>9,158,699</w:t>
      </w:r>
    </w:p>
    <w:p>
      <w:pPr>
        <w:spacing w:after="0" w:line="35" w:lineRule="exact"/>
        <w:rPr>
          <w:rFonts w:ascii="Arial" w:cs="Arial" w:eastAsia="Arial" w:hAnsi="Arial"/>
          <w:sz w:val="18"/>
          <w:szCs w:val="18"/>
          <w:color w:val="auto"/>
        </w:rPr>
      </w:pPr>
    </w:p>
    <w:p>
      <w:pPr>
        <w:ind w:left="325"/>
        <w:spacing w:after="0"/>
        <w:rPr>
          <w:rFonts w:ascii="Arial" w:cs="Arial" w:eastAsia="Arial" w:hAnsi="Arial"/>
          <w:sz w:val="18"/>
          <w:szCs w:val="18"/>
          <w:color w:val="auto"/>
        </w:rPr>
      </w:pPr>
      <w:r>
        <w:rPr>
          <w:rFonts w:ascii="Arial" w:cs="Arial" w:eastAsia="Arial" w:hAnsi="Arial"/>
          <w:sz w:val="18"/>
          <w:szCs w:val="18"/>
          <w:color w:val="auto"/>
        </w:rPr>
        <w:t>24,105,421</w:t>
      </w:r>
      <w:r>
        <w:rPr>
          <w:rFonts w:ascii="Arial" w:cs="Arial" w:eastAsia="Arial" w:hAnsi="Arial"/>
          <w:sz w:val="16"/>
          <w:szCs w:val="16"/>
          <w:color w:val="auto"/>
        </w:rPr>
        <w:t>15,439,575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6019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156019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5"/>
        <w:spacing w:after="0"/>
        <w:tabs>
          <w:tab w:leader="none" w:pos="1725" w:val="left"/>
        </w:tabs>
        <w:rPr>
          <w:sz w:val="20"/>
          <w:szCs w:val="20"/>
          <w:color w:val="auto"/>
        </w:rPr>
      </w:pPr>
      <w:r>
        <w:rPr>
          <w:rFonts w:ascii="Arial" w:cs="Arial" w:eastAsia="Arial" w:hAnsi="Arial"/>
          <w:sz w:val="17"/>
          <w:szCs w:val="17"/>
          <w:color w:val="auto"/>
        </w:rPr>
        <w:t>3,172,840</w:t>
      </w:r>
      <w:r>
        <w:rPr>
          <w:sz w:val="20"/>
          <w:szCs w:val="20"/>
          <w:color w:val="auto"/>
        </w:rPr>
        <w:tab/>
      </w:r>
      <w:r>
        <w:rPr>
          <w:rFonts w:ascii="Arial" w:cs="Arial" w:eastAsia="Arial" w:hAnsi="Arial"/>
          <w:sz w:val="17"/>
          <w:szCs w:val="17"/>
          <w:color w:val="auto"/>
        </w:rPr>
        <w:t>2,260,298</w:t>
      </w:r>
    </w:p>
    <w:p>
      <w:pPr>
        <w:spacing w:after="0" w:line="35" w:lineRule="exact"/>
        <w:rPr>
          <w:sz w:val="20"/>
          <w:szCs w:val="20"/>
          <w:color w:val="auto"/>
        </w:rPr>
      </w:pPr>
    </w:p>
    <w:p>
      <w:pPr>
        <w:ind w:left="405"/>
        <w:spacing w:after="0"/>
        <w:tabs>
          <w:tab w:leader="none" w:pos="1725" w:val="left"/>
        </w:tabs>
        <w:rPr>
          <w:sz w:val="20"/>
          <w:szCs w:val="20"/>
          <w:color w:val="auto"/>
        </w:rPr>
      </w:pPr>
      <w:r>
        <w:rPr>
          <w:rFonts w:ascii="Arial" w:cs="Arial" w:eastAsia="Arial" w:hAnsi="Arial"/>
          <w:sz w:val="17"/>
          <w:szCs w:val="17"/>
          <w:color w:val="auto"/>
        </w:rPr>
        <w:t>2,075,888</w:t>
      </w:r>
      <w:r>
        <w:rPr>
          <w:sz w:val="20"/>
          <w:szCs w:val="20"/>
          <w:color w:val="auto"/>
        </w:rPr>
        <w:tab/>
      </w:r>
      <w:r>
        <w:rPr>
          <w:rFonts w:ascii="Arial" w:cs="Arial" w:eastAsia="Arial" w:hAnsi="Arial"/>
          <w:sz w:val="17"/>
          <w:szCs w:val="17"/>
          <w:color w:val="auto"/>
        </w:rPr>
        <w:t>1,282,787</w:t>
      </w:r>
    </w:p>
    <w:p>
      <w:pPr>
        <w:spacing w:after="0" w:line="21" w:lineRule="exact"/>
        <w:rPr>
          <w:sz w:val="20"/>
          <w:szCs w:val="20"/>
          <w:color w:val="auto"/>
        </w:rPr>
      </w:pPr>
    </w:p>
    <w:p>
      <w:pPr>
        <w:ind w:left="325"/>
        <w:spacing w:after="0"/>
        <w:tabs>
          <w:tab w:leader="none" w:pos="1625" w:val="left"/>
        </w:tabs>
        <w:rPr>
          <w:sz w:val="20"/>
          <w:szCs w:val="20"/>
          <w:color w:val="auto"/>
        </w:rPr>
      </w:pPr>
      <w:r>
        <w:rPr>
          <w:rFonts w:ascii="Arial" w:cs="Arial" w:eastAsia="Arial" w:hAnsi="Arial"/>
          <w:sz w:val="17"/>
          <w:szCs w:val="17"/>
          <w:color w:val="auto"/>
        </w:rPr>
        <w:t>20,992,012</w:t>
      </w:r>
      <w:r>
        <w:rPr>
          <w:sz w:val="20"/>
          <w:szCs w:val="20"/>
          <w:color w:val="auto"/>
        </w:rPr>
        <w:tab/>
      </w:r>
      <w:r>
        <w:rPr>
          <w:rFonts w:ascii="Arial" w:cs="Arial" w:eastAsia="Arial" w:hAnsi="Arial"/>
          <w:sz w:val="17"/>
          <w:szCs w:val="17"/>
          <w:color w:val="auto"/>
        </w:rPr>
        <w:t>15,590,054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56019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7" w:lineRule="exact"/>
        <w:rPr>
          <w:sz w:val="20"/>
          <w:szCs w:val="20"/>
          <w:color w:val="auto"/>
        </w:rPr>
      </w:pPr>
    </w:p>
    <w:p>
      <w:pPr>
        <w:ind w:left="325"/>
        <w:spacing w:after="0"/>
        <w:tabs>
          <w:tab w:leader="none" w:pos="1625" w:val="left"/>
        </w:tabs>
        <w:rPr>
          <w:sz w:val="20"/>
          <w:szCs w:val="20"/>
          <w:color w:val="auto"/>
        </w:rPr>
      </w:pPr>
      <w:r>
        <w:rPr>
          <w:rFonts w:ascii="Arial" w:cs="Arial" w:eastAsia="Arial" w:hAnsi="Arial"/>
          <w:sz w:val="17"/>
          <w:szCs w:val="17"/>
          <w:color w:val="auto"/>
        </w:rPr>
        <w:t>26,240,740</w:t>
      </w:r>
      <w:r>
        <w:rPr>
          <w:sz w:val="20"/>
          <w:szCs w:val="20"/>
          <w:color w:val="auto"/>
        </w:rPr>
        <w:tab/>
      </w:r>
      <w:r>
        <w:rPr>
          <w:rFonts w:ascii="Arial" w:cs="Arial" w:eastAsia="Arial" w:hAnsi="Arial"/>
          <w:sz w:val="17"/>
          <w:szCs w:val="17"/>
          <w:color w:val="auto"/>
        </w:rPr>
        <w:t>19,133,139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56019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8"/>
          <w:szCs w:val="18"/>
          <w:color w:val="auto"/>
        </w:rPr>
        <w:t>(2,135,319)</w:t>
      </w:r>
      <w:r>
        <w:rPr>
          <w:sz w:val="20"/>
          <w:szCs w:val="20"/>
          <w:color w:val="auto"/>
        </w:rPr>
        <w:tab/>
      </w:r>
      <w:r>
        <w:rPr>
          <w:rFonts w:ascii="Arial" w:cs="Arial" w:eastAsia="Arial" w:hAnsi="Arial"/>
          <w:sz w:val="16"/>
          <w:szCs w:val="16"/>
          <w:color w:val="auto"/>
        </w:rPr>
        <w:t>(3,693,564)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601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45" w:lineRule="exact"/>
        <w:rPr>
          <w:sz w:val="20"/>
          <w:szCs w:val="20"/>
          <w:color w:val="auto"/>
        </w:rPr>
      </w:pPr>
    </w:p>
    <w:p>
      <w:pPr>
        <w:ind w:left="645"/>
        <w:spacing w:after="0"/>
        <w:tabs>
          <w:tab w:leader="none" w:pos="1845" w:val="left"/>
        </w:tabs>
        <w:rPr>
          <w:sz w:val="20"/>
          <w:szCs w:val="20"/>
          <w:color w:val="auto"/>
        </w:rPr>
      </w:pPr>
      <w:r>
        <w:rPr>
          <w:rFonts w:ascii="Arial" w:cs="Arial" w:eastAsia="Arial" w:hAnsi="Arial"/>
          <w:sz w:val="18"/>
          <w:szCs w:val="18"/>
          <w:color w:val="auto"/>
        </w:rPr>
        <w:t>68,582</w:t>
      </w:r>
      <w:r>
        <w:rPr>
          <w:sz w:val="20"/>
          <w:szCs w:val="20"/>
          <w:color w:val="auto"/>
        </w:rPr>
        <w:tab/>
      </w:r>
      <w:r>
        <w:rPr>
          <w:rFonts w:ascii="Arial" w:cs="Arial" w:eastAsia="Arial" w:hAnsi="Arial"/>
          <w:sz w:val="18"/>
          <w:szCs w:val="18"/>
          <w:color w:val="auto"/>
        </w:rPr>
        <w:t>288,028</w:t>
      </w:r>
    </w:p>
    <w:p>
      <w:pPr>
        <w:spacing w:after="0" w:line="23"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auto"/>
        </w:rPr>
        <w:t>(140,390)</w:t>
      </w:r>
      <w:r>
        <w:rPr>
          <w:sz w:val="20"/>
          <w:szCs w:val="20"/>
          <w:color w:val="auto"/>
        </w:rPr>
        <w:tab/>
      </w:r>
      <w:r>
        <w:rPr>
          <w:rFonts w:ascii="Arial" w:cs="Arial" w:eastAsia="Arial" w:hAnsi="Arial"/>
          <w:sz w:val="16"/>
          <w:szCs w:val="16"/>
          <w:color w:val="auto"/>
        </w:rPr>
        <w:t>(635,000)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auto"/>
        </w:rPr>
        <w:t>(71,808)</w:t>
      </w:r>
      <w:r>
        <w:rPr>
          <w:sz w:val="20"/>
          <w:szCs w:val="20"/>
          <w:color w:val="auto"/>
        </w:rPr>
        <w:tab/>
      </w:r>
      <w:r>
        <w:rPr>
          <w:rFonts w:ascii="Arial" w:cs="Arial" w:eastAsia="Arial" w:hAnsi="Arial"/>
          <w:sz w:val="16"/>
          <w:szCs w:val="16"/>
          <w:color w:val="auto"/>
        </w:rPr>
        <w:t>(346,972)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6019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9" w:lineRule="exact"/>
        <w:rPr>
          <w:sz w:val="20"/>
          <w:szCs w:val="20"/>
          <w:color w:val="auto"/>
        </w:rPr>
      </w:pPr>
    </w:p>
    <w:p>
      <w:pPr>
        <w:jc w:val="both"/>
        <w:ind w:left="345"/>
        <w:spacing w:after="0"/>
        <w:tabs>
          <w:tab w:leader="none" w:pos="1665" w:val="left"/>
        </w:tabs>
        <w:rPr>
          <w:sz w:val="20"/>
          <w:szCs w:val="20"/>
          <w:color w:val="auto"/>
        </w:rPr>
      </w:pPr>
      <w:r>
        <w:rPr>
          <w:rFonts w:ascii="Arial" w:cs="Arial" w:eastAsia="Arial" w:hAnsi="Arial"/>
          <w:sz w:val="18"/>
          <w:szCs w:val="18"/>
          <w:color w:val="auto"/>
        </w:rPr>
        <w:t>(2,207,127)</w:t>
      </w:r>
      <w:r>
        <w:rPr>
          <w:sz w:val="20"/>
          <w:szCs w:val="20"/>
          <w:color w:val="auto"/>
        </w:rPr>
        <w:tab/>
      </w:r>
      <w:r>
        <w:rPr>
          <w:rFonts w:ascii="Arial" w:cs="Arial" w:eastAsia="Arial" w:hAnsi="Arial"/>
          <w:sz w:val="18"/>
          <w:szCs w:val="18"/>
          <w:color w:val="auto"/>
        </w:rPr>
        <w:t>(4,040,536)</w:t>
      </w:r>
    </w:p>
    <w:p>
      <w:pPr>
        <w:spacing w:after="0" w:line="23" w:lineRule="exact"/>
        <w:rPr>
          <w:sz w:val="20"/>
          <w:szCs w:val="20"/>
          <w:color w:val="auto"/>
        </w:rPr>
      </w:pPr>
    </w:p>
    <w:p>
      <w:pPr>
        <w:jc w:val="right"/>
        <w:ind w:left="5" w:firstLine="1069"/>
        <w:spacing w:after="0" w:line="237" w:lineRule="auto"/>
        <w:tabs>
          <w:tab w:leader="none" w:pos="1877"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897,960 </w:t>
      </w:r>
      <w:r>
        <w:rPr>
          <w:rFonts w:ascii="Arial" w:cs="Arial" w:eastAsia="Arial" w:hAnsi="Arial"/>
          <w:sz w:val="17"/>
          <w:szCs w:val="17"/>
          <w:u w:val="single" w:color="auto"/>
          <w:color w:val="auto"/>
        </w:rPr>
        <w:t>$   (2,207,127</w:t>
      </w:r>
      <w:r>
        <w:rPr>
          <w:rFonts w:ascii="Arial" w:cs="Arial" w:eastAsia="Arial" w:hAnsi="Arial"/>
          <w:sz w:val="33"/>
          <w:szCs w:val="33"/>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   (3,142,576</w:t>
      </w:r>
      <w:r>
        <w:rPr>
          <w:rFonts w:ascii="Arial" w:cs="Arial" w:eastAsia="Arial" w:hAnsi="Arial"/>
          <w:sz w:val="33"/>
          <w:szCs w:val="33"/>
          <w:color w:val="auto"/>
          <w:vertAlign w:val="superscript"/>
        </w:rPr>
        <w:t>)</w:t>
      </w:r>
    </w:p>
    <w:p>
      <w:pPr>
        <w:ind w:left="325"/>
        <w:spacing w:after="0"/>
        <w:rPr>
          <w:rFonts w:ascii="Arial" w:cs="Arial" w:eastAsia="Arial" w:hAnsi="Arial"/>
          <w:sz w:val="17"/>
          <w:szCs w:val="17"/>
          <w:color w:val="auto"/>
        </w:rPr>
      </w:pPr>
      <w:r>
        <w:rPr>
          <w:rFonts w:ascii="Arial" w:cs="Arial" w:eastAsia="Arial" w:hAnsi="Arial"/>
          <w:sz w:val="18"/>
          <w:szCs w:val="18"/>
          <w:color w:val="auto"/>
        </w:rPr>
        <w:t>14,827,923</w:t>
      </w:r>
      <w:r>
        <w:rPr>
          <w:rFonts w:ascii="Arial" w:cs="Arial" w:eastAsia="Arial" w:hAnsi="Arial"/>
          <w:sz w:val="16"/>
          <w:szCs w:val="16"/>
          <w:color w:val="auto"/>
        </w:rPr>
        <w:t>13,387,863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5601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6019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-346075</wp:posOffset>
            </wp:positionV>
            <wp:extent cx="156019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tbl>
      <w:tblPr>
        <w:tblLayout w:type="fixed"/>
        <w:tblInd w:w="5" w:type="dxa"/>
        <w:tblCellMar>
          <w:top w:w="0" w:type="dxa"/>
          <w:left w:w="0" w:type="dxa"/>
          <w:bottom w:w="0" w:type="dxa"/>
          <w:right w:w="0" w:type="dxa"/>
        </w:tblCellMar>
      </w:tblPr>
      <w:tr>
        <w:trPr>
          <w:trHeight w:val="40"/>
        </w:trPr>
        <w:tc>
          <w:tcPr>
            <w:tcW w:w="20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0"/>
        </w:trPr>
        <w:tc>
          <w:tcPr>
            <w:tcW w:w="200" w:type="dxa"/>
            <w:vAlign w:val="bottom"/>
          </w:tcPr>
          <w:p>
            <w:pPr>
              <w:spacing w:after="0"/>
              <w:rPr>
                <w:sz w:val="18"/>
                <w:szCs w:val="18"/>
                <w:color w:val="auto"/>
              </w:rPr>
            </w:pP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w w:val="99"/>
              </w:rPr>
              <w:t>14,827,923</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w w:val="99"/>
              </w:rPr>
              <w:t>13,387,863</w:t>
            </w:r>
          </w:p>
        </w:tc>
        <w:tc>
          <w:tcPr>
            <w:tcW w:w="40" w:type="dxa"/>
            <w:vAlign w:val="bottom"/>
          </w:tcPr>
          <w:p>
            <w:pPr>
              <w:spacing w:after="0"/>
              <w:rPr>
                <w:sz w:val="18"/>
                <w:szCs w:val="18"/>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(0.15)</w:t>
            </w: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(0.23)</w:t>
            </w:r>
          </w:p>
        </w:tc>
      </w:tr>
      <w:tr>
        <w:trPr>
          <w:trHeight w:val="278"/>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line="271" w:lineRule="exact"/>
              <w:rPr>
                <w:sz w:val="20"/>
                <w:szCs w:val="20"/>
                <w:color w:val="auto"/>
              </w:rPr>
            </w:pPr>
            <w:r>
              <w:rPr>
                <w:rFonts w:ascii="Arial" w:cs="Arial" w:eastAsia="Arial" w:hAnsi="Arial"/>
                <w:sz w:val="17"/>
                <w:szCs w:val="17"/>
                <w:color w:val="auto"/>
              </w:rPr>
              <w:t>(0.15</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line="271" w:lineRule="exact"/>
              <w:rPr>
                <w:sz w:val="20"/>
                <w:szCs w:val="20"/>
                <w:color w:val="auto"/>
              </w:rPr>
            </w:pPr>
            <w:r>
              <w:rPr>
                <w:rFonts w:ascii="Arial" w:cs="Arial" w:eastAsia="Arial" w:hAnsi="Arial"/>
                <w:sz w:val="17"/>
                <w:szCs w:val="17"/>
                <w:color w:val="auto"/>
              </w:rPr>
              <w:t>(0.23</w:t>
            </w:r>
            <w:r>
              <w:rPr>
                <w:rFonts w:ascii="Arial" w:cs="Arial" w:eastAsia="Arial" w:hAnsi="Arial"/>
                <w:sz w:val="31"/>
                <w:szCs w:val="31"/>
                <w:color w:val="auto"/>
                <w:vertAlign w:val="superscript"/>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8280" w:space="395"/>
            <w:col w:w="2525"/>
          </w:cols>
          <w:pgMar w:left="320" w:top="337" w:right="37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Ended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Paid-in</w:t>
            </w:r>
          </w:p>
        </w:tc>
        <w:tc>
          <w:tcPr>
            <w:tcW w:w="1320" w:type="dxa"/>
            <w:vAlign w:val="bottom"/>
            <w:gridSpan w:val="3"/>
          </w:tcPr>
          <w:p>
            <w:pPr>
              <w:jc w:val="right"/>
              <w:ind w:right="221"/>
              <w:spacing w:after="0"/>
              <w:rPr>
                <w:sz w:val="20"/>
                <w:szCs w:val="20"/>
                <w:color w:val="auto"/>
              </w:rPr>
            </w:pPr>
            <w:r>
              <w:rPr>
                <w:rFonts w:ascii="Arial" w:cs="Arial" w:eastAsia="Arial" w:hAnsi="Arial"/>
                <w:sz w:val="18"/>
                <w:szCs w:val="18"/>
                <w:color w:val="auto"/>
                <w:w w:val="96"/>
              </w:rPr>
              <w:t>Accumulated</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14,600,579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14,601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78,272,268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(33,424,610)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44,862,259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Options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1,884,202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1,884,202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84,746</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838,430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838,514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For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28,809</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450,095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414,705</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2,487,979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2,488,394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For contingent purchase price and escrow hold back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94,501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1,657,454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1,657,548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(2,207,127)</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(2,207,127)</w:t>
            </w: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15,223,340</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15,223</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85,590,428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(35,631,737</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49,973,914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Ended 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Common</w:t>
            </w: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Common</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Total</w:t>
            </w:r>
          </w:p>
        </w:tc>
      </w:tr>
      <w:tr>
        <w:trPr>
          <w:trHeight w:val="216"/>
        </w:trPr>
        <w:tc>
          <w:tcPr>
            <w:tcW w:w="462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Paid-in</w:t>
            </w:r>
          </w:p>
        </w:tc>
        <w:tc>
          <w:tcPr>
            <w:tcW w:w="1320" w:type="dxa"/>
            <w:vAlign w:val="bottom"/>
            <w:gridSpan w:val="3"/>
          </w:tcPr>
          <w:p>
            <w:pPr>
              <w:jc w:val="right"/>
              <w:ind w:right="221"/>
              <w:spacing w:after="0"/>
              <w:rPr>
                <w:sz w:val="20"/>
                <w:szCs w:val="20"/>
                <w:color w:val="auto"/>
              </w:rPr>
            </w:pPr>
            <w:r>
              <w:rPr>
                <w:rFonts w:ascii="Arial" w:cs="Arial" w:eastAsia="Arial" w:hAnsi="Arial"/>
                <w:sz w:val="18"/>
                <w:szCs w:val="18"/>
                <w:color w:val="auto"/>
                <w:w w:val="96"/>
              </w:rPr>
              <w:t>Accumulated</w:t>
            </w: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w w:val="94"/>
              </w:rPr>
              <w:t>Stockholders’</w:t>
            </w:r>
          </w:p>
        </w:tc>
      </w:tr>
      <w:tr>
        <w:trPr>
          <w:trHeight w:val="237"/>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Equity</w:t>
            </w:r>
          </w:p>
        </w:tc>
        <w:tc>
          <w:tcPr>
            <w:tcW w:w="60" w:type="dxa"/>
            <w:vAlign w:val="bottom"/>
            <w:gridSpan w:val="2"/>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Balance, January 1, 2019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12,038,618,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12,039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48,725,211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(30,278,805)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18,458,445</w:t>
            </w:r>
          </w:p>
        </w:tc>
        <w:tc>
          <w:tcPr>
            <w:tcW w:w="4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4"/>
              </w:rPr>
              <w:t>Cumulative effect of change in accounting principle related to</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lease accounting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(3,229)</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(3,229)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3"/>
              </w:rPr>
              <w:t>Shares issued in 2019 for restricted stock awards granted and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expensed in 2018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130,001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Options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1,687,745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1,687,745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125,160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For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33,344</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447,360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447,393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For cash</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1,769,275</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21,302,057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21,303,826</w:t>
            </w:r>
          </w:p>
        </w:tc>
        <w:tc>
          <w:tcPr>
            <w:tcW w:w="40" w:type="dxa"/>
            <w:vAlign w:val="bottom"/>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246,448</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877,455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877,702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acquisition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382,893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5,107,410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5,107,793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(3,142,576)</w:t>
            </w: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(3,142,576)</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14,600,579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78,272,268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(33,424,610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44,862,259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34"/>
        </w:trPr>
        <w:tc>
          <w:tcPr>
            <w:tcW w:w="4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060" w:type="dxa"/>
            <w:vAlign w:val="bottom"/>
            <w:gridSpan w:val="3"/>
          </w:tcPr>
          <w:p>
            <w:pPr>
              <w:jc w:val="center"/>
              <w:ind w:right="181"/>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060" w:type="dxa"/>
            <w:vAlign w:val="bottom"/>
            <w:gridSpan w:val="3"/>
          </w:tcPr>
          <w:p>
            <w:pPr>
              <w:jc w:val="center"/>
              <w:ind w:right="201"/>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color w:val="auto"/>
                <w:w w:val="88"/>
              </w:rPr>
              <w:t>December 31,</w:t>
            </w:r>
          </w:p>
        </w:tc>
        <w:tc>
          <w:tcPr>
            <w:tcW w:w="1180" w:type="dxa"/>
            <w:vAlign w:val="bottom"/>
            <w:gridSpan w:val="4"/>
          </w:tcPr>
          <w:p>
            <w:pPr>
              <w:ind w:left="4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(2,207,127)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(3,142,576)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1,971,083</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1,175,131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104,805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107,656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bad debt reserve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060" w:type="dxa"/>
            <w:vAlign w:val="bottom"/>
            <w:gridSpan w:val="3"/>
          </w:tcPr>
          <w:p>
            <w:pPr>
              <w:jc w:val="right"/>
              <w:ind w:right="21"/>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3,172,840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2,260,298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(897,960)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140,390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(10,667,680)</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(628,830)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(3,517,700)</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(343,838)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125,255</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(46,249)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3,351,430</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(290,178)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1,416,884</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(432,075)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(106,347)</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(106,564)</w:t>
            </w: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(294,219)</w:t>
            </w: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(30,611)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(6,310,386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(1,660,796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(68,041)</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(87,717)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of intangible assets, including intellectual property rights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(11,932)</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(44,752)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Cash paid in acquisition, net of cash acquired</w:t>
            </w:r>
          </w:p>
        </w:tc>
        <w:tc>
          <w:tcPr>
            <w:tcW w:w="120" w:type="dxa"/>
            <w:vAlign w:val="bottom"/>
          </w:tcPr>
          <w:p>
            <w:pPr>
              <w:spacing w:after="0"/>
              <w:rPr>
                <w:sz w:val="21"/>
                <w:szCs w:val="21"/>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(8,994,369)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(124,725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(10,582,086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net of offering costs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21"/>
              <w:spacing w:after="0"/>
              <w:rPr>
                <w:sz w:val="20"/>
                <w:szCs w:val="20"/>
                <w:color w:val="auto"/>
              </w:rPr>
            </w:pPr>
            <w:r>
              <w:rPr>
                <w:rFonts w:ascii="Arial" w:cs="Arial" w:eastAsia="Arial" w:hAnsi="Arial"/>
                <w:sz w:val="18"/>
                <w:szCs w:val="18"/>
                <w:color w:val="auto"/>
              </w:rPr>
              <w:t>21,303,826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2,488,394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877,702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21"/>
                <w:szCs w:val="21"/>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(4,389,187)</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(1,900,793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22,181,528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Arial" w:cs="Arial" w:eastAsia="Arial" w:hAnsi="Arial"/>
                <w:sz w:val="18"/>
                <w:szCs w:val="18"/>
                <w:color w:val="auto"/>
              </w:rPr>
              <w:t>(8,335,904)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9,938,646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tcPr>
          <w:p>
            <w:pPr>
              <w:spacing w:after="0"/>
              <w:rPr>
                <w:sz w:val="21"/>
                <w:szCs w:val="21"/>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18,852,680</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8,914,034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10,516,776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21"/>
              <w:spacing w:after="0"/>
              <w:rPr>
                <w:sz w:val="20"/>
                <w:szCs w:val="20"/>
                <w:color w:val="auto"/>
              </w:rPr>
            </w:pPr>
            <w:r>
              <w:rPr>
                <w:rFonts w:ascii="Arial" w:cs="Arial" w:eastAsia="Arial" w:hAnsi="Arial"/>
                <w:sz w:val="18"/>
                <w:szCs w:val="18"/>
                <w:color w:val="auto"/>
              </w:rPr>
              <w:t>18,852,680</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207,559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Acquisition liabilities paid in stock</w:t>
            </w: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1,657,548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Shares issued in connection with acquisitions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5,107,793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Non-cash effect of cumulative adjustments to accumulated deficit</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ORGANIZATION AND NATURE OF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valuation allowance for the deferred tax asset, the timing of revenue recognition and related revenue share expenses, and inputs used in the calculation of stock based compensation. Actual results could differ from these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financial statements reflect the consolidated results of OptimizeRx Corporation, a Nevada corporation, and its wholly owned subsidiaries: OptimizeRx Corporation, a Michigan corporation, RMDY Health, Inc., a Delaware corporation, CareSpeak Communications, Inc., a New Jersey corporation, Cyberdiet, a controlled foreign corporation incorporated in Israel, and CareSpeak Communications D.O.O., a Controlled Foreign Corporation incorporated in Croatia. Together, these companies are referred to as “OptimizeRx” and “the Company.” All material intercompany transactions have been eliminated.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previous year financial statements have been reclassified to match the current year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consisting of money market accounts, with an initial maturity of three months or less to be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fair values and carrying values of the Company’s financial assets and liabilities measured on a recurring basis as of December 31, 2020 and 2019 and the valuation techniques used by the Company to determine those fair values.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4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9"/>
              </w:rPr>
              <w:t>Carrying</w:t>
            </w:r>
          </w:p>
        </w:tc>
        <w:tc>
          <w:tcPr>
            <w:tcW w:w="20" w:type="dxa"/>
            <w:vAlign w:val="bottom"/>
          </w:tcPr>
          <w:p>
            <w:pPr>
              <w:spacing w:after="0"/>
              <w:rPr>
                <w:sz w:val="17"/>
                <w:szCs w:val="17"/>
                <w:color w:val="auto"/>
              </w:rPr>
            </w:pPr>
          </w:p>
        </w:tc>
      </w:tr>
      <w:tr>
        <w:trPr>
          <w:trHeight w:val="237"/>
        </w:trPr>
        <w:tc>
          <w:tcPr>
            <w:tcW w:w="46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Fair Value</w:t>
            </w:r>
          </w:p>
        </w:tc>
        <w:tc>
          <w:tcPr>
            <w:tcW w:w="16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Value</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Liabilities</w:t>
            </w: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4620" w:type="dxa"/>
            <w:vAlign w:val="bottom"/>
          </w:tcPr>
          <w:p>
            <w:pPr>
              <w:spacing w:after="0"/>
              <w:rPr>
                <w:sz w:val="20"/>
                <w:szCs w:val="20"/>
                <w:color w:val="auto"/>
              </w:rPr>
            </w:pPr>
            <w:r>
              <w:rPr>
                <w:rFonts w:ascii="Arial" w:cs="Arial" w:eastAsia="Arial" w:hAnsi="Arial"/>
                <w:sz w:val="18"/>
                <w:szCs w:val="18"/>
                <w:color w:val="auto"/>
              </w:rPr>
              <w:t>Contingent Purchase Price Payable (1)</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1,610,813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1,610,813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1,610,813</w:t>
            </w: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4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4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9"/>
              </w:rPr>
              <w:t>Carrying</w:t>
            </w:r>
          </w:p>
        </w:tc>
        <w:tc>
          <w:tcPr>
            <w:tcW w:w="20" w:type="dxa"/>
            <w:vAlign w:val="bottom"/>
          </w:tcPr>
          <w:p>
            <w:pPr>
              <w:spacing w:after="0"/>
              <w:rPr>
                <w:sz w:val="17"/>
                <w:szCs w:val="17"/>
                <w:color w:val="auto"/>
              </w:rPr>
            </w:pPr>
          </w:p>
        </w:tc>
      </w:tr>
      <w:tr>
        <w:trPr>
          <w:trHeight w:val="237"/>
        </w:trPr>
        <w:tc>
          <w:tcPr>
            <w:tcW w:w="46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Fair Value</w:t>
            </w:r>
          </w:p>
        </w:tc>
        <w:tc>
          <w:tcPr>
            <w:tcW w:w="16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Value</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Liabilities</w:t>
            </w: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4620" w:type="dxa"/>
            <w:vAlign w:val="bottom"/>
          </w:tcPr>
          <w:p>
            <w:pPr>
              <w:spacing w:after="0"/>
              <w:rPr>
                <w:sz w:val="20"/>
                <w:szCs w:val="20"/>
                <w:color w:val="auto"/>
              </w:rPr>
            </w:pPr>
            <w:r>
              <w:rPr>
                <w:rFonts w:ascii="Arial" w:cs="Arial" w:eastAsia="Arial" w:hAnsi="Arial"/>
                <w:sz w:val="18"/>
                <w:szCs w:val="18"/>
                <w:color w:val="auto"/>
              </w:rPr>
              <w:t>Contingent Purchase Price Payable (1)</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6,720,000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6,720,000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6,720,000</w:t>
            </w:r>
          </w:p>
        </w:tc>
      </w:tr>
      <w:tr>
        <w:trPr>
          <w:trHeight w:val="21"/>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hanging="318"/>
        <w:spacing w:after="0" w:line="301"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contingent consideration is based off achieving certain revenue milestones in each of the next two years. The Geometric-Brownian motion analysis was used to generate spot prices for use in an option pricing model. For 2019, the hypothetical spot prices were simulated using a Monte Carlo simulation utilizing 2020 and 2021 projected revenue as a base and revenue volatility of 40%. The risk-free rate of return and terms utilized were 1.4 % and 1-2 years, respectively, and expected volatility was 40%. For 2020, the final payout has been determined and is payable in 2021.</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summary of changes in fair value of the Company’s Level 3 financial instruments for the years ended December 31, 2020 and 2019.</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liability recorded as the result of the RMDY Health, Inc. acquisition (see note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the value of the CareSpeak Communication consideration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Increase in fair value of the RMDY Health, Inc. contingent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CareSpeak Communication contingent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RMDY Health, Inc.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2020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400" w:hanging="395"/>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2,365,000</w:t>
      </w:r>
    </w:p>
    <w:p>
      <w:pPr>
        <w:spacing w:after="0" w:line="34"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17"/>
          <w:szCs w:val="17"/>
          <w:color w:val="auto"/>
        </w:rPr>
        <w:t>3,720,000</w:t>
      </w:r>
    </w:p>
    <w:p>
      <w:pPr>
        <w:spacing w:after="0" w:line="20"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635,000</w:t>
      </w:r>
    </w:p>
    <w:p>
      <w:pPr>
        <w:spacing w:after="0" w:line="35"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17"/>
          <w:szCs w:val="17"/>
          <w:color w:val="auto"/>
        </w:rPr>
        <w:t>6,720,000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029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140,390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(1,389,187)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(3,860,390)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42" w:lineRule="exact"/>
        <w:rPr>
          <w:sz w:val="20"/>
          <w:szCs w:val="20"/>
          <w:color w:val="auto"/>
        </w:rPr>
      </w:pPr>
    </w:p>
    <w:p>
      <w:pPr>
        <w:ind w:left="400" w:hanging="395"/>
        <w:spacing w:after="0"/>
        <w:tabs>
          <w:tab w:leader="none" w:pos="400" w:val="left"/>
        </w:tabs>
        <w:numPr>
          <w:ilvl w:val="0"/>
          <w:numId w:val="2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1,610,813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337" w:right="33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$200,000 for the year ended December 31, 2020 and $80,000 for the year ended December 31, 2019. The allowance for doubtful accounts was $158,163 and $80,000 as of December 31, 2020 and 2019, respectively. From time to time, we may record revenue based on our revenue recognition policies described below in advance of being able to invoice the customer. These amounts are included in accounts receivable and are immaterial, representing substantially less than 1% of the accounts receivable balance at 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Intangible assets are stated at cost. Finite-lived assets are being amortized over their estimated useful lives of fifteen to seventeen years for patents, eight years for customer relationships, fifteen years for tradenames, four years for covenants not to compete, and three to four years for software and websites, all using the straight-line method. These assets are evaluated when there is a triggering event. There was no impairment of our intangible assets in either year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evaluate goodwill for impairment during our fiscal fourth quarter, or more frequently if an event occurs or circumstances change. Our analysis determined that there was no impairment of our goodwill.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contracts are generally all less than one year and the primary performance obligation is delivery of messages, or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program design and related consulting services to be performance obligations separate from the delivery of messages.</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either by the Company directly delivering reports or by providing access to its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disaggregate its revenue as virtually all types of revenue are generated through the same core group of customers and generally all involve the delivery of content. Different types of revenue are not impacted by economic factors that affect the nature, amount, timing, or uncertainty of revenues or cash flows.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instances, the Company also resells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There were only minor immaterial programs recorded on a net basis in the years presented. In instances where the Company resells these messaging solutions and has all financial risk and significant operation input and risk, the Company records the revenue based on the gross amount sold and the amount paid to the channel partner as a cost of sales.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cost of revenue is revenue share expense. Based on the volume of transactions that are delivered through the channel partner network, the Company provides a revenue share to compensate the partner, or others, for their promotion of the campaign. Revenue shares are a negotiated percentage of the transaction fees and can also be specific to special considerations and campaigns.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2020, and 2019 the Company had $9,936,806 and $18,047,903, respectively, in cash balances in excess of federally insured limits, primarily at Bank of America/Merrill Lynch.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Company expenses research and development expenses as incurred. Research and development expense was $0 and $1,604,195 in 2020 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forfeitures, and to determine this term. Historically forfeitures have been negligible and immaterial, so the impact of forfeitures are recorded at the time of forfeiture. The risk-free rate used is based on the U.S. Treasury yield curve in effect at the time of the grant using a time period equal to the expected option term. The Company has never paid dividends and does not expect to pay any dividends in the future.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NOTE 2 – SUMMARY OF SIGNIFICANT ACCOUNTING POLICIES (CONTINUED)</w:t>
            </w: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7780" w:type="dxa"/>
            <w:vAlign w:val="bottom"/>
          </w:tcPr>
          <w:p>
            <w:pPr>
              <w:spacing w:after="0"/>
              <w:rPr>
                <w:sz w:val="24"/>
                <w:szCs w:val="24"/>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4"/>
                <w:szCs w:val="24"/>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r>
      <w:tr>
        <w:trPr>
          <w:trHeight w:val="418"/>
        </w:trPr>
        <w:tc>
          <w:tcPr>
            <w:tcW w:w="7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0.16% - 1.63%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1.51% - 2.37%</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Expected option term</w:t>
            </w: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3.5 years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3.5 years</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65%-71%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64% - 67%</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The Company’s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computation of basic (loss) earnings per common share is computed using the weighted average number of common shares outstanding during the year. The computation of diluted (loss)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options that were excluded from the diluted loss per common share calculation in 2019 was 891,224 related to options, and 59,918 related to restricted stock, for a total of 951,142 because they are anti-dilutive, as a result of a net loss for the year ended December 31, 2019. The number of common shares potentially issuable upon the exercise of certain options that were excluded from the diluted loss per common share calculation in 2020 was 820,059 related to options, and 91,667 related to restricted stock, for a total of 911,726 because they are anti-dilutive, as a result of a net loss for the year ended December 31, 2020.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computation of weighted average shares outstanding and the basic and diluted earnings per common share for the years ended December 31, 2020 and 2019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Per Share</w:t>
            </w:r>
          </w:p>
        </w:tc>
      </w:tr>
      <w:tr>
        <w:trPr>
          <w:trHeight w:val="237"/>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Net Loss</w:t>
            </w: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Amount</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Year ended December 31, 2020</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8"/>
        </w:trPr>
        <w:tc>
          <w:tcPr>
            <w:tcW w:w="732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line="271" w:lineRule="exact"/>
              <w:rPr>
                <w:sz w:val="20"/>
                <w:szCs w:val="20"/>
                <w:color w:val="auto"/>
              </w:rPr>
            </w:pPr>
            <w:r>
              <w:rPr>
                <w:rFonts w:ascii="Arial" w:cs="Arial" w:eastAsia="Arial" w:hAnsi="Arial"/>
                <w:sz w:val="17"/>
                <w:szCs w:val="17"/>
                <w:color w:val="auto"/>
              </w:rPr>
              <w:t>(2,207,127</w:t>
            </w:r>
            <w:r>
              <w:rPr>
                <w:rFonts w:ascii="Arial" w:cs="Arial" w:eastAsia="Arial" w:hAnsi="Arial"/>
                <w:sz w:val="31"/>
                <w:szCs w:val="31"/>
                <w:color w:val="auto"/>
                <w:vertAlign w:val="superscript"/>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14,827,923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line="271" w:lineRule="exact"/>
              <w:rPr>
                <w:sz w:val="20"/>
                <w:szCs w:val="20"/>
                <w:color w:val="auto"/>
              </w:rPr>
            </w:pPr>
            <w:r>
              <w:rPr>
                <w:rFonts w:ascii="Arial" w:cs="Arial" w:eastAsia="Arial" w:hAnsi="Arial"/>
                <w:sz w:val="17"/>
                <w:szCs w:val="17"/>
                <w:color w:val="auto"/>
              </w:rPr>
              <w:t>(0.15</w:t>
            </w:r>
            <w:r>
              <w:rPr>
                <w:rFonts w:ascii="Arial" w:cs="Arial" w:eastAsia="Arial" w:hAnsi="Arial"/>
                <w:sz w:val="31"/>
                <w:szCs w:val="31"/>
                <w:color w:val="auto"/>
                <w:vertAlign w:val="superscript"/>
              </w:rPr>
              <w:t>)</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7320" w:type="dxa"/>
            <w:vAlign w:val="bottom"/>
          </w:tcPr>
          <w:p>
            <w:pPr>
              <w:ind w:left="180"/>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(2,207,127</w:t>
            </w:r>
            <w:r>
              <w:rPr>
                <w:rFonts w:ascii="Arial" w:cs="Arial" w:eastAsia="Arial" w:hAnsi="Arial"/>
                <w:sz w:val="35"/>
                <w:szCs w:val="35"/>
                <w:color w:val="auto"/>
                <w:vertAlign w:val="superscript"/>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14,827,923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(0.15</w:t>
            </w:r>
            <w:r>
              <w:rPr>
                <w:rFonts w:ascii="Arial" w:cs="Arial" w:eastAsia="Arial" w:hAnsi="Arial"/>
                <w:sz w:val="35"/>
                <w:szCs w:val="35"/>
                <w:color w:val="auto"/>
                <w:vertAlign w:val="superscript"/>
              </w:rPr>
              <w:t>)</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Per Share</w:t>
            </w:r>
          </w:p>
        </w:tc>
      </w:tr>
      <w:tr>
        <w:trPr>
          <w:trHeight w:val="237"/>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Net Loss</w:t>
            </w: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Amount</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Year ended December 31, 2019</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8"/>
        </w:trPr>
        <w:tc>
          <w:tcPr>
            <w:tcW w:w="732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line="271" w:lineRule="exact"/>
              <w:rPr>
                <w:sz w:val="20"/>
                <w:szCs w:val="20"/>
                <w:color w:val="auto"/>
              </w:rPr>
            </w:pPr>
            <w:r>
              <w:rPr>
                <w:rFonts w:ascii="Arial" w:cs="Arial" w:eastAsia="Arial" w:hAnsi="Arial"/>
                <w:sz w:val="17"/>
                <w:szCs w:val="17"/>
                <w:color w:val="auto"/>
              </w:rPr>
              <w:t>(3,142,576</w:t>
            </w:r>
            <w:r>
              <w:rPr>
                <w:rFonts w:ascii="Arial" w:cs="Arial" w:eastAsia="Arial" w:hAnsi="Arial"/>
                <w:sz w:val="31"/>
                <w:szCs w:val="31"/>
                <w:color w:val="auto"/>
                <w:vertAlign w:val="superscript"/>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13,387,863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line="271" w:lineRule="exact"/>
              <w:rPr>
                <w:sz w:val="20"/>
                <w:szCs w:val="20"/>
                <w:color w:val="auto"/>
              </w:rPr>
            </w:pPr>
            <w:r>
              <w:rPr>
                <w:rFonts w:ascii="Arial" w:cs="Arial" w:eastAsia="Arial" w:hAnsi="Arial"/>
                <w:sz w:val="17"/>
                <w:szCs w:val="17"/>
                <w:color w:val="auto"/>
              </w:rPr>
              <w:t>(0.23</w:t>
            </w:r>
            <w:r>
              <w:rPr>
                <w:rFonts w:ascii="Arial" w:cs="Arial" w:eastAsia="Arial" w:hAnsi="Arial"/>
                <w:sz w:val="31"/>
                <w:szCs w:val="31"/>
                <w:color w:val="auto"/>
                <w:vertAlign w:val="superscript"/>
              </w:rPr>
              <w:t>)</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7320" w:type="dxa"/>
            <w:vAlign w:val="bottom"/>
          </w:tcPr>
          <w:p>
            <w:pPr>
              <w:ind w:left="180"/>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(3,142,576</w:t>
            </w:r>
            <w:r>
              <w:rPr>
                <w:rFonts w:ascii="Arial" w:cs="Arial" w:eastAsia="Arial" w:hAnsi="Arial"/>
                <w:sz w:val="35"/>
                <w:szCs w:val="35"/>
                <w:color w:val="auto"/>
                <w:vertAlign w:val="superscript"/>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13,387,863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(0.23</w:t>
            </w:r>
            <w:r>
              <w:rPr>
                <w:rFonts w:ascii="Arial" w:cs="Arial" w:eastAsia="Arial" w:hAnsi="Arial"/>
                <w:sz w:val="35"/>
                <w:szCs w:val="35"/>
                <w:color w:val="auto"/>
                <w:vertAlign w:val="superscript"/>
              </w:rPr>
              <w:t>)</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one reportable segment. Overall, our business involves connecting life science companies to patients and providers. We have a common customer base for all of our solution, which are primarily all communications with healthcare providers or patients on behalf of life science customers. Our customers are geographically located in the U.S although we have two technology centers located internationally. We do not prepare separate internal income statements by solution as our focus is on selling enterprise arrangements covering multiple solutions that span the entire patient journey with a specific brand.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that requires measurement and recognition of expected credit losses for most financial assets and certain other instruments, including but not limited to accounts receivable and available for sale debt securities. ASU 2016-13 was effective for the Company on January 1, 2020. The adoption of this standard did not have a material effect on our financial position, results of operations, or cash flows.</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August 2019, the FASB issued ASU 2018-13, Fair Value Measurement (Topic 820): Disclosure Framework-Changes to the Disclosure Requirements for Fair Value Measurement. ASU 2018-13 modifies the disclosure requirements on fair value measurements and became effective for the Company on January 1, 2020. The adoption of this standard did not have a material effect on our financial position, results of operations, or cash flows.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adoption of this standard did not have a material effect on our financial position, results of operations, or cash flows.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15, 2020, with early adoption permitted. The adoption of this standard is not expected to have a material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3 – ACQUISITIONS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2019, we acquired RMDY Health, Inc. (“RMDY”), a Delaware corporation and technology solutions company engaged in developing and marketing digital health SAAS solutions across a range of healthcare and life science initiatives, used by pharmaceutical companies, payers, medtech companies, and medical associations nationwide to improve medication adherence and care coordination. The total purchase price was $17,822,162. Acquisition costs of approximately $799,623 were expensed as incurred.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purchase price contains a contingent element that will be paid only if the Company achieves certain revenues related to the legacy RMDY business in 2020 and 2021. The total contingent payment may be up to $30.0 million, with a minimum payment of $1.0 million each year. The contingent payment was paid in 2020. No remaining liability exists at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purchase price of the RMDY acquisition was allocated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b w:val="1"/>
                <w:bCs w:val="1"/>
                <w:color w:val="auto"/>
              </w:rPr>
              <w:t>Purchase Price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8,994,369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Common stock issued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5,107,793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020" w:type="dxa"/>
            <w:vAlign w:val="bottom"/>
          </w:tcPr>
          <w:p>
            <w:pPr>
              <w:ind w:left="180"/>
              <w:spacing w:after="0"/>
              <w:rPr>
                <w:sz w:val="20"/>
                <w:szCs w:val="20"/>
                <w:color w:val="auto"/>
              </w:rPr>
            </w:pPr>
            <w:r>
              <w:rPr>
                <w:rFonts w:ascii="Arial" w:cs="Arial" w:eastAsia="Arial" w:hAnsi="Arial"/>
                <w:sz w:val="18"/>
                <w:szCs w:val="18"/>
                <w:color w:val="auto"/>
              </w:rPr>
              <w:t>Contingent payment</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20" w:type="dxa"/>
            <w:vAlign w:val="bottom"/>
          </w:tcPr>
          <w:p>
            <w:pPr>
              <w:ind w:left="34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17,822,162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Allocation</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10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Prepaid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Goodwill, including assembled workforce in place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11,061,518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Web technology</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Tradename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Current liabilities assumed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(128,234)</w:t>
            </w: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(931,828)</w:t>
            </w:r>
          </w:p>
        </w:tc>
        <w:tc>
          <w:tcPr>
            <w:tcW w:w="0" w:type="dxa"/>
            <w:vAlign w:val="bottom"/>
          </w:tcPr>
          <w:p>
            <w:pPr>
              <w:spacing w:after="0"/>
              <w:rPr>
                <w:sz w:val="1"/>
                <w:szCs w:val="1"/>
                <w:color w:val="auto"/>
              </w:rPr>
            </w:pPr>
          </w:p>
        </w:tc>
      </w:tr>
      <w:tr>
        <w:trPr>
          <w:trHeight w:val="251"/>
        </w:trPr>
        <w:tc>
          <w:tcPr>
            <w:tcW w:w="1002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(897,960)</w:t>
            </w:r>
          </w:p>
        </w:tc>
        <w:tc>
          <w:tcPr>
            <w:tcW w:w="0" w:type="dxa"/>
            <w:vAlign w:val="bottom"/>
          </w:tcPr>
          <w:p>
            <w:pPr>
              <w:spacing w:after="0"/>
              <w:rPr>
                <w:sz w:val="1"/>
                <w:szCs w:val="1"/>
                <w:color w:val="auto"/>
              </w:rPr>
            </w:pPr>
          </w:p>
        </w:tc>
      </w:tr>
      <w:tr>
        <w:trPr>
          <w:trHeight w:val="250"/>
        </w:trPr>
        <w:tc>
          <w:tcPr>
            <w:tcW w:w="10020" w:type="dxa"/>
            <w:vAlign w:val="bottom"/>
          </w:tcPr>
          <w:p>
            <w:pPr>
              <w:ind w:left="50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17,822,162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ACQUISITIONS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in greater detail in Note 6, the amortizable intangible assets acquired have estimated useful lives ranging from 2 to 15 years. We determined the estimated fair value of the identifiable intangible assets acquired primarily by using the income approach.</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2019, $800,000 was included in accrued expenses as part of an indemnification provision against potential future claims. This balance was paid via the issuance of common stock during the year ended December 31, 2020.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began consolidating the results of RMDY operations and cashflows after October 3, 2019, the date of that acquisition. The unaudited Pro forma results of operations as the acquisition had occurred January 1, 2019 are presented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As Reported</w:t>
            </w:r>
          </w:p>
        </w:tc>
        <w:tc>
          <w:tcPr>
            <w:tcW w:w="14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w w:val="91"/>
              </w:rPr>
              <w:t>Pro Forma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24,598,278</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26,118,278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(3,142,576)</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(3,869,577)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per common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(0.23</w:t>
            </w:r>
            <w:r>
              <w:rPr>
                <w:rFonts w:ascii="Arial" w:cs="Arial" w:eastAsia="Arial" w:hAnsi="Arial"/>
                <w:sz w:val="31"/>
                <w:szCs w:val="31"/>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271" w:lineRule="exact"/>
              <w:rPr>
                <w:sz w:val="20"/>
                <w:szCs w:val="20"/>
                <w:color w:val="auto"/>
              </w:rPr>
            </w:pPr>
            <w:r>
              <w:rPr>
                <w:rFonts w:ascii="Arial" w:cs="Arial" w:eastAsia="Arial" w:hAnsi="Arial"/>
                <w:sz w:val="17"/>
                <w:szCs w:val="17"/>
                <w:color w:val="auto"/>
              </w:rPr>
              <w:t>(0.29</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2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PREPAID EXPENSES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2020 and 2019: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Insurance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77,887</w:t>
            </w:r>
          </w:p>
        </w:tc>
        <w:tc>
          <w:tcPr>
            <w:tcW w:w="2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69,250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revenue share and exclusivity payments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3,750,000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EHR access fees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317,726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310,998</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287,558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prepaid expenses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4,456,611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871,043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Computer equipment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300"/>
              <w:spacing w:after="0" w:line="201" w:lineRule="exact"/>
              <w:rPr>
                <w:sz w:val="20"/>
                <w:szCs w:val="20"/>
                <w:color w:val="auto"/>
              </w:rPr>
            </w:pPr>
            <w:r>
              <w:rPr>
                <w:rFonts w:ascii="Arial" w:cs="Arial" w:eastAsia="Arial" w:hAnsi="Arial"/>
                <w:sz w:val="18"/>
                <w:szCs w:val="18"/>
                <w:color w:val="auto"/>
                <w:w w:val="86"/>
              </w:rPr>
              <w:t>169,247</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137,763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198,665</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187,167</w:t>
            </w:r>
          </w:p>
        </w:tc>
        <w:tc>
          <w:tcPr>
            <w:tcW w:w="0" w:type="dxa"/>
            <w:vAlign w:val="bottom"/>
          </w:tcPr>
          <w:p>
            <w:pPr>
              <w:spacing w:after="0"/>
              <w:rPr>
                <w:sz w:val="1"/>
                <w:szCs w:val="1"/>
                <w:color w:val="auto"/>
              </w:rPr>
            </w:pPr>
          </w:p>
        </w:tc>
      </w:tr>
      <w:tr>
        <w:trPr>
          <w:trHeight w:val="215"/>
        </w:trPr>
        <w:tc>
          <w:tcPr>
            <w:tcW w:w="8680" w:type="dxa"/>
            <w:vAlign w:val="bottom"/>
            <w:vMerge w:val="restart"/>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6"/>
              </w:rPr>
              <w:t>367,912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324,930</w:t>
            </w:r>
          </w:p>
        </w:tc>
        <w:tc>
          <w:tcPr>
            <w:tcW w:w="0" w:type="dxa"/>
            <w:vAlign w:val="bottom"/>
          </w:tcPr>
          <w:p>
            <w:pPr>
              <w:spacing w:after="0"/>
              <w:rPr>
                <w:sz w:val="1"/>
                <w:szCs w:val="1"/>
                <w:color w:val="auto"/>
              </w:rPr>
            </w:pPr>
          </w:p>
        </w:tc>
      </w:tr>
      <w:tr>
        <w:trPr>
          <w:trHeight w:val="230"/>
        </w:trPr>
        <w:tc>
          <w:tcPr>
            <w:tcW w:w="8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219,058</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148,916</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148,854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176,014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$95,202 and $80,206 for the years ended December 31,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INTANBIGLE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is related to the acquisition of RMDY Health, Inc. in 2019 and CareSpeak Communications in 2018 and is primarily related to expected improvements and technology performance and functionality, sales growth from future solutions and service offerings and new customers, together with certain intangible assets that do not qualify for separate recognition, such as the assembled workforce in place. Goodwill is generally not amortizable for tax purposes and is not amortizable for financial statement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included on the consolidated balance sheet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1"/>
              </w:rPr>
              <w:t>December 31, 2020</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Gross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Carrying</w:t>
            </w:r>
          </w:p>
        </w:tc>
        <w:tc>
          <w:tcPr>
            <w:tcW w:w="220" w:type="dxa"/>
            <w:vAlign w:val="bottom"/>
          </w:tcPr>
          <w:p>
            <w:pPr>
              <w:spacing w:after="0"/>
              <w:rPr>
                <w:sz w:val="18"/>
                <w:szCs w:val="18"/>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w w:val="96"/>
              </w:rPr>
              <w:t>Accumulated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Average Life</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Patent rights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3,341,388</w:t>
            </w:r>
          </w:p>
        </w:tc>
        <w:tc>
          <w:tcPr>
            <w:tcW w:w="4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991,818</w:t>
            </w:r>
          </w:p>
        </w:tc>
        <w:tc>
          <w:tcPr>
            <w:tcW w:w="1120" w:type="dxa"/>
            <w:vAlign w:val="bottom"/>
          </w:tcPr>
          <w:p>
            <w:pPr>
              <w:jc w:val="right"/>
              <w:spacing w:after="0"/>
              <w:rPr>
                <w:sz w:val="20"/>
                <w:szCs w:val="20"/>
                <w:color w:val="auto"/>
              </w:rPr>
            </w:pPr>
            <w:r>
              <w:rPr>
                <w:rFonts w:ascii="Arial" w:cs="Arial" w:eastAsia="Arial" w:hAnsi="Arial"/>
                <w:sz w:val="18"/>
                <w:szCs w:val="18"/>
                <w:color w:val="auto"/>
              </w:rPr>
              <w:t>2,349,570</w:t>
            </w:r>
          </w:p>
        </w:tc>
        <w:tc>
          <w:tcPr>
            <w:tcW w:w="200" w:type="dxa"/>
            <w:vAlign w:val="bottom"/>
          </w:tcPr>
          <w:p>
            <w:pPr>
              <w:spacing w:after="0"/>
              <w:rPr>
                <w:sz w:val="22"/>
                <w:szCs w:val="22"/>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Technology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gridSpan w:val="2"/>
            <w:vMerge w:val="restart"/>
          </w:tcPr>
          <w:p>
            <w:pPr>
              <w:jc w:val="center"/>
              <w:ind w:left="210"/>
              <w:spacing w:after="0"/>
              <w:rPr>
                <w:sz w:val="20"/>
                <w:szCs w:val="20"/>
                <w:color w:val="auto"/>
              </w:rPr>
            </w:pPr>
            <w:r>
              <w:rPr>
                <w:rFonts w:ascii="Arial" w:cs="Arial" w:eastAsia="Arial" w:hAnsi="Arial"/>
                <w:sz w:val="18"/>
                <w:szCs w:val="18"/>
                <w:color w:val="auto"/>
                <w:w w:val="87"/>
              </w:rPr>
              <w:t>7.7</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8,184,765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2,932,943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5,251,822</w:t>
            </w: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3,586,000</w:t>
            </w:r>
          </w:p>
        </w:tc>
        <w:tc>
          <w:tcPr>
            <w:tcW w:w="4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298,833</w:t>
            </w:r>
          </w:p>
        </w:tc>
        <w:tc>
          <w:tcPr>
            <w:tcW w:w="1120" w:type="dxa"/>
            <w:vAlign w:val="bottom"/>
          </w:tcPr>
          <w:p>
            <w:pPr>
              <w:jc w:val="right"/>
              <w:spacing w:after="0"/>
              <w:rPr>
                <w:sz w:val="20"/>
                <w:szCs w:val="20"/>
                <w:color w:val="auto"/>
              </w:rPr>
            </w:pPr>
            <w:r>
              <w:rPr>
                <w:rFonts w:ascii="Arial" w:cs="Arial" w:eastAsia="Arial" w:hAnsi="Arial"/>
                <w:sz w:val="18"/>
                <w:szCs w:val="18"/>
                <w:color w:val="auto"/>
              </w:rPr>
              <w:t>3,287,167</w:t>
            </w:r>
          </w:p>
        </w:tc>
        <w:tc>
          <w:tcPr>
            <w:tcW w:w="132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13.7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1,093,000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611,885</w:t>
            </w:r>
          </w:p>
        </w:tc>
        <w:tc>
          <w:tcPr>
            <w:tcW w:w="1120" w:type="dxa"/>
            <w:vAlign w:val="bottom"/>
          </w:tcPr>
          <w:p>
            <w:pPr>
              <w:jc w:val="right"/>
              <w:spacing w:after="0"/>
              <w:rPr>
                <w:sz w:val="20"/>
                <w:szCs w:val="20"/>
                <w:color w:val="auto"/>
              </w:rPr>
            </w:pPr>
            <w:r>
              <w:rPr>
                <w:rFonts w:ascii="Arial" w:cs="Arial" w:eastAsia="Arial" w:hAnsi="Arial"/>
                <w:sz w:val="18"/>
                <w:szCs w:val="18"/>
                <w:color w:val="auto"/>
              </w:rPr>
              <w:t>481,115</w:t>
            </w:r>
          </w:p>
        </w:tc>
        <w:tc>
          <w:tcPr>
            <w:tcW w:w="132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923,000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171,730</w:t>
            </w:r>
          </w:p>
        </w:tc>
        <w:tc>
          <w:tcPr>
            <w:tcW w:w="1120" w:type="dxa"/>
            <w:vAlign w:val="bottom"/>
          </w:tcPr>
          <w:p>
            <w:pPr>
              <w:jc w:val="right"/>
              <w:spacing w:after="0"/>
              <w:rPr>
                <w:sz w:val="20"/>
                <w:szCs w:val="20"/>
                <w:color w:val="auto"/>
              </w:rPr>
            </w:pPr>
            <w:r>
              <w:rPr>
                <w:rFonts w:ascii="Arial" w:cs="Arial" w:eastAsia="Arial" w:hAnsi="Arial"/>
                <w:sz w:val="18"/>
                <w:szCs w:val="18"/>
                <w:color w:val="auto"/>
              </w:rPr>
              <w:t>751,270</w:t>
            </w:r>
          </w:p>
        </w:tc>
        <w:tc>
          <w:tcPr>
            <w:tcW w:w="132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9.8</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other</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5,602,000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1,082,448</w:t>
            </w:r>
          </w:p>
        </w:tc>
        <w:tc>
          <w:tcPr>
            <w:tcW w:w="1120" w:type="dxa"/>
            <w:vAlign w:val="bottom"/>
          </w:tcPr>
          <w:p>
            <w:pPr>
              <w:jc w:val="right"/>
              <w:spacing w:after="0"/>
              <w:rPr>
                <w:sz w:val="20"/>
                <w:szCs w:val="20"/>
                <w:color w:val="auto"/>
              </w:rPr>
            </w:pPr>
            <w:r>
              <w:rPr>
                <w:rFonts w:ascii="Arial" w:cs="Arial" w:eastAsia="Arial" w:hAnsi="Arial"/>
                <w:sz w:val="18"/>
                <w:szCs w:val="18"/>
                <w:color w:val="auto"/>
              </w:rPr>
              <w:t>4,519,552</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Intangibles</w:t>
            </w:r>
          </w:p>
        </w:tc>
        <w:tc>
          <w:tcPr>
            <w:tcW w:w="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17,128,153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5,007,209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12,120,944</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NOTE 6 – INTANBIGLE ASSETS (CONTINUED)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1"/>
              </w:rPr>
              <w:t>December 31, 2019</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Gross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Carrying</w:t>
            </w:r>
          </w:p>
        </w:tc>
        <w:tc>
          <w:tcPr>
            <w:tcW w:w="220" w:type="dxa"/>
            <w:vAlign w:val="bottom"/>
          </w:tcPr>
          <w:p>
            <w:pPr>
              <w:spacing w:after="0"/>
              <w:rPr>
                <w:sz w:val="18"/>
                <w:szCs w:val="18"/>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w w:val="96"/>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Average Life</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Net</w:t>
            </w:r>
          </w:p>
        </w:tc>
        <w:tc>
          <w:tcPr>
            <w:tcW w:w="220" w:type="dxa"/>
            <w:vAlign w:val="bottom"/>
            <w:gridSpan w:val="2"/>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Patent rights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3,329,457</w:t>
            </w:r>
          </w:p>
        </w:tc>
        <w:tc>
          <w:tcPr>
            <w:tcW w:w="4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778,870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2,550,587</w:t>
            </w:r>
          </w:p>
        </w:tc>
        <w:tc>
          <w:tcPr>
            <w:tcW w:w="200" w:type="dxa"/>
            <w:vAlign w:val="bottom"/>
          </w:tcPr>
          <w:p>
            <w:pPr>
              <w:spacing w:after="0"/>
              <w:rPr>
                <w:sz w:val="22"/>
                <w:szCs w:val="22"/>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5"/>
              </w:rPr>
              <w:t>11.7</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Technology assets</w:t>
            </w:r>
          </w:p>
        </w:tc>
        <w:tc>
          <w:tcPr>
            <w:tcW w:w="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vMerge w:val="restart"/>
          </w:tcPr>
          <w:p>
            <w:pPr>
              <w:jc w:val="center"/>
              <w:ind w:left="10"/>
              <w:spacing w:after="0"/>
              <w:rPr>
                <w:sz w:val="20"/>
                <w:szCs w:val="20"/>
                <w:color w:val="auto"/>
              </w:rPr>
            </w:pPr>
            <w:r>
              <w:rPr>
                <w:rFonts w:ascii="Arial" w:cs="Arial" w:eastAsia="Arial" w:hAnsi="Arial"/>
                <w:sz w:val="18"/>
                <w:szCs w:val="18"/>
                <w:color w:val="auto"/>
                <w:w w:val="87"/>
              </w:rPr>
              <w:t>8.0</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8,140,013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1,901,560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6,238,453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3,586,000</w:t>
            </w:r>
          </w:p>
        </w:tc>
        <w:tc>
          <w:tcPr>
            <w:tcW w:w="4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59,767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3,526,233</w:t>
            </w:r>
          </w:p>
        </w:tc>
        <w:tc>
          <w:tcPr>
            <w:tcW w:w="200" w:type="dxa"/>
            <w:vAlign w:val="bottom"/>
          </w:tcPr>
          <w:p>
            <w:pPr>
              <w:spacing w:after="0"/>
              <w:rPr>
                <w:sz w:val="18"/>
                <w:szCs w:val="18"/>
                <w:color w:val="auto"/>
              </w:rPr>
            </w:pP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1"/>
              </w:rPr>
              <w:t>14.5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1,093,000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309,635</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783,365</w:t>
            </w:r>
          </w:p>
        </w:tc>
        <w:tc>
          <w:tcPr>
            <w:tcW w:w="20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923,000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81,496</w:t>
            </w: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841,504</w:t>
            </w:r>
          </w:p>
        </w:tc>
        <w:tc>
          <w:tcPr>
            <w:tcW w:w="200" w:type="dxa"/>
            <w:vAlign w:val="bottom"/>
          </w:tcPr>
          <w:p>
            <w:pPr>
              <w:spacing w:after="0"/>
              <w:rPr>
                <w:sz w:val="21"/>
                <w:szCs w:val="21"/>
                <w:color w:val="auto"/>
              </w:rPr>
            </w:pP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1"/>
              </w:rPr>
              <w:t>10.5</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other</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5,602,000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450,898</w:t>
            </w: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5,151,102</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Intangibles</w:t>
            </w:r>
          </w:p>
        </w:tc>
        <w:tc>
          <w:tcPr>
            <w:tcW w:w="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17,071,470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3,131,328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13,940,142</w:t>
            </w:r>
          </w:p>
        </w:tc>
        <w:tc>
          <w:tcPr>
            <w:tcW w:w="22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140" w:type="dxa"/>
            <w:vAlign w:val="bottom"/>
            <w:gridSpan w:val="4"/>
          </w:tcPr>
          <w:p>
            <w:pPr>
              <w:spacing w:after="0"/>
              <w:rPr>
                <w:sz w:val="20"/>
                <w:szCs w:val="20"/>
                <w:color w:val="auto"/>
              </w:rPr>
            </w:pPr>
            <w:r>
              <w:rPr>
                <w:rFonts w:ascii="Arial" w:cs="Arial" w:eastAsia="Arial" w:hAnsi="Arial"/>
                <w:sz w:val="18"/>
                <w:szCs w:val="18"/>
                <w:color w:val="auto"/>
                <w:w w:val="93"/>
              </w:rPr>
              <w:t>Intangibles are being amortized on a straight-line basis over the following estimated useful lives.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 17 years</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 – 4 years</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 – 15 years</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Technology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 10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recorded amortization expense of $1,875,882 and $1,094,924 in the years ended December 31, 2020 and 2019, respectively. Expected future amortization expenses of the intangibles assets as of December 31, 2020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1,859,840</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1,459,427</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1,057,728</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1,057,728</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1,057,728</w:t>
            </w:r>
          </w:p>
        </w:tc>
      </w:tr>
      <w:tr>
        <w:trPr>
          <w:trHeight w:val="251"/>
        </w:trPr>
        <w:tc>
          <w:tcPr>
            <w:tcW w:w="1002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5,628,494</w:t>
            </w:r>
          </w:p>
        </w:tc>
      </w:tr>
      <w:tr>
        <w:trPr>
          <w:trHeight w:val="250"/>
        </w:trPr>
        <w:tc>
          <w:tcPr>
            <w:tcW w:w="10020" w:type="dxa"/>
            <w:vAlign w:val="bottom"/>
          </w:tcPr>
          <w:p>
            <w:pPr>
              <w:ind w:left="34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12,120,945</w:t>
            </w: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technology assets acquired in connection with the RMDY acquisition, the Company also acquired software with a cost of $1.5 million in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$285,795 and $580,014 as of December 31, 2020 and 2019, respectively. These contracts are all short term in nature and all revenue is expected to be recognized within 12 months, or less. Following is a summary of activity in the deferred revenue account for the year ended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580,014</w:t>
            </w:r>
          </w:p>
        </w:tc>
        <w:tc>
          <w:tcPr>
            <w:tcW w:w="60" w:type="dxa"/>
            <w:vAlign w:val="bottom"/>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Revenue recognized</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(16,260,166)</w:t>
            </w:r>
          </w:p>
        </w:tc>
      </w:tr>
      <w:tr>
        <w:trPr>
          <w:trHeight w:val="251"/>
        </w:trPr>
        <w:tc>
          <w:tcPr>
            <w:tcW w:w="10020" w:type="dxa"/>
            <w:vAlign w:val="bottom"/>
          </w:tcPr>
          <w:p>
            <w:pPr>
              <w:spacing w:after="0"/>
              <w:rPr>
                <w:sz w:val="20"/>
                <w:szCs w:val="20"/>
                <w:color w:val="auto"/>
              </w:rPr>
            </w:pPr>
            <w:r>
              <w:rPr>
                <w:rFonts w:ascii="Arial" w:cs="Arial" w:eastAsia="Arial" w:hAnsi="Arial"/>
                <w:sz w:val="18"/>
                <w:szCs w:val="18"/>
                <w:color w:val="auto"/>
              </w:rPr>
              <w:t>Amount collected</w:t>
            </w:r>
          </w:p>
        </w:tc>
        <w:tc>
          <w:tcPr>
            <w:tcW w:w="1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15,680,152</w:t>
            </w:r>
          </w:p>
        </w:tc>
      </w:tr>
      <w:tr>
        <w:trPr>
          <w:trHeight w:val="250"/>
        </w:trPr>
        <w:tc>
          <w:tcPr>
            <w:tcW w:w="10020" w:type="dxa"/>
            <w:vAlign w:val="bottom"/>
          </w:tcPr>
          <w:p>
            <w:pPr>
              <w:spacing w:after="0" w:line="203" w:lineRule="exact"/>
              <w:rPr>
                <w:sz w:val="20"/>
                <w:szCs w:val="20"/>
                <w:color w:val="auto"/>
              </w:rPr>
            </w:pPr>
            <w:r>
              <w:rPr>
                <w:rFonts w:ascii="Arial" w:cs="Arial" w:eastAsia="Arial" w:hAnsi="Arial"/>
                <w:sz w:val="18"/>
                <w:szCs w:val="18"/>
                <w:color w:val="auto"/>
              </w:rPr>
              <w:t>Balance 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285,795</w:t>
            </w:r>
          </w:p>
        </w:tc>
        <w:tc>
          <w:tcPr>
            <w:tcW w:w="6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$930,000 at the time of the acquisition, and recorded the patent at that cost. That patent remains in Patents on the consolidated balance sheet as of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NOTE 9 – CONTINGENT PURCHASE PRICE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purchase of CareSpeak Communications contained a contingent element that would be paid only if the Company achieved certain patient engagement revenues in 2019 and 2020. The total contingent payment could have been up to $3.0 million. The target patient engagement revenues were achieved in both 2019 and in 2020. The calculated fair value of the contingent payment was $3,000,000 at December 31, 2019 and $1,610,813 at December 31, 2020.</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purchase of RMDY Health, Inc. also contained a contingent element that would be paid only if the Company achieves certain revenues in 2020 and 2021 related to the RMDY business. The total contingent payment may be up to $30.0 million. The minimum payment was $1.0 million in each of the two years. The calculated fair value of the contingent payment was $3,720,000 at December 31, 2019. We determined the fair value of the Contingent Purchase Price Payable at December 31, 2019 using a Geometric-Brownian motion analysis of the expected revenue and resulting earnout payment using inputs that include the spot price, a risk free rate of return of 1.4%, a term of 1-2 years, and volatility of 40%. During 2020, we reached agreement with the former shareholders of RMDY to fix the liability at $3.75 million, payable in a combination of cash and stock. Because of the change in the share price between the date of agreement and the date of payment, the amount recorded for the stock amount varied from the agreed amount. The liability was paid $3.0 million in cash and the remainder in the common stock.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The total fair value of contingent purchase price payable at December 31, 2020 is as follows.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Current</w:t>
            </w:r>
          </w:p>
        </w:tc>
        <w:tc>
          <w:tcPr>
            <w:tcW w:w="1000" w:type="dxa"/>
            <w:vAlign w:val="bottom"/>
          </w:tcPr>
          <w:p>
            <w:pPr>
              <w:jc w:val="right"/>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CareSpeak Communications, Inc.</w:t>
            </w: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1,610,813</w:t>
            </w:r>
          </w:p>
        </w:tc>
        <w:tc>
          <w:tcPr>
            <w:tcW w:w="2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1,610,813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20" w:type="dxa"/>
            <w:vAlign w:val="bottom"/>
          </w:tcPr>
          <w:p>
            <w:pPr>
              <w:spacing w:after="0"/>
              <w:rPr>
                <w:sz w:val="20"/>
                <w:szCs w:val="20"/>
                <w:color w:val="auto"/>
              </w:rPr>
            </w:pPr>
            <w:r>
              <w:rPr>
                <w:rFonts w:ascii="Arial" w:cs="Arial" w:eastAsia="Arial" w:hAnsi="Arial"/>
                <w:sz w:val="18"/>
                <w:szCs w:val="18"/>
                <w:color w:val="auto"/>
              </w:rPr>
              <w:t>RMDY Health</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1,610,813</w:t>
            </w:r>
          </w:p>
        </w:tc>
        <w:tc>
          <w:tcPr>
            <w:tcW w:w="240" w:type="dxa"/>
            <w:vAlign w:val="bottom"/>
          </w:tcPr>
          <w:p>
            <w:pPr>
              <w:spacing w:after="0"/>
              <w:rPr>
                <w:sz w:val="21"/>
                <w:szCs w:val="21"/>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1,610,813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STOCKHOLDERS’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has 10,000,000 shares of preferred stock, $.001 par value per share, authorized as of December 31, 2020. No shares were issued or outstanding in either 2019 or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had 166,666,667 shares of common stock, $.001 par value per share, authorized as of December 31, 2020. There were 15,223,340 and 14,600,579 shares of common stock issued and outstanding at December 31, 2020 and 2019, respectively.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in an underwritten public offering, we issued 1,769,275 shares of our common stock for gross proceeds of $23,000,575. In connection with this transaction, we incurred equity issuance costs of $1,696,749 related to payments to the underwriter, advisors and legal fees associated with the transaction, resulting in net proceeds to the Company of $21,303,826.</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Director Compensation plan covering its independent non-employee Directors. A total of 28,809 and 33,344 shares were granted and issued in the years ended December 31, 2020 and 2019, respectively, in connection with this compensation plan. These shares were valued at $450,124 and $447,393, respectively.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issued 414,705 shares of common stock and received proceeds of $2,488,394 in 2020 in connection with the exercise of options. We also issued 246,448 shares of common stock and received proceeds of $877,702 in 2019 in connection with the exercise of options.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2019, we issued 382,893 shares of common stock, valued at $5,107,793, to the former shareholders of RMDY Health, Inc. in connection with the acquisition of RMDY in 2019. We also issued 94,501 shares of common stock in 2020, valued at $1,657,548 to the former shareholders of RMDY Health, Inc. in connection with the escrow holdback from the initial transaction and finalization of the earnout amount due.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adopted the new lease accounting standard ASC 842 as of January 1, 2019, which resulted in a charge of $3,229 to Retained Earnings on that date.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COMPENSATION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sponsors a stock-based incentive compensation plan known as the 2013 Equity Compensation Plan (the “Plan”), which was established by the Board of Directors of the Company in June 2013. The Plan was amended several times since then to eventually increase the authorized shares to 3,000,000 as of December 31, 2020. The amended plan has been approved by shareholders. A total of 1,545,518 shares of common stock underlying options and 100,000 shares of common stock underlying restricted stock awards were outstanding at December 31, 2020. The Company had 299,461 remaining shares available to grant under the Plan at December 31, 2020.</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allows the Company to grant incentive stock options, non-qualified stock options, stock appreciation rights,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may be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cost that has been charged against income related to options for the years ended December 31, 2020 and 2019, was $1,884,202 and $1,687,745, respectively. No income tax benefit was recognized in the income statement and no compensation was capitalized in any of the years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 ended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average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remaining</w:t>
            </w:r>
          </w:p>
        </w:tc>
        <w:tc>
          <w:tcPr>
            <w:tcW w:w="1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w w:val="93"/>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contractual</w:t>
            </w:r>
          </w:p>
        </w:tc>
        <w:tc>
          <w:tcPr>
            <w:tcW w:w="12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20"/>
                <w:szCs w:val="20"/>
                <w:color w:val="auto"/>
              </w:rPr>
            </w:pPr>
          </w:p>
        </w:tc>
        <w:tc>
          <w:tcPr>
            <w:tcW w:w="1200" w:type="dxa"/>
            <w:vAlign w:val="bottom"/>
            <w:gridSpan w:val="3"/>
          </w:tcPr>
          <w:p>
            <w:pPr>
              <w:ind w:left="240"/>
              <w:spacing w:after="0"/>
              <w:rPr>
                <w:sz w:val="20"/>
                <w:szCs w:val="20"/>
                <w:color w:val="auto"/>
              </w:rPr>
            </w:pPr>
            <w:r>
              <w:rPr>
                <w:rFonts w:ascii="Arial" w:cs="Arial" w:eastAsia="Arial" w:hAnsi="Arial"/>
                <w:sz w:val="18"/>
                <w:szCs w:val="18"/>
                <w:color w:val="auto"/>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life (years)</w:t>
            </w:r>
          </w:p>
        </w:tc>
        <w:tc>
          <w:tcPr>
            <w:tcW w:w="12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value $</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Outstanding, January 1, 2019</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1,554,700</w:t>
            </w:r>
          </w:p>
        </w:tc>
        <w:tc>
          <w:tcPr>
            <w:tcW w:w="2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4.63</w:t>
            </w:r>
          </w:p>
        </w:tc>
        <w:tc>
          <w:tcPr>
            <w:tcW w:w="220" w:type="dxa"/>
            <w:vAlign w:val="bottom"/>
            <w:gridSpan w:val="2"/>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410,134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(251,063)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3.73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980" w:type="dxa"/>
            <w:vAlign w:val="bottom"/>
          </w:tcPr>
          <w:p>
            <w:pPr>
              <w:spacing w:after="0"/>
              <w:rPr>
                <w:sz w:val="20"/>
                <w:szCs w:val="20"/>
                <w:color w:val="auto"/>
              </w:rPr>
            </w:pPr>
            <w:r>
              <w:rPr>
                <w:rFonts w:ascii="Arial" w:cs="Arial" w:eastAsia="Arial" w:hAnsi="Arial"/>
                <w:sz w:val="18"/>
                <w:szCs w:val="18"/>
                <w:color w:val="auto"/>
              </w:rPr>
              <w:t>Expired or forfeited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(89,550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Outstanding at December 31, 2019</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1,624,221</w:t>
            </w:r>
          </w:p>
        </w:tc>
        <w:tc>
          <w:tcPr>
            <w:tcW w:w="2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6.27</w:t>
            </w:r>
          </w:p>
        </w:tc>
        <w:tc>
          <w:tcPr>
            <w:tcW w:w="200" w:type="dxa"/>
            <w:vAlign w:val="bottom"/>
          </w:tcPr>
          <w:p>
            <w:pPr>
              <w:spacing w:after="0"/>
              <w:rPr>
                <w:sz w:val="17"/>
                <w:szCs w:val="17"/>
                <w:color w:val="auto"/>
              </w:rPr>
            </w:pP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2.6</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7,925,643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467,549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11.39</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(420,586)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6.45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980" w:type="dxa"/>
            <w:vAlign w:val="bottom"/>
          </w:tcPr>
          <w:p>
            <w:pPr>
              <w:spacing w:after="0"/>
              <w:rPr>
                <w:sz w:val="20"/>
                <w:szCs w:val="20"/>
                <w:color w:val="auto"/>
              </w:rPr>
            </w:pPr>
            <w:r>
              <w:rPr>
                <w:rFonts w:ascii="Arial" w:cs="Arial" w:eastAsia="Arial" w:hAnsi="Arial"/>
                <w:sz w:val="18"/>
                <w:szCs w:val="18"/>
                <w:color w:val="auto"/>
              </w:rPr>
              <w:t>Expired or 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(125,666)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line="203" w:lineRule="exact"/>
              <w:rPr>
                <w:sz w:val="20"/>
                <w:szCs w:val="20"/>
                <w:color w:val="auto"/>
              </w:rPr>
            </w:pPr>
            <w:r>
              <w:rPr>
                <w:rFonts w:ascii="Arial" w:cs="Arial" w:eastAsia="Arial" w:hAnsi="Arial"/>
                <w:sz w:val="18"/>
                <w:szCs w:val="18"/>
                <w:color w:val="auto"/>
              </w:rPr>
              <w:t>Outstanding, December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1,545,518</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36,862,947</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Exercisable, December 31, 2020</w:t>
            </w: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1,214,512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4.64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30,666,752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of outstanding options ranges from $2.46 per share to $28.48 per share.</w:t>
      </w:r>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 summary of the status of the Company’s nonvested options as of December 31, 2020, and changes during the year ended December 31, 2020, is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w w:val="89"/>
              </w:rPr>
              <w:t>Weighted-Average</w:t>
            </w:r>
          </w:p>
        </w:tc>
      </w:tr>
      <w:tr>
        <w:trPr>
          <w:trHeight w:val="237"/>
        </w:trPr>
        <w:tc>
          <w:tcPr>
            <w:tcW w:w="8440" w:type="dxa"/>
            <w:vAlign w:val="bottom"/>
            <w:gridSpan w:val="2"/>
          </w:tcPr>
          <w:p>
            <w:pPr>
              <w:spacing w:after="0"/>
              <w:rPr>
                <w:sz w:val="20"/>
                <w:szCs w:val="20"/>
                <w:color w:val="auto"/>
              </w:rPr>
            </w:pPr>
            <w:r>
              <w:rPr>
                <w:rFonts w:ascii="Arial" w:cs="Arial" w:eastAsia="Arial" w:hAnsi="Arial"/>
                <w:sz w:val="18"/>
                <w:szCs w:val="18"/>
                <w:color w:val="auto"/>
              </w:rPr>
              <w:t>Nonvested Options</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w w:val="92"/>
              </w:rPr>
              <w:t>Exercise Price</w:t>
            </w:r>
          </w:p>
        </w:tc>
      </w:tr>
      <w:tr>
        <w:trPr>
          <w:trHeight w:val="202"/>
        </w:trPr>
        <w:tc>
          <w:tcPr>
            <w:tcW w:w="8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Nonvested at January 1, 2020</w:t>
            </w:r>
          </w:p>
        </w:tc>
        <w:tc>
          <w:tcPr>
            <w:tcW w:w="1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480,584</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10.72</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467,549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11.39</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(531,461)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51"/>
        </w:trPr>
        <w:tc>
          <w:tcPr>
            <w:tcW w:w="84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(85,666)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50"/>
        </w:trPr>
        <w:tc>
          <w:tcPr>
            <w:tcW w:w="8440" w:type="dxa"/>
            <w:vAlign w:val="bottom"/>
            <w:gridSpan w:val="2"/>
          </w:tcPr>
          <w:p>
            <w:pPr>
              <w:spacing w:after="0" w:line="203" w:lineRule="exact"/>
              <w:rPr>
                <w:sz w:val="20"/>
                <w:szCs w:val="20"/>
                <w:color w:val="auto"/>
              </w:rPr>
            </w:pPr>
            <w:r>
              <w:rPr>
                <w:rFonts w:ascii="Arial" w:cs="Arial" w:eastAsia="Arial" w:hAnsi="Arial"/>
                <w:sz w:val="18"/>
                <w:szCs w:val="18"/>
                <w:color w:val="auto"/>
              </w:rPr>
              <w:t>Nonvested at December 31,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331,006</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There is $1,787,888 of expense remaining to be recognized over a period of approximately 2.5 years related to options outstanding at December 31, 2020.</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granted restricted stock awards of 94,746 and 90,000 shares in 2020 and 2019, respectively, and valued at $850,985 and $938,700, respectively. These awards vest over a period of 1 to 5 years. The Company recognized expense of $838,514 and $125,160 in 2020 and 2019, respectively related to this award. A total of $826,010 remains to be recognized at December 31, 2020 over a period of 3.2 years.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95"/>
              </w:rPr>
              <w:t>Weighted-Average</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Grant Date Fair</w:t>
            </w:r>
          </w:p>
        </w:tc>
        <w:tc>
          <w:tcPr>
            <w:tcW w:w="0" w:type="dxa"/>
            <w:vAlign w:val="bottom"/>
          </w:tcPr>
          <w:p>
            <w:pPr>
              <w:spacing w:after="0"/>
              <w:rPr>
                <w:sz w:val="1"/>
                <w:szCs w:val="1"/>
                <w:color w:val="auto"/>
              </w:rPr>
            </w:pPr>
          </w:p>
        </w:tc>
      </w:tr>
      <w:tr>
        <w:trPr>
          <w:trHeight w:val="237"/>
        </w:trPr>
        <w:tc>
          <w:tcPr>
            <w:tcW w:w="8000" w:type="dxa"/>
            <w:vAlign w:val="bottom"/>
            <w:gridSpan w:val="2"/>
          </w:tcPr>
          <w:p>
            <w:pPr>
              <w:spacing w:after="0"/>
              <w:rPr>
                <w:sz w:val="20"/>
                <w:szCs w:val="20"/>
                <w:color w:val="auto"/>
              </w:rPr>
            </w:pPr>
            <w:r>
              <w:rPr>
                <w:rFonts w:ascii="Arial" w:cs="Arial" w:eastAsia="Arial" w:hAnsi="Arial"/>
                <w:sz w:val="18"/>
                <w:szCs w:val="18"/>
                <w:color w:val="auto"/>
              </w:rPr>
              <w:t>Restricted Stock Awards</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02"/>
        </w:trPr>
        <w:tc>
          <w:tcPr>
            <w:tcW w:w="7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Outstanding at January 1, 2020</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90,000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94,746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4"/>
        </w:trPr>
        <w:tc>
          <w:tcPr>
            <w:tcW w:w="8000" w:type="dxa"/>
            <w:vAlign w:val="bottom"/>
            <w:gridSpan w:val="2"/>
          </w:tcPr>
          <w:p>
            <w:pPr>
              <w:spacing w:after="0"/>
              <w:rPr>
                <w:sz w:val="20"/>
                <w:szCs w:val="20"/>
                <w:color w:val="auto"/>
              </w:rPr>
            </w:pPr>
            <w:r>
              <w:rPr>
                <w:rFonts w:ascii="Arial" w:cs="Arial" w:eastAsia="Arial" w:hAnsi="Arial"/>
                <w:sz w:val="18"/>
                <w:szCs w:val="18"/>
                <w:color w:val="auto"/>
              </w:rPr>
              <w:t>Vested and issued</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(84,746)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2020</w:t>
            </w:r>
          </w:p>
        </w:tc>
        <w:tc>
          <w:tcPr>
            <w:tcW w:w="1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gridSpan w:val="2"/>
            <w:vMerge w:val="continue"/>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755"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12 – LEASES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Financial Accounting Standards Board (“FASB”) issued new accounting guidance on leases. The accounting standard, effective January 1, 2019, requires virtually all leases to be recognized on the balance sheet. Effective January 1, 2019, we adopted the standard using the modified retrospective method, under which we elected the package of practical expedients and transition provisions allowing us to bring our existing operating leases onto the consolidated balance sheet without adjusting comparative periods, but recognizing a cumulative-effect adjustment to the opening balance of accumulated deficit on January 1, 2019. Under the guidance, we have also elected not to separate lease and non-lease components in recognition of the lease-related assets and liabilities, as well as the related lease expense.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operating leases with terms greater than 12 months for office space in three multitenant facilities, which are recorded as assets and liabilities. The lease on our headquarters space in Rochester, Michigan expires November 30, 2022, with a three-year renewal option through 2025, with monthly rent payable at rates ranging from $6,384 to $6,688. We have assumed renewal of the lease. We also have a lease on office space in Cranbury, New Jersey, expiring in 2022 with monthly payments ranging from $3,008 to $3,158, as well as a lease of approximately $1,883 per month in Zagreb, Croatia expiring in 2022.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adoption of the standard on January 1, 2019, we recorded approximately $462,000 of right of use assets and $465,000 of lease-related liabilities, with the difference recorded in accumulated deficit as the cumulative effect of change in accounting principle at that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the Company’s lease cost consisted of the following components, each of which is included in operating expenses within the Company’s consolidated statements of operations: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 cost (1)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left="-4"/>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p>
      <w:pPr>
        <w:jc w:val="center"/>
        <w:ind w:left="-4"/>
        <w:spacing w:after="0"/>
        <w:rPr>
          <w:sz w:val="20"/>
          <w:szCs w:val="20"/>
          <w:color w:val="auto"/>
        </w:rPr>
      </w:pPr>
      <w:r>
        <w:rPr>
          <w:rFonts w:ascii="Arial" w:cs="Arial" w:eastAsia="Arial" w:hAnsi="Arial"/>
          <w:sz w:val="17"/>
          <w:szCs w:val="17"/>
          <w:color w:val="auto"/>
        </w:rPr>
        <w:t>December 31,</w:t>
      </w:r>
    </w:p>
    <w:p>
      <w:pPr>
        <w:spacing w:after="0" w:line="21" w:lineRule="exact"/>
        <w:rPr>
          <w:sz w:val="20"/>
          <w:szCs w:val="20"/>
          <w:color w:val="auto"/>
        </w:rPr>
      </w:pPr>
    </w:p>
    <w:p>
      <w:pPr>
        <w:jc w:val="center"/>
        <w:ind w:left="-4"/>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565" w:hanging="565"/>
        <w:spacing w:after="0"/>
        <w:tabs>
          <w:tab w:leader="none" w:pos="565" w:val="left"/>
        </w:tabs>
        <w:numPr>
          <w:ilvl w:val="0"/>
          <w:numId w:val="21"/>
        </w:numPr>
        <w:rPr>
          <w:rFonts w:ascii="Arial" w:cs="Arial" w:eastAsia="Arial" w:hAnsi="Arial"/>
          <w:sz w:val="15"/>
          <w:szCs w:val="15"/>
          <w:color w:val="auto"/>
        </w:rPr>
      </w:pPr>
      <w:r>
        <w:rPr>
          <w:rFonts w:ascii="Arial" w:cs="Arial" w:eastAsia="Arial" w:hAnsi="Arial"/>
          <w:sz w:val="15"/>
          <w:szCs w:val="15"/>
          <w:color w:val="auto"/>
        </w:rPr>
        <w:t>119,954</w:t>
      </w:r>
    </w:p>
    <w:p>
      <w:pPr>
        <w:spacing w:after="0" w:line="57" w:lineRule="exact"/>
        <w:rPr>
          <w:rFonts w:ascii="Arial" w:cs="Arial" w:eastAsia="Arial" w:hAnsi="Arial"/>
          <w:sz w:val="15"/>
          <w:szCs w:val="15"/>
          <w:color w:val="auto"/>
        </w:rPr>
      </w:pPr>
    </w:p>
    <w:p>
      <w:pPr>
        <w:ind w:left="545"/>
        <w:spacing w:after="0"/>
        <w:rPr>
          <w:rFonts w:ascii="Arial" w:cs="Arial" w:eastAsia="Arial" w:hAnsi="Arial"/>
          <w:sz w:val="15"/>
          <w:szCs w:val="15"/>
          <w:color w:val="auto"/>
        </w:rPr>
      </w:pPr>
      <w:r>
        <w:rPr>
          <w:rFonts w:ascii="Arial" w:cs="Arial" w:eastAsia="Arial" w:hAnsi="Arial"/>
          <w:sz w:val="16"/>
          <w:szCs w:val="16"/>
          <w:color w:val="auto"/>
        </w:rPr>
        <w:t>130,216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00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65" w:lineRule="exact"/>
        <w:rPr>
          <w:sz w:val="20"/>
          <w:szCs w:val="20"/>
          <w:color w:val="auto"/>
        </w:rPr>
      </w:pPr>
    </w:p>
    <w:p>
      <w:pPr>
        <w:ind w:left="545" w:hanging="545"/>
        <w:spacing w:after="0"/>
        <w:tabs>
          <w:tab w:leader="none" w:pos="5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250,170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00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200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left="55" w:right="105"/>
        <w:spacing w:after="0" w:line="263" w:lineRule="auto"/>
        <w:rPr>
          <w:sz w:val="20"/>
          <w:szCs w:val="20"/>
          <w:color w:val="auto"/>
        </w:rPr>
      </w:pPr>
      <w:r>
        <w:rPr>
          <w:rFonts w:ascii="Arial" w:cs="Arial" w:eastAsia="Arial" w:hAnsi="Arial"/>
          <w:sz w:val="18"/>
          <w:szCs w:val="18"/>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029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91" w:lineRule="exact"/>
        <w:rPr>
          <w:sz w:val="20"/>
          <w:szCs w:val="20"/>
          <w:color w:val="auto"/>
        </w:rPr>
      </w:pPr>
    </w:p>
    <w:p>
      <w:pPr>
        <w:ind w:left="515" w:hanging="515"/>
        <w:spacing w:after="0"/>
        <w:tabs>
          <w:tab w:leader="none" w:pos="5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132,020</w:t>
      </w:r>
    </w:p>
    <w:p>
      <w:pPr>
        <w:spacing w:after="0" w:line="46"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84,935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029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5" w:lineRule="exact"/>
        <w:rPr>
          <w:sz w:val="20"/>
          <w:szCs w:val="20"/>
          <w:color w:val="auto"/>
        </w:rPr>
      </w:pPr>
    </w:p>
    <w:p>
      <w:pPr>
        <w:ind w:left="515" w:hanging="515"/>
        <w:spacing w:after="0"/>
        <w:tabs>
          <w:tab w:leader="none" w:pos="5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216,955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029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029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55" w:space="720"/>
            <w:col w:w="1125" w:space="225"/>
            <w:col w:w="1215"/>
          </w:cols>
          <w:pgMar w:left="320" w:top="337"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(1) Short-term lease cost includes any lease with a term of less than 12 months.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rPr>
              <w:t>OPTIMIZERx CORPORATION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6"/>
              </w:rPr>
              <w:t>DECEMBER 31, 2020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NOTE 12 – LEASES (CONTINUED)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table below presents the future minimum lease payments to be made under operating leases as of December 31, 2020: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140,367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102,367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99,209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80,375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70,224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492,452</w:t>
            </w:r>
          </w:p>
        </w:tc>
      </w:tr>
      <w:tr>
        <w:trPr>
          <w:trHeight w:val="251"/>
        </w:trPr>
        <w:tc>
          <w:tcPr>
            <w:tcW w:w="1002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43,789</w:t>
            </w:r>
          </w:p>
        </w:tc>
      </w:tr>
      <w:tr>
        <w:trPr>
          <w:trHeight w:val="250"/>
        </w:trPr>
        <w:tc>
          <w:tcPr>
            <w:tcW w:w="10020" w:type="dxa"/>
            <w:vAlign w:val="bottom"/>
          </w:tcPr>
          <w:p>
            <w:pPr>
              <w:spacing w:after="0" w:line="203" w:lineRule="exact"/>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448,753</w:t>
            </w: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 average remaining lease term for operating leases is 4.3 years and the weighted average discount rate used in calculating the operating lease asset and liability is 4.5%. Cash paid for amounts included in the measurement of lease liabilities was $115,431. For the year ended December 31, 2020, payments on lease obligations were $138,019 and amortization on the right of use assets was $104,805. For the year ended December 31, 2019, payments on lease obligations were $132,867 and amortization on the right of use assets was $107,656.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13 – MAJOR CUSTOMERS AND VENDORS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the following customers that accounted for 10% or greater of revenue in either 2020 or 2019. No other customers accounted for more than 10% of revenue in either year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64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2020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rPr>
              <w:t>2019</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Customer A</w:t>
            </w:r>
          </w:p>
        </w:tc>
        <w:tc>
          <w:tcPr>
            <w:tcW w:w="1120" w:type="dxa"/>
            <w:vAlign w:val="bottom"/>
          </w:tcPr>
          <w:p>
            <w:pPr>
              <w:ind w:left="400"/>
              <w:spacing w:after="0" w:line="201" w:lineRule="exact"/>
              <w:rPr>
                <w:sz w:val="20"/>
                <w:szCs w:val="20"/>
                <w:color w:val="auto"/>
              </w:rPr>
            </w:pPr>
            <w:r>
              <w:rPr>
                <w:rFonts w:ascii="Arial" w:cs="Arial" w:eastAsia="Arial" w:hAnsi="Arial"/>
                <w:sz w:val="18"/>
                <w:szCs w:val="18"/>
                <w:color w:val="auto"/>
                <w:w w:val="87"/>
              </w:rPr>
              <w:t>5,469,126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12.6</w:t>
            </w:r>
          </w:p>
        </w:tc>
        <w:tc>
          <w:tcPr>
            <w:tcW w:w="220" w:type="dxa"/>
            <w:vAlign w:val="bottom"/>
          </w:tcPr>
          <w:p>
            <w:pPr>
              <w:spacing w:after="0"/>
              <w:rPr>
                <w:sz w:val="17"/>
                <w:szCs w:val="17"/>
                <w:color w:val="auto"/>
              </w:rPr>
            </w:pPr>
          </w:p>
        </w:tc>
        <w:tc>
          <w:tcPr>
            <w:tcW w:w="1100" w:type="dxa"/>
            <w:vAlign w:val="bottom"/>
          </w:tcPr>
          <w:p>
            <w:pPr>
              <w:ind w:left="380"/>
              <w:spacing w:after="0" w:line="201" w:lineRule="exact"/>
              <w:rPr>
                <w:sz w:val="20"/>
                <w:szCs w:val="20"/>
                <w:color w:val="auto"/>
              </w:rPr>
            </w:pPr>
            <w:r>
              <w:rPr>
                <w:rFonts w:ascii="Arial" w:cs="Arial" w:eastAsia="Arial" w:hAnsi="Arial"/>
                <w:sz w:val="18"/>
                <w:szCs w:val="18"/>
                <w:color w:val="auto"/>
                <w:w w:val="87"/>
              </w:rPr>
              <w:t>1,349,214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5,037,888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1,032,377</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C</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4,824,454</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3,883,589</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D</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3,551,241</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2,533,766</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Customer E</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1,113,599</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2,801,748</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MAJOR CUSTOMERS AND VENDORS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accounts receivable includes 4 entities, included agencies that represent multiple customers that individually make up more than 10% of our accounts receivable at December 31, 2020 in the percentages of 19.7%, 16.2%, 15.8% and 14.4%.</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generates its revenues through its EHR and ePrescribe partners. It had two key partners and/or vendors through which 10% or greater of its revenue was generated in either 2020 or 2019 as set forth below. The amounts in the table below reflect the amount of revenue generated through those partners.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2020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2019</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Partner A</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22,813,574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52.7</w:t>
            </w:r>
          </w:p>
        </w:tc>
        <w:tc>
          <w:tcPr>
            <w:tcW w:w="220" w:type="dxa"/>
            <w:vAlign w:val="bottom"/>
          </w:tcPr>
          <w:p>
            <w:pPr>
              <w:spacing w:after="0"/>
              <w:rPr>
                <w:sz w:val="17"/>
                <w:szCs w:val="17"/>
                <w:color w:val="auto"/>
              </w:rPr>
            </w:pPr>
          </w:p>
        </w:tc>
        <w:tc>
          <w:tcPr>
            <w:tcW w:w="1100" w:type="dxa"/>
            <w:vAlign w:val="bottom"/>
          </w:tcPr>
          <w:p>
            <w:pPr>
              <w:ind w:left="380"/>
              <w:spacing w:after="0" w:line="201" w:lineRule="exact"/>
              <w:rPr>
                <w:sz w:val="20"/>
                <w:szCs w:val="20"/>
                <w:color w:val="auto"/>
              </w:rPr>
            </w:pPr>
            <w:r>
              <w:rPr>
                <w:rFonts w:ascii="Arial" w:cs="Arial" w:eastAsia="Arial" w:hAnsi="Arial"/>
                <w:sz w:val="18"/>
                <w:szCs w:val="18"/>
                <w:color w:val="auto"/>
                <w:w w:val="87"/>
              </w:rPr>
              <w:t>9,210,347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37.4</w:t>
            </w:r>
          </w:p>
        </w:tc>
        <w:tc>
          <w:tcPr>
            <w:tcW w:w="2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Partner B</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7,092,477</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4,051,217</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the Company had net operating loss carry-forwards for federal income tax purposes of approximately $19.3 million, consisting of pre-2018 losses in the amount of approximately $13.3 million that expire from 2020 through 2037, and post-2017 losses in the amount of approximately $6 million that never expire. These net operating losses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6"/>
              </w:rPr>
              <w:t>The provision for Federal income tax consists of the following for the years ended December 31, 2020 and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Federal income tax benefit (expense) attributable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operations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463,000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Acquisition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(29,000)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permanent items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adjustment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(913,000)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adjustments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NOLs expiring</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(209,000)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(529,000)</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1,209,960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Net provision for federal income tax</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897,960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Current tax benefit (expense) - Federal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benefit (expense) - Federal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Adjustment of valuation allowance from business combination</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897,960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tax benefit (expense) on income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897,960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of significant items comprising our net deferred tax amount at the expected rate of 21% is as follows as of December 31, 2020 and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Deferred tax asset attributable to:</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operating loss carryover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4,057,000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3,839,000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353,000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94,000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44,000</w:t>
            </w:r>
          </w:p>
        </w:tc>
        <w:tc>
          <w:tcPr>
            <w:tcW w:w="220" w:type="dxa"/>
            <w:vAlign w:val="bottom"/>
          </w:tcPr>
          <w:p>
            <w:pPr>
              <w:spacing w:after="0"/>
              <w:rPr>
                <w:sz w:val="21"/>
                <w:szCs w:val="21"/>
                <w:color w:val="auto"/>
              </w:rPr>
            </w:pPr>
          </w:p>
        </w:tc>
        <w:tc>
          <w:tcPr>
            <w:tcW w:w="960" w:type="dxa"/>
            <w:vAlign w:val="bottom"/>
            <w:gridSpan w:val="3"/>
          </w:tcPr>
          <w:p>
            <w:pPr>
              <w:jc w:val="right"/>
              <w:ind w:right="21"/>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Deferred tax asset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4,548,000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4,195,000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Deferred tax liabilities attributable to:</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Fixed assets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(2,181,000)</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(2,438,000)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(94,000)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(16,000)</w:t>
            </w: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Deferred tax liability</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(2,291,000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(2,467,000</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2,257,000</w:t>
            </w:r>
          </w:p>
        </w:tc>
        <w:tc>
          <w:tcPr>
            <w:tcW w:w="22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(1,728,000</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Net deferred tax asset</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8680" w:type="dxa"/>
            <w:vAlign w:val="bottom"/>
            <w:vMerge w:val="continue"/>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ultimate realization of deferred tax assets is dependent upon the Company’s ability to generate sufficient taxable income during the periods in which the net operating losses expire and the temporary differences become deductible. The Company has determined that there is significant uncertainty that the results of future operations and the reversals of existing taxable temporary differences will generate sufficient taxable income to realize the deferred tax assets; therefore, a valuation allowance has been recorded. In making this determination, the Company considered historical levels of income, projections for future periods, and the significant amount of tax deductions to be generated from the future exercise of stock options.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years 2017 to 2020 remain open for potential audit by the Internal Revenue Service. There are no uncertain tax positions as of December 31, 2019 or December 31, 2020, and none are expected in the next 12 months. The Company’s foreign subsidiaries are cost centers that are primarily reimbursed for expenses, as a result they generate an immaterial amount of income or loss. Pretax book income (loss) is all from domestic operations. Up to four years of returns remain open for potential audit in foreign jurisdictions, however any audits for periods prior to ownership by the Company are the responsibility of the previous owners.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 From time to time the Company enters into arrangements with a partner to acquire minimum amounts of messaging capabilities. As of December 31, 2020, the Company had commitments for future minimum payments of $7.5 million that will be reflected in cost of revenues during the years from 2021 through 2022. Minimum payments are due in 2021 and 2022, in the amounts of $6.25 million and $1.5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NOTE 16 – RETIREMENT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$373,027 and $126,557 recorded in 2020 and 2019, respectively, for company contributions to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17 – 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February 2021, in an underwritten public offering, we issued 1,523,750 shares of our common stock for gross proceeds of $75,425,625. In connection with this transaction, we incurred equity issuance costs of $4,744,652 related to payments to the underwriter, advisors, legal fees, and other costs associated with the transaction, resulting in net proceeds to the Company of approximately $70,680,973.</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2021, the Company issued 59,547 shares and received proceeds of $495,288 in connection with the exercise of options. In March 2021, the Company’s Board of Directors amended the 2013 Equity Compensation Plan to increase the number of shares authorized under the plan to 6.0 million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22, 2020, the Company engaged UHY LLP as the Company’s independent registered public accounting firm and dismissed Marcum LLP as the Company’s independent registered public accounting firm. There were no disagreements or reportable events required to be disclosed under Item 304(b) of Regulation 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disclosure controls and procedures (as defined in Rules 13a-15I or 15d-15I under the Securities Exchange Act of 1934, as amended) are designed to ensure that information required to be disclosed in the reports that we file or submit under the Exchange Act is recorded, processed, summarized, and reported within the time periods specified in the rules and forms of the Securities and Exchange Commission and to ensure that information required to be disclosed is accumulated and communicated to management, including our principal executive and financial officers, to allow timely decisions regarding disclosure. Based on an evaluation under the supervision and with the participation of the Company’s management, the Company’s principal executive officer and principal financial officer have concluded that the Company’s disclosure controls and procedures as defined in Rules 13a-15I and 15d-15I under the Exchange Act were effective as of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w:t>
      </w:r>
    </w:p>
    <w:p>
      <w:pPr>
        <w:spacing w:after="0" w:line="2" w:lineRule="exact"/>
        <w:rPr>
          <w:sz w:val="20"/>
          <w:szCs w:val="20"/>
          <w:color w:val="auto"/>
        </w:rPr>
      </w:pPr>
    </w:p>
    <w:p>
      <w:pPr>
        <w:jc w:val="both"/>
        <w:ind w:firstLine="8"/>
        <w:spacing w:after="0" w:line="25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conducted an assessment of the effectiveness of the Company’s internal control over financial reporting based on the criteria set forth in Internal Control – Integrated Framework issued by the Committee of Sponsoring Organizations of the Treadway Commission (2013 framework).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this assessment as of December 31, 2020, management concluded that there were no material weaknesses. As part of the assessment at December 31, 2019, management identified the following material weaknesses which caused management to conclude that our disclosure controls and procedures were not effective at that date: (i) inadequate information technology general controls (ITGCs) in the areas of user access security, change management, IT operations and third-party management over its key financial information technology (IT) systems; and (ii) inadequate controls to ensure that data received from third parties is complete and accurate. Those weaknesses have been remediated as of December 31, 2020.</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material weaknesses in 2019 did not result in any identified misstatements to the financial statements, and there were no changes to previously released financial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does not include an attestation report of the Company’s independent registered public accounting firm regarding internal controls over financial reporting as of December 31, 2020 because we became a smaller reporting company under Section 404 of the Sarbanes-Oxley Act of 2002 pursuant to the provisions of Section 989G(a) set forth in the Dodd-Frank Wall Street Reform and Consumer Protection Act enacted into federal law in July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2020, the Company improved its information technology general controls and the documentation of those controls to address the material weaknesses identified in 2019. It also implemented new controls to ensure that the data received from third parties is complete and accurate. Other than the changes to internal controls described above, there has been no material changes in our internal control over financial reporting during the most recently completed fiscal quarter that has materially affected, or is reasonably likely to materially affect, our internal control over financial reporting.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80" w:type="dxa"/>
            <w:vAlign w:val="bottom"/>
            <w:gridSpan w:val="2"/>
          </w:tcPr>
          <w:p>
            <w:pPr>
              <w:spacing w:after="0"/>
              <w:rPr>
                <w:sz w:val="20"/>
                <w:szCs w:val="20"/>
                <w:color w:val="auto"/>
              </w:rPr>
            </w:pPr>
            <w:r>
              <w:rPr>
                <w:rFonts w:ascii="Arial" w:cs="Arial" w:eastAsia="Arial" w:hAnsi="Arial"/>
                <w:sz w:val="18"/>
                <w:szCs w:val="18"/>
                <w:color w:val="auto"/>
              </w:rPr>
              <w:t>Name</w:t>
            </w: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Age</w:t>
            </w:r>
          </w:p>
        </w:tc>
        <w:tc>
          <w:tcPr>
            <w:tcW w:w="100" w:type="dxa"/>
            <w:vAlign w:val="bottom"/>
          </w:tcPr>
          <w:p>
            <w:pPr>
              <w:spacing w:after="0"/>
              <w:rPr>
                <w:sz w:val="20"/>
                <w:szCs w:val="20"/>
                <w:color w:val="auto"/>
              </w:rPr>
            </w:pPr>
          </w:p>
        </w:tc>
        <w:tc>
          <w:tcPr>
            <w:tcW w:w="6280" w:type="dxa"/>
            <w:vAlign w:val="bottom"/>
          </w:tcPr>
          <w:p>
            <w:pPr>
              <w:ind w:left="2180"/>
              <w:spacing w:after="0"/>
              <w:rPr>
                <w:sz w:val="20"/>
                <w:szCs w:val="20"/>
                <w:color w:val="auto"/>
              </w:rPr>
            </w:pPr>
            <w:r>
              <w:rPr>
                <w:rFonts w:ascii="Arial" w:cs="Arial" w:eastAsia="Arial" w:hAnsi="Arial"/>
                <w:sz w:val="18"/>
                <w:szCs w:val="18"/>
                <w:color w:val="auto"/>
              </w:rPr>
              <w:t>Positions and Offices Held</w:t>
            </w:r>
          </w:p>
        </w:tc>
      </w:tr>
      <w:tr>
        <w:trPr>
          <w:trHeight w:val="202"/>
        </w:trPr>
        <w:tc>
          <w:tcPr>
            <w:tcW w:w="3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William J. Febbo</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7"/>
                <w:szCs w:val="17"/>
                <w:color w:val="auto"/>
              </w:rPr>
            </w:pPr>
          </w:p>
        </w:tc>
        <w:tc>
          <w:tcPr>
            <w:tcW w:w="6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Stephen L. Silvestro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Chief Commercial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Miriam J. Paramore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President and Chief Strategy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Marion Odence-Ford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General Counsel and Chief Compliance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Douglas P. Baker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Chairperson and 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Patrick Spangler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Greg Wasson</w:t>
            </w:r>
          </w:p>
        </w:tc>
        <w:tc>
          <w:tcPr>
            <w:tcW w:w="78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Febbo joined our company as Chief Executive Officer and Director on February 22, 2016. Mr. Febbo brings more than 20 years of experience in building and managing health services and financial businesses. From 2007 to 2015, he worked with Merriman Holdings, Inc., an investment banking firm. There he served as Chief Operating Officer and assisted with capital raises in the tech, biotech, cleantech, consumer and resources industries. Prior to Merriman, Mr. Febbo was CEO and co-founder of MedPanel, a provider of market intelligence and communications for the pharmaceutical, biomedical, and medical device industries, which was eventually acquired by MCF Corporation.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Febbo holds a Bachelor of Arts in International Studies from Dickinson College, in Pennsylvania. Febbo serves on the board of The United Nations of Greater Boston, a non-profit focused on building global citizens within inner-city schools in Massachusetts, is faculty on the MIT linq program and currently serves as a board member of Modular Medical (MODD).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Febbo is qualified to serve on our Board of Directors because of his wealth of experience in building and managing health services and financial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L. Silvestro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Silvestro joined the company as Chief Commercial Officer on April 29, 2019. Mr. Silvestro was with CCH® Tagetik as its Vice President and General Manager from January 2018 until he joined us. From April 2017 to January 2018, Mr. Silvestro was with Prognos as its Chief Commercial Officer and, before that, from September 2007 to April 2017, he was with Decision Resources Group in various capacitates with him last serving as Executive Vice President, Head of Global Sales.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Aside from that provided above, Mr. Silvestro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Ms. Paramore joined the company as President in August 2017. She has vast experience with healthcare companies, running businesses ranging from start-ups to large divisions of public and private companies. Her early career was spent at Ernst &amp; Young, as a Healthcare Management Consultant. She has since occupied executive level and director positions at several healthcare companies. Most recently, from April 2016 to April 2017, Ms. Paramore served as COO and CTO of Lucro, Inc., a privately held company located in| Nashville, Tennessee focused on the healthcare sector. From March 2015 to February 2016, she served as Executive Vice President of PDX a privately held company in Fort Worth, Texas that provides health information technology for pharmacies. From May 2008 to December 2013, she served as Executive Vice President of Emdeon, Inc. in Nashville, Tennessee, a health information technology and tech-enabled services company.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Ms. Paramore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Marion Odence-Ford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Odence-Ford joined the company as General Counsel and Chief Compliance Officer in February 2021. She is a corporate lawyer with over 20 years of large firm and in-house experiences in a broad range of industries including life sciences, high tech, business consulting, professional services, banking, and finance companies. From April 2013 to June 2020, she was a senior member of the legal team at Decision Resources Group, a multi-national corporation that provides global data solutions, analytics and consulting services to pharmaceutical, biotech, medical device, healthcare provider and payer, and managed care companies.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Ms. Odence-Ford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Baker has served as our CFO since May 19, 2014. Mr. Baker is a Certified Public Account with a Master’s Degree in Business Administration. He has extensive business experience including 9 years in public accounting with Plante Moran, four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was a member of the Board Directors of Total Health Care, Inc., a Detroit based Health Maintenance Organization from 1987 through January 2020, including his latest role as Chairman of the Board, until it was acquired by Priority Health, a Michigan based HMO in January 2020. He became a member of the Priority Health Board in January 2020.</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joined our company as a Director on August 7, 2014. Mr. Halas has served as CEO of several companies. He was Chief Executive Officer and President of the Central Operating Companies at Central Garden &amp; Pet Company from April 2011 through May 2013.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Ms. Vos runs VosHealth, LLC. She was the President and CEO of the Muscular Dystrophy Association from October 2017 through November 2020. Prior to that, Ms. Vos had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Ms. Vos is qualified to serve on our Board of Directors because of her extensive executive skills in digital marketing and communications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Lang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Lang joined our Board January 12, 2017. He brings us more than 25 years of experience in healthcare data, analytic, and technology enabled business services. Mr. Lang is the CEO of Eversana, a leading independent provider of global commercial services to the life science industry, and also presently serves as an executive advisor to Water Street, a strategic private equity firm focused exclusively on building market-leading companies in healthcare. In that capacity, he currently serves as Board Chairman to The Access Group, Health Strategies Group, Alliance Life Sciences, and Dohmen Life Science Services. He is also on the of BioVie (Nasdaq:BIVI) a development-stage company pioneering an innovative therapeutic that targets complications due to liver cirrhosis.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Mr. Lang is qualified to serve on our Board of Directors because of his extensive executive skills and background in the healthcare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Spangler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Patrick Spangler has over 32 years of experience in IPO’s, mergers and acquisitions, operations and financial management experience in the medical device and health care IT industries. As a transformational leader he has been responsible for driving high-performance emerging growth firms as well as large publicly traded companies and has also served in the private equity sector successfully improving operational results and exit strategies with a broad array of portfolio companies. He currently serves as Chief Financial Officer of On Target Laboratories which has developed fluorescent markers to target and illuminate cancer during surgery.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On Target Laboratories, Mr. Spangler served as Chief Financial Officer of MHC Software supplying document automation software to a variety of industries. Previous to MHC, Mr. Spangler served as Chief Financial Officer of Vigilanz Corporation, Chief Financial Officer of Healthland Inc, SVP and CFO for Epocrates (EPOC), SVP and CFO of ev3 Inc. (EVVV), and Executive Vice President and Chief Financial Officer and Assistant Secretary for EMPI Inc (EMPI). Prior to joining EMPI Inc. Mr. Spangler served for over eleven years in various senior finance leadership positions at Medtronic, Inc (MDT).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Spangler holds a Bachelor of Science in Accounting from the University of Minnesota, a Master of Business Taxation from the University of Minnesota and a Master of Business Administration from University of Chicago and also serves on the Board of Directors of Lifespace Communities Inc, and previously served on the board of Urologix Inc (ULGX) a leader in less invasive in office BPH treatment.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Spangler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Spangler is qualified to serve on our Board of Directors because of his extensive executive skills and background in the healthcare industry and his finance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 Wasson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Mr. Wasson, age 62, joined the Board in July 2020. Mr. Wasson is the former President and CEO of Walgreens Boots Alliance. While president and CEO of Walgreens, Wasson led the company to record sales of $76.4 billion in 2014. He created significant shareholder value by completing game-changing mergers and acquisitions, leading complex organizational and structural change, assembling a diverse and high-performance senior leadership team, and establishing Walgreens as an industry leader. Wasson is largely credited for transforming the iconic 114-year-old domestic company into the first global pharmacy-led, health, well-being, and beauty enterprise via the successful merger with European-based Alliance Boots in 2015.</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being appointed president and CEO of the combined companies, Walgreens Boots Alliance, Wasson had risen through the ranks through a number of positions of increasing responsibility and executive leadership, starting as an intern at Walgreens in 1980.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Wasson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Mr. Wasson is qualified to serve on our Board of Directors because of his extensive executive skills and background in the healthcare industry.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We currently have six (6)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past 10 years, other than as set forth below,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1"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8" w:lineRule="exact"/>
        <w:rPr>
          <w:rFonts w:ascii="Arial" w:cs="Arial" w:eastAsia="Arial" w:hAnsi="Arial"/>
          <w:sz w:val="16"/>
          <w:szCs w:val="16"/>
          <w:color w:val="auto"/>
        </w:rPr>
      </w:pPr>
    </w:p>
    <w:p>
      <w:pPr>
        <w:ind w:right="20" w:firstLine="8"/>
        <w:spacing w:after="0" w:line="277" w:lineRule="auto"/>
        <w:tabs>
          <w:tab w:leader="none" w:pos="2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conviction in a criminal proceeding or being named a subject of a pending criminal proceeding (excluding traffic violations and other minor offenses);</w:t>
      </w:r>
    </w:p>
    <w:p>
      <w:pPr>
        <w:spacing w:after="0" w:line="170" w:lineRule="exact"/>
        <w:rPr>
          <w:rFonts w:ascii="Arial" w:cs="Arial" w:eastAsia="Arial" w:hAnsi="Arial"/>
          <w:sz w:val="18"/>
          <w:szCs w:val="18"/>
          <w:color w:val="auto"/>
        </w:rPr>
      </w:pPr>
    </w:p>
    <w:p>
      <w:pPr>
        <w:ind w:right="20" w:firstLine="8"/>
        <w:spacing w:after="0" w:line="277" w:lineRule="auto"/>
        <w:tabs>
          <w:tab w:leader="none" w:pos="1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70" w:lineRule="exact"/>
        <w:rPr>
          <w:sz w:val="20"/>
          <w:szCs w:val="20"/>
          <w:color w:val="auto"/>
        </w:rPr>
      </w:pPr>
    </w:p>
    <w:p>
      <w:pPr>
        <w:jc w:val="both"/>
        <w:ind w:firstLine="8"/>
        <w:spacing w:after="0" w:line="286"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firstLine="8"/>
        <w:spacing w:after="0" w:line="277" w:lineRule="auto"/>
        <w:tabs>
          <w:tab w:leader="none" w:pos="1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3" w:lineRule="auto"/>
        <w:tabs>
          <w:tab w:leader="none" w:pos="2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83" w:lineRule="exact"/>
        <w:rPr>
          <w:rFonts w:ascii="Arial" w:cs="Arial" w:eastAsia="Arial" w:hAnsi="Arial"/>
          <w:sz w:val="18"/>
          <w:szCs w:val="18"/>
          <w:color w:val="auto"/>
        </w:rPr>
      </w:pPr>
    </w:p>
    <w:p>
      <w:pPr>
        <w:ind w:firstLine="8"/>
        <w:spacing w:after="0" w:line="277" w:lineRule="auto"/>
        <w:tabs>
          <w:tab w:leader="none" w:pos="1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25" w:lineRule="exact"/>
        <w:rPr>
          <w:sz w:val="20"/>
          <w:szCs w:val="20"/>
          <w:color w:val="auto"/>
        </w:rPr>
      </w:pPr>
    </w:p>
    <w:p>
      <w:pPr>
        <w:ind w:firstLine="8"/>
        <w:spacing w:after="0" w:line="308" w:lineRule="auto"/>
        <w:tabs>
          <w:tab w:leader="none" w:pos="197"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29, 2018, FINRA accepted a Letter of Acceptance, Waiver and Consent (No. 2015044865501) (the “Consent”) submitted by William Febbo.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Febbo, as FinOp, signed certain of these reports and was thus held responsible. Based on the Consent, in settlement, Mr. Febbo, who was then no longer registered with any broker-dealer, accepted a fine of $5,000 and a 10-business day suspension from acting as FinOp for any FINRA member.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reviews the independence of our directors on the basis of standards adopted by the Nasdaq Stock Market (“Nasdaq”). As a part of this review, the Board of Directors considers transactions and relationships between our company, on the one hand, and each director, members of the director’s immediate family, and other entities with which the director is affiliated, on the other hand. The purpose of such a review is to determine which, if any, of such transactions or relationships were inconsistent with a determination that the director is independent under Nasdaq rules. As a result of this review, the Board of Directors has determined that each of our directors other than Mr. Febbo is an “independent director” within the meaning of applicable Nasdaq listing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three standing committees to facilitate and assist the Board of Directors in the execution of its responsibilities: (1) Nominating and Governance Committee; (2) Audit Committee and (3) Compensation Committee. Each committee acts pursuant to a written charter adopted by the Board of Directors. Each committee’s charter is available on our corporate website at http://www.optimizerx.com. (The information contained in our website is not incorporated into this Annual Report on Form 10-K.) All of the committees are comprised solely of non-employee, independent directors as defined by Nasdaq market listing standards.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has established a Nominating and Governance Committee. In 2020, the committee members were Directors Vos (Chair), Lang, and Halas. The Nominating and Corporate Governance Committee held 4 meetings during the fiscal year ended December 31, 2020. The Nominating and Corporate Governance Committee’s responsibilities, which are discussed in detail in its charter, include the responsibility to:</w:t>
      </w:r>
    </w:p>
    <w:p>
      <w:pPr>
        <w:spacing w:after="0" w:line="16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qualifications and criteria for selecting and evaluating directors and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 and propose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committee memberships;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and recommend to the Board 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Facilitate an annual assessment of the performance of the Board and each of its standing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 the independence of each director and nominee for director;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Board of Directors has established a Compensation Committee. The Compensation Committee held 4 meetings during the fiscal year ended December 31, 2020, and held other informal discussions as needed. In 2020, the Committee was composed of Directors Halas, Spangler, Wasson, and Lang, and is chaired by Director Lang. The Compensation Committee’s responsibilities, which are discussed in detail in its charter, include the responsibility to:</w:t>
      </w:r>
    </w:p>
    <w:p>
      <w:pPr>
        <w:spacing w:after="0" w:line="149"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consultation with our senior management, establish our general compensation philosophy and oversee the development and implementation of our compensation programs;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Administer our incentive and stock-based compensation plans, and discharge the duties imposed on the Compensation Committee by the terms of those plans;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 and approve any severance or termination payments proposed to be made to any current or former officer of our company;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 of Directors.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2020, the Audit Committee was comprised of Directors Halas, Spangler and Vos, and is chaired by Director Spangler. The Audit Committee held four meetings during the fiscal year ended December 31, 2020 and held informal discussions as necessary.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approves the selection of our independent accountants and meets and interacts with the independent accountants to discuss issues related to financial reporting. In addition, the Audit Committee reviews the scope and results of the audit with the independent accountants, reviews with management and the independent accountants our annual operating results, considers the adequacy of our internal accounting procedures, including our internal control over financial reporting, and considers other auditing and accounting matters including fees to be paid to the independent auditor and the performance of the independent auditor.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2020, the Audit Committee:</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Audit Committee’s review and discussion of the matters above, the board of directors authorized inclusion of the audited financial statements for the year ended December 31, 2020 to be included in this Annual Report on Form 10-K and filed with the Securities and Exchange Commission.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determined that each member of the Audit Committee qualifies as an audit committee financial expert as defined under applicable SEC rules and also meets the additional criteria for independence of audit committee members set forth in Rule 10A-3(b)(1) under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2020, other than the Company was late in filing Form 4s related to its quarterly grant of shares to independent directors in one instance for directors, Lang, Wasson, Vos, Halas, and Spangler. In addition, director Lang had an additional late Form 4 and Director Wasson had a late Form 3 – both related to issues with filing codes. AWM Investment Company, Inc., was late in one instance in filing its Form 4 obligation.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the Board of Directors adopted a Code of Ethics for the Company, which was attached to our 2017 Annual Report on Form 10-K as Exhibit 14.1.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current named executive officers for the fiscal years ended December 31, 2020 and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Stock</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Option</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All Other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Salary</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Bonus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Awards</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Awards</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Compensation</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Total</w:t>
            </w:r>
          </w:p>
        </w:tc>
      </w:tr>
      <w:tr>
        <w:trPr>
          <w:trHeight w:val="237"/>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Name and principal position</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Year</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William J. Febbo (1)</w:t>
            </w:r>
          </w:p>
        </w:tc>
        <w:tc>
          <w:tcPr>
            <w:tcW w:w="100" w:type="dxa"/>
            <w:vAlign w:val="bottom"/>
          </w:tcPr>
          <w:p>
            <w:pPr>
              <w:spacing w:after="0"/>
              <w:rPr>
                <w:sz w:val="17"/>
                <w:szCs w:val="17"/>
                <w:color w:val="auto"/>
              </w:rPr>
            </w:pPr>
          </w:p>
        </w:tc>
        <w:tc>
          <w:tcPr>
            <w:tcW w:w="118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350,000</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261,187</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638,985</w:t>
            </w: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620"/>
              <w:spacing w:after="0" w:line="201" w:lineRule="exact"/>
              <w:rPr>
                <w:sz w:val="20"/>
                <w:szCs w:val="20"/>
                <w:color w:val="auto"/>
              </w:rPr>
            </w:pPr>
            <w:r>
              <w:rPr>
                <w:rFonts w:ascii="Arial" w:cs="Arial" w:eastAsia="Arial" w:hAnsi="Arial"/>
                <w:sz w:val="18"/>
                <w:szCs w:val="18"/>
                <w:color w:val="auto"/>
                <w:w w:val="83"/>
              </w:rPr>
              <w:t>15,400</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1,265,572</w:t>
            </w:r>
          </w:p>
        </w:tc>
        <w:tc>
          <w:tcPr>
            <w:tcW w:w="20" w:type="dxa"/>
            <w:vAlign w:val="bottom"/>
          </w:tcPr>
          <w:p>
            <w:pPr>
              <w:spacing w:after="0"/>
              <w:rPr>
                <w:sz w:val="17"/>
                <w:szCs w:val="17"/>
                <w:color w:val="auto"/>
              </w:rPr>
            </w:pPr>
          </w:p>
        </w:tc>
      </w:tr>
      <w:tr>
        <w:trPr>
          <w:trHeight w:val="251"/>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CEO, Director</w:t>
            </w:r>
          </w:p>
        </w:tc>
        <w:tc>
          <w:tcPr>
            <w:tcW w:w="1180" w:type="dxa"/>
            <w:vAlign w:val="bottom"/>
          </w:tcPr>
          <w:p>
            <w:pPr>
              <w:ind w:left="40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126,990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391,800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15,200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833,990</w:t>
            </w:r>
          </w:p>
        </w:tc>
      </w:tr>
      <w:tr>
        <w:trPr>
          <w:trHeight w:val="202"/>
        </w:trPr>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Stephen L. Silvestro</w:t>
            </w:r>
          </w:p>
        </w:tc>
        <w:tc>
          <w:tcPr>
            <w:tcW w:w="1180" w:type="dxa"/>
            <w:vAlign w:val="bottom"/>
          </w:tcPr>
          <w:p>
            <w:pPr>
              <w:ind w:left="400"/>
              <w:spacing w:after="0" w:line="201"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185,562</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380,628</w:t>
            </w: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ind w:left="10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866,190</w:t>
            </w:r>
          </w:p>
        </w:tc>
      </w:tr>
      <w:tr>
        <w:trPr>
          <w:trHeight w:val="251"/>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Chief Commercial Officer</w:t>
            </w:r>
          </w:p>
        </w:tc>
        <w:tc>
          <w:tcPr>
            <w:tcW w:w="1180" w:type="dxa"/>
            <w:vAlign w:val="bottom"/>
          </w:tcPr>
          <w:p>
            <w:pPr>
              <w:ind w:left="40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188,821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82,678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938,700</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1,210,199</w:t>
            </w:r>
          </w:p>
        </w:tc>
      </w:tr>
      <w:tr>
        <w:trPr>
          <w:trHeight w:val="202"/>
        </w:trPr>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Miriam Paramore (2)</w:t>
            </w:r>
          </w:p>
        </w:tc>
        <w:tc>
          <w:tcPr>
            <w:tcW w:w="1180" w:type="dxa"/>
            <w:vAlign w:val="bottom"/>
          </w:tcPr>
          <w:p>
            <w:pPr>
              <w:ind w:left="400"/>
              <w:spacing w:after="0" w:line="201"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275,000</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136,812</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228,370</w:t>
            </w: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620"/>
              <w:spacing w:after="0" w:line="201" w:lineRule="exact"/>
              <w:rPr>
                <w:sz w:val="20"/>
                <w:szCs w:val="20"/>
                <w:color w:val="auto"/>
              </w:rPr>
            </w:pPr>
            <w:r>
              <w:rPr>
                <w:rFonts w:ascii="Arial" w:cs="Arial" w:eastAsia="Arial" w:hAnsi="Arial"/>
                <w:sz w:val="18"/>
                <w:szCs w:val="18"/>
                <w:color w:val="auto"/>
                <w:w w:val="83"/>
              </w:rPr>
              <w:t>11,400</w:t>
            </w: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651,582</w:t>
            </w:r>
          </w:p>
        </w:tc>
      </w:tr>
      <w:tr>
        <w:trPr>
          <w:trHeight w:val="244"/>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President</w:t>
            </w:r>
          </w:p>
        </w:tc>
        <w:tc>
          <w:tcPr>
            <w:tcW w:w="1180" w:type="dxa"/>
            <w:vAlign w:val="bottom"/>
          </w:tcPr>
          <w:p>
            <w:pPr>
              <w:ind w:left="40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70,550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130,600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11,200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462,350</w:t>
            </w: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reflected in All Other Compensation column for Mr. Febbo in 2019 is composed of $11,200 employer matching contributions to the Company’s retirement plan and $4,000 for a term life policy. The 2020 amounts are $11,400 employer matching contributions to the Company’s retirement plan and the balance for a term life policy.</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reflected in All Other Compensation for Ms. Paramore for both years reflects employer matching contributions to the Company’s retirement plan.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Febbo joined the Company as CEO on February 22, 2016. In March 2020, the Board of Directors amended his contract to provide a base salary of $350,000 per year in 2020 and $400,000 per year in 2021. In addition, he is eligible to participate in the Company’s executive bonus plan with a target bonus of 60% of his annual salary. He is also eligible for vacation, sick days, insurance, to participate in the Company’s 401k plan, and other benefits covering all employees. Mr. Febbo’s contract also calls for him to be reimbursed $4,000 per year for a separate term life insurance policy. Mr. Febbo’s contract calls for 12 months of severance if he is terminated without cause.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2019, the Board of Directors granted Mr. Febbo an additional 30,000 shares of restricted common stock if the Company achieves certain targeted stretch revenue goals in 2019. Those goals were not achieved, so the shares did not vest. In March 2020, the Board of Directors granted Mr. Febbo an additional 84,786 shares of restricted common stock that vested over the course of 2020. In January 2021, the Board of Directors granted Mr. Febbo an additional 28,883 shares of restricted stock that vest annually over a 3 year period starting on the date of grant.</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Silvestro joined the Company as Chief Commercial Officer on April 29, 2019. Under the terms of his employment agreement, he received an annual base salary of $280,000 and a signing bonus of $30,000, paid in two installments of $15,000 in 2019. In March 2020, the Board of Directors amended his contract to increase his base salary to $300,000 for 2020. In January 2021, the Board increased his base salary to $330,000 per year, effective January 1, 2021. In addition, he was eligible to participate in the Company’s executive bonus plan with a target bonus of 40% of his annual salary. In March 2020, the Board increased his target bonus percentage to 50% of his base salary. He is also eligible for vacation, sick days, insurance, to participate in the Company’s 401k plan, and other benefits covering all employees. Mr. Silvestro’s contract also calls for 12 months of severance if he is terminated without cause.</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Silvestro also received a grant of 90,000 shares of restricted common stock at the time of his employment. The grant vests all at one time upon completion of five years of employment. In March 2020, the Board of Directors granted Mr. Silvestro 105,993 options, which vest quarterly throughout 2020, to purchase shares of common stock at a price of $7.51 per share. In January 2021, the Board of Directors granted Mr. Silvestro 38,511 options, which vest annually over a three-year period beginning on the date of the grant, with an exercise price of $37.50 per share.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Ms. Paramore joined the Company as President on August 1, 2017. On September 10, 2018 Ms. Paramore signed a new employment agreement calling for a base salary of $250,000. In March 2020, the Board of Directors amended her contract to increase her base salary to $275,000 for 2020. In January 2021, the Board of Directors amended her contract to increase her base salary to $290,000 annually, effective January 1, 2021. In February 2021, the Board of Directors increased her annual base salary to $300,000. In addition, she is eligible to participate in the Company’s executive bonus plan with a target bonus of 40% of her annual salary. She is also eligible for vacation, sick days, insurance, to participate in the Company’s 401k plan, and other benefits covering all employees. Ms. Paramore’s contract also calls for 12 months of severance if she is terminated without cause.</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2019, the Board of Directors granted Ms. Paramore 10,000 shares of restricted common stock that would vest if the Company achieves certain targeted stretch revenue goals in 2019. Those goals were not achieved, so the shares did not vest. In March 2020, the Board of Directors granted Ms. Paramore 63,558 options, which vested quarterly through 2020, to purchase shares of common stock at a price of $7.51 per share. In January 2021, the Board of Directors granted Ms. Paramore 24,093 options, which vest annually over a three-year period beginning on the date of the grant, with an exercise price of $37.50 per share.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three named executive officers, the executive bonus plan contains a provision whereby each officer could receive a bonus ranging from $0 to $1.0 million if a change of control transaction occurs prior to December 31, 2021, depending up on the transaction price.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8"/>
                <w:szCs w:val="18"/>
                <w:color w:val="auto"/>
              </w:rPr>
              <w:t>OPTION AWARDS</w:t>
            </w: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8"/>
                <w:szCs w:val="18"/>
                <w:color w:val="auto"/>
              </w:rPr>
              <w:t>STOCK AWARDS</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02"/>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Incentive</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Plan</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Market or</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Awards: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Incentive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Number of</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Unearned</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Number of</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Market</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Shares,</w:t>
            </w: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Value of</w:t>
            </w: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Units or</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Units or</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or Units</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Shares</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Securities</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Securities</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 Stock</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or Units</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Rights</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Rights</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Underlying</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Underlying</w:t>
            </w:r>
          </w:p>
        </w:tc>
        <w:tc>
          <w:tcPr>
            <w:tcW w:w="1100" w:type="dxa"/>
            <w:vAlign w:val="bottom"/>
            <w:gridSpan w:val="2"/>
          </w:tcPr>
          <w:p>
            <w:pPr>
              <w:spacing w:after="0"/>
              <w:rPr>
                <w:sz w:val="20"/>
                <w:szCs w:val="20"/>
                <w:color w:val="auto"/>
              </w:rPr>
            </w:pPr>
            <w:r>
              <w:rPr>
                <w:rFonts w:ascii="Arial" w:cs="Arial" w:eastAsia="Arial" w:hAnsi="Arial"/>
                <w:sz w:val="18"/>
                <w:szCs w:val="18"/>
                <w:color w:val="auto"/>
              </w:rPr>
              <w:t>Unexercised</w:t>
            </w: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Option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That</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of Stock</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That</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That</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Unexercised</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Unexercised</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Have Not</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That Have</w:t>
            </w: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Have Not</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Options (#)</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Options (#)</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Expiration</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Not Vested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Vested</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r>
      <w:tr>
        <w:trPr>
          <w:trHeight w:val="237"/>
        </w:trPr>
        <w:tc>
          <w:tcPr>
            <w:tcW w:w="1240" w:type="dxa"/>
            <w:vAlign w:val="bottom"/>
            <w:gridSpan w:val="2"/>
          </w:tcPr>
          <w:p>
            <w:pPr>
              <w:spacing w:after="0"/>
              <w:rPr>
                <w:sz w:val="20"/>
                <w:szCs w:val="20"/>
                <w:color w:val="auto"/>
              </w:rPr>
            </w:pPr>
            <w:r>
              <w:rPr>
                <w:rFonts w:ascii="Arial" w:cs="Arial" w:eastAsia="Arial" w:hAnsi="Arial"/>
                <w:sz w:val="18"/>
                <w:szCs w:val="18"/>
                <w:color w:val="auto"/>
              </w:rPr>
              <w:t>Name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Exercisable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Unexercisable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2"/>
        </w:trPr>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 Febbo</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394,739</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Borders>
              <w:top w:val="single" w:sz="8" w:color="auto"/>
            </w:tcBorders>
          </w:tcPr>
          <w:p>
            <w:pPr>
              <w:ind w:left="84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02/21/21</w:t>
            </w: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Steve Silvestro</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105,993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7.51</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03/11/25</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90,000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Miriam</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Paramore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66,667</w:t>
            </w: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07/27/22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63,558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7.51</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03/11/25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Director Compensation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w w:val="93"/>
              </w:rPr>
              <w:t>The table below summarizes all compensation of our directors as of December 31, 2020: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Fees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Earned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Paid</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2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 Cash</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Awards</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Compensation</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37"/>
        </w:trPr>
        <w:tc>
          <w:tcPr>
            <w:tcW w:w="6640" w:type="dxa"/>
            <w:vAlign w:val="bottom"/>
            <w:gridSpan w:val="2"/>
          </w:tcPr>
          <w:p>
            <w:pPr>
              <w:spacing w:after="0"/>
              <w:rPr>
                <w:sz w:val="20"/>
                <w:szCs w:val="20"/>
                <w:color w:val="auto"/>
              </w:rPr>
            </w:pPr>
            <w:r>
              <w:rPr>
                <w:rFonts w:ascii="Arial" w:cs="Arial" w:eastAsia="Arial" w:hAnsi="Arial"/>
                <w:sz w:val="18"/>
                <w:szCs w:val="18"/>
                <w:color w:val="auto"/>
              </w:rPr>
              <w:t>Name</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6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Gus D. Halas</w:t>
            </w: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80,000</w:t>
            </w:r>
          </w:p>
        </w:tc>
        <w:tc>
          <w:tcPr>
            <w:tcW w:w="220" w:type="dxa"/>
            <w:vAlign w:val="bottom"/>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100,026</w:t>
            </w:r>
          </w:p>
        </w:tc>
        <w:tc>
          <w:tcPr>
            <w:tcW w:w="22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180,026</w:t>
            </w:r>
          </w:p>
        </w:tc>
        <w:tc>
          <w:tcPr>
            <w:tcW w:w="20" w:type="dxa"/>
            <w:vAlign w:val="bottom"/>
          </w:tcPr>
          <w:p>
            <w:pPr>
              <w:spacing w:after="0"/>
              <w:rPr>
                <w:sz w:val="17"/>
                <w:szCs w:val="17"/>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100,026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140,026</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Patrick Spangler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100,026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145,026</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100,026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140,026</w:t>
            </w: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Greg Wasson</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50,019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70,019</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Director Compensation Plan, independent directors (“Outside Directors”) received:</w:t>
      </w:r>
    </w:p>
    <w:p>
      <w:pPr>
        <w:spacing w:after="0" w:line="225"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annual cash retainer for Board and Committee service in 2020 as set forth in the table below, payable in equal quarterly installments, and</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reimbursement for expenses related to Board meeting attendance and any committee participation.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Annual Fee</w:t>
            </w:r>
          </w:p>
        </w:tc>
      </w:tr>
      <w:tr>
        <w:trPr>
          <w:trHeight w:val="237"/>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rPr>
              <w:t>Basic Director Fee</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40,000</w:t>
            </w:r>
          </w:p>
        </w:tc>
        <w:tc>
          <w:tcPr>
            <w:tcW w:w="20" w:type="dxa"/>
            <w:vAlign w:val="bottom"/>
          </w:tcPr>
          <w:p>
            <w:pPr>
              <w:spacing w:after="0"/>
              <w:rPr>
                <w:sz w:val="17"/>
                <w:szCs w:val="17"/>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Board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Audit Committee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Outside Directors also each received $100,000 of Common Stock per year, payable in equal quarterly installments, which vested immediately upon issuance. Directors that are also employees of our company shall not receive additional compensation for serving on the Board. Both the cash retainer and stock awards are prorated for partial quarters of service when a new Director joins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Directors are expected to attend four meetings per year as well as spend an additional 10 – 20 hours per month on company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the beneficial ownership by each person, other than executive officers and directors, known to us to beneficially own 5% or more of our outstanding common stock as of March 3, 2021. For the purposes of this Annual Report,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Common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Percentage</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More Than 5% Beneficial Owners:</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Name and Address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of Class</w:t>
            </w:r>
          </w:p>
        </w:tc>
      </w:tr>
      <w:tr>
        <w:trPr>
          <w:trHeight w:val="27"/>
        </w:trPr>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rPr>
              <w:t>Common</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BlackRock, Inc.(1)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55 East 52nd Street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New York, NY 10055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978,200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Common</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Ronald L. Chez(2)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55 East Monroe Street, Suite 3700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Chicago, IL 60603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858,500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ind w:left="300" w:hanging="29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stated in a Schedule 13G/A filed with the Securities and Exchange Commission on January 29, 2021.</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stated in a Schedule 13D/A filed with the Securities and Exchange Commission on September 27, 2019.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March 3, 2021, by each director, each named executive officer, and by the directors and all executive officers as a group. Unless otherwise indicated, each person or member of the group listed has sole voting and investment power with respect to the shares of common stock listed.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Common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Included</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Restricted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Common</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Stock</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in Beneficial</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Beneficial</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Percentage</w:t>
            </w:r>
          </w:p>
        </w:tc>
      </w:tr>
      <w:tr>
        <w:trPr>
          <w:trHeight w:val="237"/>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Name(1)</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Ownership (2)</w:t>
            </w:r>
          </w:p>
        </w:tc>
        <w:tc>
          <w:tcPr>
            <w:tcW w:w="240" w:type="dxa"/>
            <w:vAlign w:val="bottom"/>
          </w:tcPr>
          <w:p>
            <w:pPr>
              <w:spacing w:after="0"/>
              <w:rPr>
                <w:sz w:val="20"/>
                <w:szCs w:val="20"/>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Awards (3)</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of Class</w:t>
            </w:r>
          </w:p>
        </w:tc>
        <w:tc>
          <w:tcPr>
            <w:tcW w:w="140" w:type="dxa"/>
            <w:vAlign w:val="bottom"/>
          </w:tcPr>
          <w:p>
            <w:pPr>
              <w:spacing w:after="0"/>
              <w:rPr>
                <w:sz w:val="20"/>
                <w:szCs w:val="20"/>
                <w:color w:val="auto"/>
              </w:rPr>
            </w:pP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color w:val="auto"/>
              </w:rPr>
              <w:t>William J. Febbo</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394,739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293,278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688,017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Steve Silvestro</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105,933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105,933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Miriam Paramore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163,558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187,637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31,944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31,944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63,882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63,882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Patrick Spangler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21,389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21,389</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31,714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31,714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Greg Wasson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16,985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16,985</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w w:val="96"/>
              </w:rPr>
              <w:t>All Executive Officers and Directors as a group (10 persons)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756,908</w:t>
            </w:r>
          </w:p>
        </w:tc>
        <w:tc>
          <w:tcPr>
            <w:tcW w:w="100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573,491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1,330,339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7.6%</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March 3, 2021 and are included in common stock beneficial ownership pursuant to Rule 13d-3(d)(1)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than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 other than compensation paid in the normal course of business to executive officers.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Below are tables of Audit Fees (amounts in US$) billed by our auditors in connection with the audit of the Company’s annual financial statements and review of the quarterly financial statements for the years indicated below: Our 2020 financial statements were audited by UHY LLP. Our 2019 financial statements were audited by Marcum, LLP.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UHY, LLP</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Audit Related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Financial Statements for the Year Ended December 31</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Audit Services</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Fees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Tax Fees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Other Fees</w:t>
            </w: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164,900</w:t>
            </w:r>
          </w:p>
        </w:tc>
        <w:tc>
          <w:tcPr>
            <w:tcW w:w="260" w:type="dxa"/>
            <w:vAlign w:val="bottom"/>
          </w:tcPr>
          <w:p>
            <w:pPr>
              <w:spacing w:after="0"/>
              <w:rPr>
                <w:sz w:val="17"/>
                <w:szCs w:val="17"/>
                <w:color w:val="auto"/>
              </w:rPr>
            </w:pPr>
          </w:p>
        </w:tc>
        <w:tc>
          <w:tcPr>
            <w:tcW w:w="1060" w:type="dxa"/>
            <w:vAlign w:val="bottom"/>
            <w:tcBorders>
              <w:top w:val="single" w:sz="8" w:color="auto"/>
            </w:tcBorders>
          </w:tcPr>
          <w:p>
            <w:pPr>
              <w:jc w:val="right"/>
              <w:ind w:right="89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49,345</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98"/>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Marcum, LLP</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Audit Related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Financial Statements for the Year Ended December 31</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Audit Services</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Fees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Tax Fees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Other Fees</w:t>
            </w: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19,570</w:t>
            </w:r>
          </w:p>
        </w:tc>
        <w:tc>
          <w:tcPr>
            <w:tcW w:w="260" w:type="dxa"/>
            <w:vAlign w:val="bottom"/>
          </w:tcPr>
          <w:p>
            <w:pPr>
              <w:spacing w:after="0"/>
              <w:rPr>
                <w:sz w:val="17"/>
                <w:szCs w:val="17"/>
                <w:color w:val="auto"/>
              </w:rPr>
            </w:pPr>
          </w:p>
        </w:tc>
        <w:tc>
          <w:tcPr>
            <w:tcW w:w="1060" w:type="dxa"/>
            <w:vAlign w:val="bottom"/>
            <w:tcBorders>
              <w:top w:val="single" w:sz="8" w:color="auto"/>
            </w:tcBorders>
          </w:tcPr>
          <w:p>
            <w:pPr>
              <w:jc w:val="right"/>
              <w:ind w:right="89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439,641</w:t>
            </w:r>
          </w:p>
        </w:tc>
        <w:tc>
          <w:tcPr>
            <w:tcW w:w="1060" w:type="dxa"/>
            <w:vAlign w:val="bottom"/>
          </w:tcPr>
          <w:p>
            <w:pPr>
              <w:jc w:val="right"/>
              <w:ind w:right="898"/>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Financial Statements and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and schedules listed below are included in this Form 10-K.</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0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40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14.1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 Exhibits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890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Articles of Incorporation of OptimizeRx Corporation (the “Company”)</w:t>
        </w:r>
        <w:r>
          <w:rPr>
            <w:rFonts w:ascii="Arial" w:cs="Arial" w:eastAsia="Arial" w:hAnsi="Arial"/>
            <w:sz w:val="29"/>
            <w:szCs w:val="29"/>
            <w:u w:val="single" w:color="auto"/>
            <w:color w:val="0000EE"/>
            <w:vertAlign w:val="superscript"/>
          </w:rPr>
          <w:t>1</w:t>
        </w:r>
      </w:hyperlink>
    </w:p>
    <w:p>
      <w:pPr>
        <w:spacing w:after="0" w:line="180" w:lineRule="auto"/>
        <w:rPr>
          <w:rFonts w:ascii="Arial" w:cs="Arial" w:eastAsia="Arial" w:hAnsi="Arial"/>
          <w:sz w:val="16"/>
          <w:szCs w:val="16"/>
          <w:u w:val="single" w:color="auto"/>
          <w:color w:val="0000EE"/>
        </w:rPr>
      </w:pPr>
      <w:hyperlink r:id="rId127">
        <w:r>
          <w:rPr>
            <w:rFonts w:ascii="Arial" w:cs="Arial" w:eastAsia="Arial" w:hAnsi="Arial"/>
            <w:sz w:val="16"/>
            <w:szCs w:val="16"/>
            <w:u w:val="single" w:color="auto"/>
            <w:color w:val="0000EE"/>
          </w:rPr>
          <w:t>Amended and Restated Bylaws of the Company</w:t>
        </w:r>
        <w:r>
          <w:rPr>
            <w:rFonts w:ascii="Arial" w:cs="Arial" w:eastAsia="Arial" w:hAnsi="Arial"/>
            <w:sz w:val="25"/>
            <w:szCs w:val="25"/>
            <w:u w:val="single" w:color="auto"/>
            <w:color w:val="0000EE"/>
            <w:vertAlign w:val="superscript"/>
          </w:rPr>
          <w:t>2</w:t>
        </w:r>
      </w:hyperlink>
    </w:p>
    <w:p>
      <w:pPr>
        <w:spacing w:after="0" w:line="184" w:lineRule="auto"/>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Certificate of Correction, dated April 30, 2018</w:t>
        </w:r>
        <w:r>
          <w:rPr>
            <w:rFonts w:ascii="Arial" w:cs="Arial" w:eastAsia="Arial" w:hAnsi="Arial"/>
            <w:sz w:val="29"/>
            <w:szCs w:val="29"/>
            <w:u w:val="single" w:color="auto"/>
            <w:color w:val="0000EE"/>
            <w:vertAlign w:val="superscript"/>
          </w:rPr>
          <w:t>3</w:t>
        </w:r>
      </w:hyperlink>
    </w:p>
    <w:p>
      <w:pPr>
        <w:spacing w:after="0" w:line="185"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Fourth Amended and Restated 2013 Equity Incentive Plan</w:t>
        </w:r>
        <w:r>
          <w:rPr>
            <w:rFonts w:ascii="Arial" w:cs="Arial" w:eastAsia="Arial" w:hAnsi="Arial"/>
            <w:sz w:val="29"/>
            <w:szCs w:val="29"/>
            <w:u w:val="single" w:color="auto"/>
            <w:color w:val="0000EE"/>
            <w:vertAlign w:val="superscript"/>
          </w:rPr>
          <w:t>4</w:t>
        </w:r>
      </w:hyperlink>
    </w:p>
    <w:p>
      <w:pPr>
        <w:spacing w:after="0" w:line="214" w:lineRule="auto"/>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Amendment to Employment Agreement with William Febbo, dated March, 10, 2020</w:t>
        </w:r>
        <w:r>
          <w:rPr>
            <w:rFonts w:ascii="Arial" w:cs="Arial" w:eastAsia="Arial" w:hAnsi="Arial"/>
            <w:sz w:val="29"/>
            <w:szCs w:val="29"/>
            <w:u w:val="single" w:color="auto"/>
            <w:color w:val="0000EE"/>
            <w:vertAlign w:val="superscript"/>
          </w:rPr>
          <w:t>5</w:t>
        </w:r>
      </w:hyperlink>
    </w:p>
    <w:p>
      <w:pPr>
        <w:spacing w:after="0" w:line="184" w:lineRule="auto"/>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Amendment to Employment Agreement with Stephen Silvestro, dated March, 10, 2020</w:t>
        </w:r>
        <w:r>
          <w:rPr>
            <w:rFonts w:ascii="Arial" w:cs="Arial" w:eastAsia="Arial" w:hAnsi="Arial"/>
            <w:sz w:val="29"/>
            <w:szCs w:val="29"/>
            <w:u w:val="single" w:color="auto"/>
            <w:color w:val="0000EE"/>
            <w:vertAlign w:val="superscript"/>
          </w:rPr>
          <w:t>5</w:t>
        </w:r>
      </w:hyperlink>
    </w:p>
    <w:p>
      <w:pPr>
        <w:spacing w:after="0" w:line="185" w:lineRule="auto"/>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Amendment to Employment Agreement with Miriam Paramore, dated March, 10, 2020</w:t>
        </w:r>
        <w:r>
          <w:rPr>
            <w:rFonts w:ascii="Arial" w:cs="Arial" w:eastAsia="Arial" w:hAnsi="Arial"/>
            <w:sz w:val="29"/>
            <w:szCs w:val="29"/>
            <w:u w:val="single" w:color="auto"/>
            <w:color w:val="0000EE"/>
            <w:vertAlign w:val="superscript"/>
          </w:rPr>
          <w:t>5</w:t>
        </w:r>
      </w:hyperlink>
    </w:p>
    <w:p>
      <w:pPr>
        <w:spacing w:after="0" w:line="180" w:lineRule="auto"/>
        <w:rPr>
          <w:rFonts w:ascii="Arial" w:cs="Arial" w:eastAsia="Arial" w:hAnsi="Arial"/>
          <w:sz w:val="16"/>
          <w:szCs w:val="16"/>
          <w:u w:val="single" w:color="auto"/>
          <w:color w:val="0000EE"/>
        </w:rPr>
      </w:pPr>
      <w:hyperlink r:id="rId133">
        <w:r>
          <w:rPr>
            <w:rFonts w:ascii="Arial" w:cs="Arial" w:eastAsia="Arial" w:hAnsi="Arial"/>
            <w:sz w:val="16"/>
            <w:szCs w:val="16"/>
            <w:u w:val="single" w:color="auto"/>
            <w:color w:val="0000EE"/>
          </w:rPr>
          <w:t>Employment agreement with Marion Odence-Ford dated February 8, 2021</w:t>
        </w:r>
        <w:r>
          <w:rPr>
            <w:rFonts w:ascii="Arial" w:cs="Arial" w:eastAsia="Arial" w:hAnsi="Arial"/>
            <w:sz w:val="25"/>
            <w:szCs w:val="25"/>
            <w:u w:val="single" w:color="auto"/>
            <w:color w:val="0000EE"/>
            <w:vertAlign w:val="superscript"/>
          </w:rPr>
          <w:t>6</w:t>
        </w:r>
      </w:hyperlink>
    </w:p>
    <w:p>
      <w:pPr>
        <w:spacing w:after="0" w:line="185" w:lineRule="auto"/>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Code of Business Conduct and Ethics</w:t>
        </w:r>
        <w:r>
          <w:rPr>
            <w:rFonts w:ascii="Arial" w:cs="Arial" w:eastAsia="Arial" w:hAnsi="Arial"/>
            <w:sz w:val="29"/>
            <w:szCs w:val="29"/>
            <w:u w:val="single" w:color="auto"/>
            <w:color w:val="0000EE"/>
            <w:vertAlign w:val="superscript"/>
          </w:rPr>
          <w:t>7</w:t>
        </w:r>
      </w:hyperlink>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List of Subsidiaries</w:t>
        </w:r>
      </w:hyperlink>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Consent of Marcum LLP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Consent of UHY LLP</w:t>
        </w:r>
      </w:hyperlink>
    </w:p>
    <w:p>
      <w:pPr>
        <w:spacing w:after="0" w:line="9"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Certification of Chief Executive Officer pursuant to Securities Exchange Act Rule 13a-14(a)/15d-14(a), as adopted pursuant to Section 302</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of the Sarbanes-Oxley Act of 2002</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Certification of Chief Financial Officer pursuant to Securities Exchange Act Rule 13a-14(a)/15d-14(a), as adopted pursuant to Section 302 of</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the Sarbanes-Oxley Act of 2002</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of the Sarbanes-Oxley Act of 2002</w:t>
        </w:r>
      </w:hyperlink>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following materials from the Company’s Annual Report on Form 10-K for the year ended December 31, 2019 formatted in Extensible Business Reporting Language (XBRL).</w:t>
      </w:r>
    </w:p>
    <w:p>
      <w:pPr>
        <w:spacing w:after="0" w:line="105" w:lineRule="exact"/>
        <w:rPr>
          <w:sz w:val="20"/>
          <w:szCs w:val="20"/>
          <w:color w:val="auto"/>
        </w:rPr>
      </w:pPr>
    </w:p>
    <w:p>
      <w:pPr>
        <w:sectPr>
          <w:pgSz w:w="11900" w:h="16838" w:orient="portrait"/>
          <w:cols w:equalWidth="0" w:num="2">
            <w:col w:w="600" w:space="420"/>
            <w:col w:w="10220"/>
          </w:cols>
          <w:pgMar w:left="320" w:top="337" w:right="339" w:bottom="1440" w:gutter="0" w:footer="0" w:header="0"/>
          <w:type w:val="continuous"/>
        </w:sectPr>
      </w:pPr>
    </w:p>
    <w:p>
      <w:pPr>
        <w:ind w:left="340" w:hanging="332"/>
        <w:spacing w:after="0"/>
        <w:tabs>
          <w:tab w:leader="none" w:pos="340" w:val="left"/>
        </w:tabs>
        <w:numPr>
          <w:ilvl w:val="0"/>
          <w:numId w:val="39"/>
        </w:numPr>
        <w:rPr>
          <w:rFonts w:ascii="Arial" w:cs="Arial" w:eastAsia="Arial" w:hAnsi="Arial"/>
          <w:sz w:val="27"/>
          <w:szCs w:val="27"/>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ind w:left="340" w:hanging="332"/>
        <w:spacing w:after="0" w:line="180"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8-K, filed by the Company with the Securities and Exchange Commission on July 16, 2010.</w:t>
      </w:r>
    </w:p>
    <w:p>
      <w:pPr>
        <w:ind w:left="340" w:hanging="332"/>
        <w:spacing w:after="0" w:line="180"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10-K, filed by the Company with the Securities and Exchange Commission on March 12, 2019,</w:t>
      </w:r>
    </w:p>
    <w:p>
      <w:pPr>
        <w:ind w:left="340" w:hanging="332"/>
        <w:spacing w:after="0" w:line="180"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8-K filed by the Company with the Securities and Exchange Commission on March 12, 2020.</w:t>
      </w:r>
    </w:p>
    <w:p>
      <w:pPr>
        <w:ind w:left="340" w:hanging="332"/>
        <w:spacing w:after="0" w:line="181"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10-K, filed by the Company with the Securities and Exchange Commission on March 26, 2020.</w:t>
      </w: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8-K, filed by the Company with the Securities and Exchange Commission on February 11, 2021</w:t>
      </w:r>
    </w:p>
    <w:p>
      <w:pPr>
        <w:spacing w:after="0" w:line="2" w:lineRule="exact"/>
        <w:rPr>
          <w:sz w:val="20"/>
          <w:szCs w:val="20"/>
          <w:color w:val="auto"/>
        </w:rPr>
      </w:pPr>
    </w:p>
    <w:p>
      <w:pPr>
        <w:ind w:right="1380" w:firstLine="8"/>
        <w:spacing w:after="0" w:line="349" w:lineRule="auto"/>
        <w:tabs>
          <w:tab w:leader="none" w:pos="324"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10-K filed by the Company with the Securities and Exchange Commission on March 8, 2018. ** provided herewith</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March 8, 2021</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8, 2021</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J. Febbo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8, 2021</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James Lang</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8, 2021</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Gus D. Halas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Gus D. Halas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8, 2021</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Spangler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Patrick Spangler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8, 2021</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Lynn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Lynn Vos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8, 2021</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Greg Wasson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8,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A Michigan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CareSpeak Communications, Inc., a New Jersey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CareSpeak Communications D.O.O., a controlled foreign corporation located in Croatia.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RMDY Health, Inc., A Delaware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Cyberdiet, a controlled foreign corporation located in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ind w:left="10120"/>
        <w:spacing w:after="0"/>
        <w:rPr>
          <w:sz w:val="20"/>
          <w:szCs w:val="20"/>
          <w:color w:val="auto"/>
        </w:rPr>
      </w:pPr>
      <w:r>
        <w:rPr>
          <w:rFonts w:ascii="Arial" w:cs="Arial" w:eastAsia="Arial" w:hAnsi="Arial"/>
          <w:sz w:val="19"/>
          <w:szCs w:val="19"/>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of OptimizeRx Corporation on Form S-3 (File No. 333-252844) and Form S-8 (File Nos. 333-237630, 333-230212, 333-210653, and 333-189439) of our report dated March 26, 2020, with respect to our audit of the consolidated financial statements of OptimizeRx Corporation as of December 31, 2019 and for the year then ended which report is included in this Annual Report on Form 10-K of OptimizeRx Corporation for the year ended December 31,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 on the consolidated financial statements refers to a change in the Company’s method of accounting for leases in 2019 due to the adoption of ASU No. 2016-02, Leases (Topic 842), as amended, effective January 1, 2019, using the modified retrospective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ectPr>
          <w:pgSz w:w="11900" w:h="16838" w:orient="portrait"/>
          <w:cols w:equalWidth="0" w:num="1">
            <w:col w:w="11240"/>
          </w:cols>
          <w:pgMar w:left="320" w:top="11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743575"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57435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of OptimizeRx Corporation on Form S-3 (File No. 333-252844) and Form S-8 (File Nos. 333-237630; 333-230212; 333-210653 and 333-189439) of our report dated March 8, 2021, with respect to our audit of the consolidated financial statements of OptimizeRx Corporation and Subsidiaries as of December 31, 2020 and for the year then ended, which is included in this Annual Report on Form 10-K of OptimizeRx Corporation for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OptimizeRx Corp (the “registrant”);</w:t>
      </w:r>
    </w:p>
    <w:p>
      <w:pPr>
        <w:spacing w:after="0" w:line="225"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82"/>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2"/>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82"/>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2"/>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80" w:hanging="372"/>
        <w:spacing w:after="0" w:line="308"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82"/>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2"/>
        <w:spacing w:after="0" w:line="277"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OptimizeRx Corp (the “registrant”);</w:t>
      </w:r>
    </w:p>
    <w:p>
      <w:pPr>
        <w:spacing w:after="0" w:line="225"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82"/>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2"/>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82"/>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2"/>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80" w:hanging="372"/>
        <w:spacing w:after="0" w:line="30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82"/>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2"/>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OptimizeRx Corp (the “Company”) on Form 10-K for the year ended December 31, 2020 filed with the Securities and Exchange Commission (the “Report”), I, William J. Febbo, Chief Executive Officer of the Company, and I, Douglas P. Baker, certify, pursuant to 18 U.S.C. Section 1350, as adopted pursuant to Section 906 of the Sarbanes-Oxley Act of 2002, that:</w:t>
      </w:r>
    </w:p>
    <w:p>
      <w:pPr>
        <w:spacing w:after="0" w:line="184"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William J. Febbo</w:t>
            </w:r>
          </w:p>
        </w:tc>
        <w:tc>
          <w:tcPr>
            <w:tcW w:w="4680" w:type="dxa"/>
            <w:vAlign w:val="bottom"/>
          </w:tcPr>
          <w:p>
            <w:pPr>
              <w:spacing w:after="0"/>
              <w:rPr>
                <w:sz w:val="17"/>
                <w:szCs w:val="17"/>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Name:</w:t>
            </w:r>
          </w:p>
        </w:tc>
        <w:tc>
          <w:tcPr>
            <w:tcW w:w="6140" w:type="dxa"/>
            <w:vAlign w:val="bottom"/>
            <w:gridSpan w:val="3"/>
          </w:tcPr>
          <w:p>
            <w:pPr>
              <w:spacing w:after="0"/>
              <w:rPr>
                <w:sz w:val="20"/>
                <w:szCs w:val="20"/>
                <w:color w:val="auto"/>
              </w:rPr>
            </w:pPr>
            <w:r>
              <w:rPr>
                <w:rFonts w:ascii="Arial" w:cs="Arial" w:eastAsia="Arial" w:hAnsi="Arial"/>
                <w:sz w:val="18"/>
                <w:szCs w:val="18"/>
                <w:color w:val="auto"/>
              </w:rPr>
              <w:t>William J. Febbo</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gridSpan w:val="3"/>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Date:</w:t>
            </w:r>
          </w:p>
        </w:tc>
        <w:tc>
          <w:tcPr>
            <w:tcW w:w="6140" w:type="dxa"/>
            <w:vAlign w:val="bottom"/>
            <w:gridSpan w:val="3"/>
          </w:tcPr>
          <w:p>
            <w:pPr>
              <w:spacing w:after="0"/>
              <w:rPr>
                <w:sz w:val="20"/>
                <w:szCs w:val="20"/>
                <w:color w:val="auto"/>
              </w:rPr>
            </w:pPr>
            <w:r>
              <w:rPr>
                <w:rFonts w:ascii="Arial" w:cs="Arial" w:eastAsia="Arial" w:hAnsi="Arial"/>
                <w:sz w:val="18"/>
                <w:szCs w:val="18"/>
                <w:color w:val="auto"/>
              </w:rPr>
              <w:t>March 8, 2021</w:t>
            </w:r>
          </w:p>
        </w:tc>
      </w:tr>
      <w:tr>
        <w:trPr>
          <w:trHeight w:val="391"/>
        </w:trPr>
        <w:tc>
          <w:tcPr>
            <w:tcW w:w="226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Doug Baker</w:t>
            </w:r>
          </w:p>
        </w:tc>
        <w:tc>
          <w:tcPr>
            <w:tcW w:w="5040" w:type="dxa"/>
            <w:vAlign w:val="bottom"/>
            <w:gridSpan w:val="2"/>
          </w:tcPr>
          <w:p>
            <w:pPr>
              <w:spacing w:after="0"/>
              <w:rPr>
                <w:sz w:val="24"/>
                <w:szCs w:val="24"/>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Name:</w:t>
            </w:r>
          </w:p>
        </w:tc>
        <w:tc>
          <w:tcPr>
            <w:tcW w:w="6140" w:type="dxa"/>
            <w:vAlign w:val="bottom"/>
            <w:gridSpan w:val="3"/>
          </w:tcPr>
          <w:p>
            <w:pPr>
              <w:spacing w:after="0"/>
              <w:rPr>
                <w:sz w:val="20"/>
                <w:szCs w:val="20"/>
                <w:color w:val="auto"/>
              </w:rPr>
            </w:pPr>
            <w:r>
              <w:rPr>
                <w:rFonts w:ascii="Arial" w:cs="Arial" w:eastAsia="Arial" w:hAnsi="Arial"/>
                <w:sz w:val="18"/>
                <w:szCs w:val="18"/>
                <w:color w:val="auto"/>
              </w:rPr>
              <w:t>Doug Baker</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gridSpan w:val="3"/>
          </w:tcPr>
          <w:p>
            <w:pPr>
              <w:spacing w:after="0"/>
              <w:rPr>
                <w:sz w:val="20"/>
                <w:szCs w:val="20"/>
                <w:color w:val="auto"/>
              </w:rPr>
            </w:pPr>
            <w:r>
              <w:rPr>
                <w:rFonts w:ascii="Arial" w:cs="Arial" w:eastAsia="Arial" w:hAnsi="Arial"/>
                <w:sz w:val="18"/>
                <w:szCs w:val="18"/>
                <w:color w:val="auto"/>
                <w:w w:val="93"/>
              </w:rPr>
              <w:t>Chief Financial Officer, Principal Financial Officer and Principal Accounting Officer</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Date:</w:t>
            </w:r>
          </w:p>
        </w:tc>
        <w:tc>
          <w:tcPr>
            <w:tcW w:w="6140" w:type="dxa"/>
            <w:vAlign w:val="bottom"/>
            <w:gridSpan w:val="3"/>
          </w:tcPr>
          <w:p>
            <w:pPr>
              <w:spacing w:after="0"/>
              <w:rPr>
                <w:sz w:val="20"/>
                <w:szCs w:val="20"/>
                <w:color w:val="auto"/>
              </w:rPr>
            </w:pPr>
            <w:r>
              <w:rPr>
                <w:rFonts w:ascii="Arial" w:cs="Arial" w:eastAsia="Arial" w:hAnsi="Arial"/>
                <w:sz w:val="18"/>
                <w:szCs w:val="18"/>
                <w:color w:val="auto"/>
              </w:rPr>
              <w:t>March 8, 2021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lowerRoman"/>
      <w:start w:val="2"/>
    </w:lvl>
  </w:abstractNum>
  <w:abstractNum w:abstractNumId="27">
    <w:nsid w:val="5C482A97"/>
    <w:multiLevelType w:val="hybridMultilevel"/>
    <w:lvl w:ilvl="0">
      <w:lvlJc w:val="left"/>
      <w:lvlText w:val="%1."/>
      <w:numFmt w:val="decimal"/>
      <w:start w:val="4"/>
    </w:lvl>
  </w:abstractNum>
  <w:abstractNum w:abstractNumId="28">
    <w:nsid w:val="2463B9EA"/>
    <w:multiLevelType w:val="hybridMultilevel"/>
    <w:lvl w:ilvl="0">
      <w:lvlJc w:val="left"/>
      <w:lvlText w:val="%1."/>
      <w:numFmt w:val="decimal"/>
      <w:start w:val="5"/>
    </w:lvl>
  </w:abstractNum>
  <w:abstractNum w:abstractNumId="29">
    <w:nsid w:val="5E884ADC"/>
    <w:multiLevelType w:val="hybridMultilevel"/>
    <w:lvl w:ilvl="0">
      <w:lvlJc w:val="left"/>
      <w:lvlText w:val="%1."/>
      <w:numFmt w:val="lowerRoman"/>
      <w:start w:val="2"/>
    </w:lvl>
  </w:abstractNum>
  <w:abstractNum w:abstractNumId="30">
    <w:nsid w:val="51EAD36B"/>
    <w:multiLevelType w:val="hybridMultilevel"/>
    <w:lvl w:ilvl="0">
      <w:lvlJc w:val="left"/>
      <w:lvlText w:val="%1."/>
      <w:numFmt w:val="decimal"/>
      <w:start w:val="8"/>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bullet"/>
      <w:start w:val="1"/>
    </w:lvl>
  </w:abstractNum>
  <w:abstractNum w:abstractNumId="39">
    <w:nsid w:val="725A06FB"/>
    <w:multiLevelType w:val="hybridMultilevel"/>
    <w:lvl w:ilvl="0">
      <w:lvlJc w:val="left"/>
      <w:lvlText w:val="2"/>
      <w:numFmt w:val="bullet"/>
      <w:start w:val="1"/>
    </w:lvl>
  </w:abstractNum>
  <w:abstractNum w:abstractNumId="40">
    <w:nsid w:val="2CD89A32"/>
    <w:multiLevelType w:val="hybridMultilevel"/>
    <w:lvl w:ilvl="0">
      <w:lvlJc w:val="left"/>
      <w:lvlText w:val="3"/>
      <w:numFmt w:val="bullet"/>
      <w:start w:val="1"/>
    </w:lvl>
  </w:abstractNum>
  <w:abstractNum w:abstractNumId="41">
    <w:nsid w:val="57E4CCAF"/>
    <w:multiLevelType w:val="hybridMultilevel"/>
    <w:lvl w:ilvl="0">
      <w:lvlJc w:val="left"/>
      <w:lvlText w:val="4"/>
      <w:numFmt w:val="bullet"/>
      <w:start w:val="1"/>
    </w:lvl>
  </w:abstractNum>
  <w:abstractNum w:abstractNumId="42">
    <w:nsid w:val="7A6D8D3C"/>
    <w:multiLevelType w:val="hybridMultilevel"/>
    <w:lvl w:ilvl="0">
      <w:lvlJc w:val="left"/>
      <w:lvlText w:val="5"/>
      <w:numFmt w:val="bullet"/>
      <w:start w:val="1"/>
    </w:lvl>
  </w:abstractNum>
  <w:abstractNum w:abstractNumId="43">
    <w:nsid w:val="4B588F54"/>
    <w:multiLevelType w:val="hybridMultilevel"/>
    <w:lvl w:ilvl="0">
      <w:lvlJc w:val="left"/>
      <w:lvlText w:val="6"/>
      <w:numFmt w:val="bullet"/>
      <w:start w:val="1"/>
    </w:lvl>
  </w:abstractNum>
  <w:abstractNum w:abstractNumId="44">
    <w:nsid w:val="542289EC"/>
    <w:multiLevelType w:val="hybridMultilevel"/>
    <w:lvl w:ilvl="0">
      <w:lvlJc w:val="left"/>
      <w:lvlText w:val="7"/>
      <w:numFmt w:val="bullet"/>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jpe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26" Type="http://schemas.openxmlformats.org/officeDocument/2006/relationships/hyperlink" Target="https://www.sec.gov/Archives/edgar/data/1448431/000136110608000414/optimizerx_s1-ex0301.htm" TargetMode="External"/><Relationship Id="rId127" Type="http://schemas.openxmlformats.org/officeDocument/2006/relationships/hyperlink" Target="https://www.sec.gov/Archives/edgar/data/1448431/000125529410000605/ex3_1.htm" TargetMode="External"/><Relationship Id="rId128" Type="http://schemas.openxmlformats.org/officeDocument/2006/relationships/hyperlink" Target="https://www.sec.gov/Archives/edgar/data/1448431/000121390019003962/f10k2018ex3-5_optimizerx.htm" TargetMode="External"/><Relationship Id="rId129" Type="http://schemas.openxmlformats.org/officeDocument/2006/relationships/hyperlink" Target="https://www.sec.gov/Archives/edgar/data/1448431/000121390020006161/ea119535ex10-1_optimize.htm" TargetMode="External"/><Relationship Id="rId130" Type="http://schemas.openxmlformats.org/officeDocument/2006/relationships/hyperlink" Target="https://www.sec.gov/Archives/edgar/data/1448431/000121390020007491/f10k2019ex10-4_optimizerx.htm" TargetMode="External"/><Relationship Id="rId131" Type="http://schemas.openxmlformats.org/officeDocument/2006/relationships/hyperlink" Target="https://www.sec.gov/Archives/edgar/data/1448431/000121390020007491/f10k2019ex10-5_optimizerx.htm" TargetMode="External"/><Relationship Id="rId132" Type="http://schemas.openxmlformats.org/officeDocument/2006/relationships/hyperlink" Target="https://www.sec.gov/Archives/edgar/data/1448431/000121390020007491/f10k2019ex10-6_optimizerx.htm" TargetMode="External"/><Relationship Id="rId133" Type="http://schemas.openxmlformats.org/officeDocument/2006/relationships/hyperlink" Target="https://www.sec.gov/Archives/edgar/data/1448431/000121390021008493/ea135275ex10-1_optimizerx.htm" TargetMode="External"/><Relationship Id="rId134" Type="http://schemas.openxmlformats.org/officeDocument/2006/relationships/hyperlink" Target="https://www.sec.gov/Archives/edgar/data/1448431/000121390018002722/f10k2017ex14-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2021-03-08T15:47:51Z</dcterms:created>
  <dcterms:modified xsi:type="dcterms:W3CDTF">2021-03-08T15:47:51Z</dcterms:modified>
</cp:coreProperties>
</file>