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September 30, 2012</w:t>
      </w:r>
    </w:p>
    <w:p>
      <w:pPr>
        <w:spacing w:after="0" w:line="229"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Transition Report pursuant to 13 or 15(d) of the Securities Exchange Act of 1934</w:t>
      </w:r>
    </w:p>
    <w:p>
      <w:pPr>
        <w:spacing w:after="0" w:line="225" w:lineRule="exact"/>
        <w:rPr>
          <w:sz w:val="24"/>
          <w:szCs w:val="24"/>
          <w:color w:val="auto"/>
        </w:rPr>
      </w:pPr>
    </w:p>
    <w:p>
      <w:pPr>
        <w:ind w:left="71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244" w:lineRule="exact"/>
        <w:rPr>
          <w:sz w:val="24"/>
          <w:szCs w:val="24"/>
          <w:color w:val="auto"/>
        </w:rPr>
      </w:pPr>
    </w:p>
    <w:p>
      <w:pPr>
        <w:ind w:left="864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u w:val="single" w:color="auto"/>
          <w:color w:val="auto"/>
        </w:rPr>
        <w:t>000-53605</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080" w:type="dxa"/>
            <w:vAlign w:val="bottom"/>
            <w:gridSpan w:val="5"/>
          </w:tcPr>
          <w:p>
            <w:pPr>
              <w:spacing w:after="0"/>
              <w:rPr>
                <w:sz w:val="17"/>
                <w:szCs w:val="17"/>
                <w:color w:val="auto"/>
              </w:rPr>
            </w:pPr>
          </w:p>
        </w:tc>
        <w:tc>
          <w:tcPr>
            <w:tcW w:w="258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6520" w:type="dxa"/>
            <w:vAlign w:val="bottom"/>
            <w:gridSpan w:val="7"/>
          </w:tcPr>
          <w:p>
            <w:pPr>
              <w:jc w:val="center"/>
              <w:ind w:right="22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58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9"/>
              </w:rPr>
              <w:t>407 6th Street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40" w:type="dxa"/>
            <w:vAlign w:val="bottom"/>
            <w:gridSpan w:val="4"/>
          </w:tcPr>
          <w:p>
            <w:pPr>
              <w:jc w:val="center"/>
              <w:ind w:right="720"/>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4480" w:type="dxa"/>
            <w:vAlign w:val="bottom"/>
            <w:gridSpan w:val="4"/>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color w:val="auto"/>
                <w:w w:val="89"/>
              </w:rPr>
              <w:t>(Registrant's telephone number)</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449" w:right="23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700"/>
          </w:cols>
          <w:pgMar w:left="240" w:top="449"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State the number of shares outstanding of each of the issuer’s classes of common stock, as of the latest practicable date: 14,232,496 as of September 30, 2012.</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60" w:type="dxa"/>
            <w:vAlign w:val="bottom"/>
            <w:gridSpan w:val="7"/>
          </w:tcPr>
          <w:p>
            <w:pPr>
              <w:jc w:val="center"/>
              <w:ind w:right="2060"/>
              <w:spacing w:after="0"/>
              <w:rPr>
                <w:sz w:val="20"/>
                <w:szCs w:val="20"/>
                <w:color w:val="auto"/>
              </w:rPr>
            </w:pPr>
            <w:r>
              <w:rPr>
                <w:rFonts w:ascii="Arial" w:cs="Arial" w:eastAsia="Arial" w:hAnsi="Arial"/>
                <w:sz w:val="18"/>
                <w:szCs w:val="18"/>
                <w:b w:val="1"/>
                <w:bCs w:val="1"/>
                <w:color w:val="auto"/>
                <w:w w:val="98"/>
              </w:rPr>
              <w:t>TABLE OF CONTENTS</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0" w:type="dxa"/>
            <w:vAlign w:val="bottom"/>
            <w:gridSpan w:val="8"/>
          </w:tcPr>
          <w:p>
            <w:pPr>
              <w:jc w:val="center"/>
              <w:ind w:right="1920"/>
              <w:spacing w:after="0"/>
              <w:rPr>
                <w:sz w:val="20"/>
                <w:szCs w:val="20"/>
                <w:color w:val="auto"/>
              </w:rPr>
            </w:pPr>
            <w:r>
              <w:rPr>
                <w:rFonts w:ascii="Arial" w:cs="Arial" w:eastAsia="Arial" w:hAnsi="Arial"/>
                <w:sz w:val="18"/>
                <w:szCs w:val="18"/>
                <w:b w:val="1"/>
                <w:bCs w:val="1"/>
                <w:color w:val="auto"/>
                <w:w w:val="99"/>
              </w:rPr>
              <w:t>PART I – FINANCIAL INFORMATION</w:t>
            </w:r>
          </w:p>
        </w:tc>
        <w:tc>
          <w:tcPr>
            <w:tcW w:w="1960" w:type="dxa"/>
            <w:vAlign w:val="bottom"/>
            <w:gridSpan w:val="3"/>
            <w:vMerge w:val="restart"/>
          </w:tcPr>
          <w:p>
            <w:pPr>
              <w:ind w:left="1240"/>
              <w:spacing w:after="0"/>
              <w:rPr>
                <w:sz w:val="20"/>
                <w:szCs w:val="20"/>
                <w:color w:val="auto"/>
              </w:rPr>
            </w:pPr>
            <w:r>
              <w:rPr>
                <w:rFonts w:ascii="Arial" w:cs="Arial" w:eastAsia="Arial" w:hAnsi="Arial"/>
                <w:sz w:val="18"/>
                <w:szCs w:val="18"/>
                <w:color w:val="auto"/>
              </w:rPr>
              <w:t>Page</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6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5"/>
            <w:shd w:val="clear" w:color="auto" w:fill="CCEECC"/>
          </w:tcPr>
          <w:p>
            <w:pPr>
              <w:spacing w:after="0" w:line="17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6180" w:type="dxa"/>
            <w:vAlign w:val="bottom"/>
            <w:tcBorders>
              <w:bottom w:val="single" w:sz="8" w:color="CCEECC"/>
            </w:tcBorders>
            <w:gridSpan w:val="12"/>
            <w:shd w:val="clear" w:color="auto" w:fill="CCEECC"/>
          </w:tcPr>
          <w:p>
            <w:pPr>
              <w:spacing w:after="0"/>
              <w:rPr>
                <w:sz w:val="17"/>
                <w:szCs w:val="17"/>
                <w:color w:val="auto"/>
              </w:rPr>
            </w:pPr>
          </w:p>
        </w:tc>
        <w:tc>
          <w:tcPr>
            <w:tcW w:w="1580" w:type="dxa"/>
            <w:vAlign w:val="bottom"/>
            <w:tcBorders>
              <w:bottom w:val="single" w:sz="8" w:color="CCEECC"/>
            </w:tcBorders>
            <w:gridSpan w:val="2"/>
            <w:shd w:val="clear" w:color="auto" w:fill="CCEECC"/>
          </w:tcPr>
          <w:p>
            <w:pPr>
              <w:jc w:val="center"/>
              <w:ind w:left="1150"/>
              <w:spacing w:after="0" w:line="176" w:lineRule="exact"/>
              <w:rPr>
                <w:sz w:val="20"/>
                <w:szCs w:val="20"/>
                <w:color w:val="auto"/>
              </w:rPr>
            </w:pPr>
            <w:r>
              <w:rPr>
                <w:rFonts w:ascii="Arial" w:cs="Arial" w:eastAsia="Arial" w:hAnsi="Arial"/>
                <w:sz w:val="18"/>
                <w:szCs w:val="18"/>
                <w:color w:val="auto"/>
                <w:w w:val="99"/>
              </w:rPr>
              <w:t>3</w:t>
            </w:r>
          </w:p>
        </w:tc>
        <w:tc>
          <w:tcPr>
            <w:tcW w:w="380" w:type="dxa"/>
            <w:vAlign w:val="bottom"/>
            <w:tcBorders>
              <w:bottom w:val="single" w:sz="8" w:color="CCEECC"/>
            </w:tcBorders>
            <w:shd w:val="clear" w:color="auto" w:fill="CCEEC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180" w:type="dxa"/>
            <w:vAlign w:val="bottom"/>
          </w:tcPr>
          <w:p>
            <w:pPr>
              <w:ind w:left="100"/>
              <w:spacing w:after="0" w:line="176" w:lineRule="exact"/>
              <w:rPr>
                <w:sz w:val="20"/>
                <w:szCs w:val="20"/>
                <w:color w:val="auto"/>
              </w:rPr>
            </w:pPr>
            <w:r>
              <w:rPr>
                <w:rFonts w:ascii="Arial" w:cs="Arial" w:eastAsia="Arial" w:hAnsi="Arial"/>
                <w:sz w:val="18"/>
                <w:szCs w:val="18"/>
                <w:color w:val="auto"/>
              </w:rPr>
              <w:t>Item 2:</w:t>
            </w:r>
          </w:p>
        </w:tc>
        <w:tc>
          <w:tcPr>
            <w:tcW w:w="7700" w:type="dxa"/>
            <w:vAlign w:val="bottom"/>
            <w:gridSpan w:val="17"/>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1580" w:type="dxa"/>
            <w:vAlign w:val="bottom"/>
            <w:gridSpan w:val="2"/>
          </w:tcPr>
          <w:p>
            <w:pPr>
              <w:jc w:val="center"/>
              <w:ind w:left="1150"/>
              <w:spacing w:after="0" w:line="176" w:lineRule="exact"/>
              <w:rPr>
                <w:sz w:val="20"/>
                <w:szCs w:val="20"/>
                <w:color w:val="auto"/>
              </w:rPr>
            </w:pPr>
            <w:r>
              <w:rPr>
                <w:rFonts w:ascii="Arial" w:cs="Arial" w:eastAsia="Arial" w:hAnsi="Arial"/>
                <w:sz w:val="18"/>
                <w:szCs w:val="18"/>
                <w:color w:val="auto"/>
                <w:w w:val="99"/>
              </w:rPr>
              <w:t>4</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3:</w:t>
            </w:r>
          </w:p>
        </w:tc>
        <w:tc>
          <w:tcPr>
            <w:tcW w:w="7700" w:type="dxa"/>
            <w:vAlign w:val="bottom"/>
            <w:gridSpan w:val="17"/>
            <w:shd w:val="clear" w:color="auto" w:fill="CCEECC"/>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580" w:type="dxa"/>
            <w:vAlign w:val="bottom"/>
            <w:gridSpan w:val="2"/>
            <w:shd w:val="clear" w:color="auto" w:fill="CCEECC"/>
          </w:tcPr>
          <w:p>
            <w:pPr>
              <w:jc w:val="center"/>
              <w:ind w:left="1150"/>
              <w:spacing w:after="0" w:line="176" w:lineRule="exact"/>
              <w:rPr>
                <w:sz w:val="20"/>
                <w:szCs w:val="20"/>
                <w:color w:val="auto"/>
              </w:rPr>
            </w:pPr>
            <w:r>
              <w:rPr>
                <w:rFonts w:ascii="Arial" w:cs="Arial" w:eastAsia="Arial" w:hAnsi="Arial"/>
                <w:sz w:val="18"/>
                <w:szCs w:val="18"/>
                <w:color w:val="auto"/>
                <w:w w:val="99"/>
              </w:rPr>
              <w:t>9</w:t>
            </w:r>
          </w:p>
        </w:tc>
        <w:tc>
          <w:tcPr>
            <w:tcW w:w="380" w:type="dxa"/>
            <w:vAlign w:val="bottom"/>
            <w:shd w:val="clear" w:color="auto" w:fill="CCEEC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18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4:</w:t>
            </w:r>
          </w:p>
        </w:tc>
        <w:tc>
          <w:tcPr>
            <w:tcW w:w="436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340" w:type="dxa"/>
            <w:vAlign w:val="bottom"/>
            <w:tcBorders>
              <w:top w:val="single" w:sz="8" w:color="CCEECC"/>
            </w:tcBorders>
            <w:gridSpan w:val="5"/>
          </w:tcPr>
          <w:p>
            <w:pPr>
              <w:spacing w:after="0"/>
              <w:rPr>
                <w:sz w:val="15"/>
                <w:szCs w:val="15"/>
                <w:color w:val="auto"/>
              </w:rPr>
            </w:pPr>
          </w:p>
        </w:tc>
        <w:tc>
          <w:tcPr>
            <w:tcW w:w="1580" w:type="dxa"/>
            <w:vAlign w:val="bottom"/>
            <w:tcBorders>
              <w:top w:val="single" w:sz="8" w:color="CCEECC"/>
            </w:tcBorders>
            <w:gridSpan w:val="2"/>
          </w:tcPr>
          <w:p>
            <w:pPr>
              <w:jc w:val="center"/>
              <w:ind w:left="1150"/>
              <w:spacing w:after="0" w:line="176" w:lineRule="exact"/>
              <w:rPr>
                <w:sz w:val="20"/>
                <w:szCs w:val="20"/>
                <w:color w:val="auto"/>
              </w:rPr>
            </w:pPr>
            <w:r>
              <w:rPr>
                <w:rFonts w:ascii="Arial" w:cs="Arial" w:eastAsia="Arial" w:hAnsi="Arial"/>
                <w:sz w:val="18"/>
                <w:szCs w:val="18"/>
                <w:color w:val="auto"/>
                <w:w w:val="99"/>
              </w:rPr>
              <w:t>9</w:t>
            </w:r>
          </w:p>
        </w:tc>
        <w:tc>
          <w:tcPr>
            <w:tcW w:w="380" w:type="dxa"/>
            <w:vAlign w:val="bottom"/>
            <w:tcBorders>
              <w:top w:val="single" w:sz="8" w:color="CCEECC"/>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gridSpan w:val="7"/>
          </w:tcPr>
          <w:p>
            <w:pPr>
              <w:jc w:val="center"/>
              <w:ind w:right="2080"/>
              <w:spacing w:after="0"/>
              <w:rPr>
                <w:sz w:val="20"/>
                <w:szCs w:val="20"/>
                <w:color w:val="auto"/>
              </w:rPr>
            </w:pPr>
            <w:r>
              <w:rPr>
                <w:rFonts w:ascii="Arial" w:cs="Arial" w:eastAsia="Arial" w:hAnsi="Arial"/>
                <w:sz w:val="18"/>
                <w:szCs w:val="18"/>
                <w:b w:val="1"/>
                <w:bCs w:val="1"/>
                <w:color w:val="auto"/>
                <w:w w:val="99"/>
              </w:rPr>
              <w:t>PART II – OTHER INFORMATION</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7700" w:type="dxa"/>
            <w:vAlign w:val="bottom"/>
            <w:gridSpan w:val="17"/>
            <w:shd w:val="clear" w:color="auto" w:fill="CCEECC"/>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580" w:type="dxa"/>
            <w:vAlign w:val="bottom"/>
            <w:gridSpan w:val="2"/>
            <w:shd w:val="clear" w:color="auto" w:fill="CCEECC"/>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shd w:val="clear" w:color="auto" w:fill="CCEEC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18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1A:</w:t>
            </w:r>
          </w:p>
        </w:tc>
        <w:tc>
          <w:tcPr>
            <w:tcW w:w="1340" w:type="dxa"/>
            <w:vAlign w:val="bottom"/>
            <w:tcBorders>
              <w:top w:val="single" w:sz="8" w:color="0000EE"/>
            </w:tcBorders>
            <w:gridSpan w:val="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360" w:type="dxa"/>
            <w:vAlign w:val="bottom"/>
            <w:tcBorders>
              <w:top w:val="single" w:sz="8" w:color="CCEECC"/>
            </w:tcBorders>
            <w:gridSpan w:val="13"/>
          </w:tcPr>
          <w:p>
            <w:pPr>
              <w:spacing w:after="0"/>
              <w:rPr>
                <w:sz w:val="15"/>
                <w:szCs w:val="15"/>
                <w:color w:val="auto"/>
              </w:rPr>
            </w:pPr>
          </w:p>
        </w:tc>
        <w:tc>
          <w:tcPr>
            <w:tcW w:w="1580" w:type="dxa"/>
            <w:vAlign w:val="bottom"/>
            <w:tcBorders>
              <w:top w:val="single" w:sz="8" w:color="CCEECC"/>
            </w:tcBorders>
            <w:gridSpan w:val="2"/>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Borders>
              <w:top w:val="single" w:sz="8" w:color="CCEECC"/>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2"/>
            <w:shd w:val="clear" w:color="auto" w:fill="CCEECC"/>
          </w:tcPr>
          <w:p>
            <w:pP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Unregistered Sales of Equity Securities and Use of Proceeds</w:t>
              </w:r>
            </w:hyperlink>
          </w:p>
        </w:tc>
        <w:tc>
          <w:tcPr>
            <w:tcW w:w="3340" w:type="dxa"/>
            <w:vAlign w:val="bottom"/>
            <w:tcBorders>
              <w:bottom w:val="single" w:sz="8" w:color="CCEECC"/>
            </w:tcBorders>
            <w:gridSpan w:val="5"/>
            <w:shd w:val="clear" w:color="auto" w:fill="CCEECC"/>
          </w:tcPr>
          <w:p>
            <w:pPr>
              <w:spacing w:after="0"/>
              <w:rPr>
                <w:sz w:val="17"/>
                <w:szCs w:val="17"/>
                <w:color w:val="auto"/>
              </w:rPr>
            </w:pPr>
          </w:p>
        </w:tc>
        <w:tc>
          <w:tcPr>
            <w:tcW w:w="1580" w:type="dxa"/>
            <w:vAlign w:val="bottom"/>
            <w:tcBorders>
              <w:bottom w:val="single" w:sz="8" w:color="CCEECC"/>
            </w:tcBorders>
            <w:gridSpan w:val="2"/>
            <w:shd w:val="clear" w:color="auto" w:fill="CCEECC"/>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Borders>
              <w:bottom w:val="single" w:sz="8" w:color="CCEECC"/>
            </w:tcBorders>
            <w:shd w:val="clear" w:color="auto" w:fill="CCEEC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180" w:type="dxa"/>
            <w:vAlign w:val="bottom"/>
          </w:tcPr>
          <w:p>
            <w:pPr>
              <w:ind w:left="100"/>
              <w:spacing w:after="0" w:line="176" w:lineRule="exact"/>
              <w:rPr>
                <w:sz w:val="20"/>
                <w:szCs w:val="20"/>
                <w:color w:val="auto"/>
              </w:rPr>
            </w:pPr>
            <w:r>
              <w:rPr>
                <w:rFonts w:ascii="Arial" w:cs="Arial" w:eastAsia="Arial" w:hAnsi="Arial"/>
                <w:sz w:val="18"/>
                <w:szCs w:val="18"/>
                <w:color w:val="auto"/>
              </w:rPr>
              <w:t>Item 3:</w:t>
            </w:r>
          </w:p>
        </w:tc>
        <w:tc>
          <w:tcPr>
            <w:tcW w:w="7700" w:type="dxa"/>
            <w:vAlign w:val="bottom"/>
            <w:gridSpan w:val="17"/>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1580" w:type="dxa"/>
            <w:vAlign w:val="bottom"/>
            <w:gridSpan w:val="2"/>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4:</w:t>
            </w:r>
          </w:p>
        </w:tc>
        <w:tc>
          <w:tcPr>
            <w:tcW w:w="7700" w:type="dxa"/>
            <w:vAlign w:val="bottom"/>
            <w:gridSpan w:val="17"/>
            <w:shd w:val="clear" w:color="auto" w:fill="CCEECC"/>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Mine Safety Disclosure</w:t>
              </w:r>
            </w:hyperlink>
          </w:p>
        </w:tc>
        <w:tc>
          <w:tcPr>
            <w:tcW w:w="1580" w:type="dxa"/>
            <w:vAlign w:val="bottom"/>
            <w:gridSpan w:val="2"/>
            <w:shd w:val="clear" w:color="auto" w:fill="CCEECC"/>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shd w:val="clear" w:color="auto" w:fill="CCEEC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118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5:</w:t>
            </w:r>
          </w:p>
        </w:tc>
        <w:tc>
          <w:tcPr>
            <w:tcW w:w="170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Other Information</w:t>
              </w:r>
            </w:hyperlink>
          </w:p>
        </w:tc>
        <w:tc>
          <w:tcPr>
            <w:tcW w:w="6000" w:type="dxa"/>
            <w:vAlign w:val="bottom"/>
            <w:tcBorders>
              <w:top w:val="single" w:sz="8" w:color="CCEECC"/>
            </w:tcBorders>
            <w:gridSpan w:val="11"/>
          </w:tcPr>
          <w:p>
            <w:pPr>
              <w:spacing w:after="0"/>
              <w:rPr>
                <w:sz w:val="15"/>
                <w:szCs w:val="15"/>
                <w:color w:val="auto"/>
              </w:rPr>
            </w:pPr>
          </w:p>
        </w:tc>
        <w:tc>
          <w:tcPr>
            <w:tcW w:w="1580" w:type="dxa"/>
            <w:vAlign w:val="bottom"/>
            <w:tcBorders>
              <w:top w:val="single" w:sz="8" w:color="CCEECC"/>
            </w:tcBorders>
            <w:gridSpan w:val="2"/>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tcBorders>
              <w:top w:val="single" w:sz="8" w:color="CCEECC"/>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18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6:</w:t>
            </w:r>
          </w:p>
        </w:tc>
        <w:tc>
          <w:tcPr>
            <w:tcW w:w="7700" w:type="dxa"/>
            <w:vAlign w:val="bottom"/>
            <w:gridSpan w:val="17"/>
            <w:shd w:val="clear" w:color="auto" w:fill="CCEECC"/>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Exhibits</w:t>
              </w:r>
            </w:hyperlink>
          </w:p>
        </w:tc>
        <w:tc>
          <w:tcPr>
            <w:tcW w:w="1580" w:type="dxa"/>
            <w:vAlign w:val="bottom"/>
            <w:gridSpan w:val="2"/>
            <w:shd w:val="clear" w:color="auto" w:fill="CCEECC"/>
          </w:tcPr>
          <w:p>
            <w:pPr>
              <w:jc w:val="center"/>
              <w:ind w:left="1150"/>
              <w:spacing w:after="0" w:line="176" w:lineRule="exact"/>
              <w:rPr>
                <w:sz w:val="20"/>
                <w:szCs w:val="20"/>
                <w:color w:val="auto"/>
              </w:rPr>
            </w:pPr>
            <w:r>
              <w:rPr>
                <w:rFonts w:ascii="Arial" w:cs="Arial" w:eastAsia="Arial" w:hAnsi="Arial"/>
                <w:sz w:val="18"/>
                <w:szCs w:val="18"/>
                <w:color w:val="auto"/>
                <w:w w:val="89"/>
              </w:rPr>
              <w:t>10</w:t>
            </w:r>
          </w:p>
        </w:tc>
        <w:tc>
          <w:tcPr>
            <w:tcW w:w="380" w:type="dxa"/>
            <w:vAlign w:val="bottom"/>
            <w:shd w:val="clear" w:color="auto" w:fill="CCEECC"/>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8"/>
        </w:trPr>
        <w:tc>
          <w:tcPr>
            <w:tcW w:w="300" w:type="dxa"/>
            <w:vAlign w:val="bottom"/>
            <w:tcBorders>
              <w:bottom w:val="single" w:sz="8" w:color="auto"/>
            </w:tcBorders>
          </w:tcPr>
          <w:p>
            <w:pPr>
              <w:spacing w:after="0"/>
              <w:rPr>
                <w:sz w:val="24"/>
                <w:szCs w:val="24"/>
                <w:color w:val="auto"/>
              </w:rPr>
            </w:pPr>
          </w:p>
        </w:tc>
        <w:tc>
          <w:tcPr>
            <w:tcW w:w="1180" w:type="dxa"/>
            <w:vAlign w:val="bottom"/>
            <w:tcBorders>
              <w:top w:val="single" w:sz="8" w:color="CCEE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3760" w:type="dxa"/>
            <w:vAlign w:val="bottom"/>
            <w:tcBorders>
              <w:top w:val="single" w:sz="8" w:color="CCEECC"/>
              <w:bottom w:val="single" w:sz="8" w:color="auto"/>
            </w:tcBorders>
            <w:gridSpan w:val="11"/>
          </w:tcPr>
          <w:p>
            <w:pPr>
              <w:jc w:val="center"/>
              <w:ind w:left="3410"/>
              <w:spacing w:after="0"/>
              <w:rPr>
                <w:sz w:val="20"/>
                <w:szCs w:val="20"/>
                <w:color w:val="auto"/>
              </w:rPr>
            </w:pPr>
            <w:r>
              <w:rPr>
                <w:rFonts w:ascii="Arial" w:cs="Arial" w:eastAsia="Arial" w:hAnsi="Arial"/>
                <w:sz w:val="18"/>
                <w:szCs w:val="18"/>
                <w:color w:val="auto"/>
                <w:w w:val="99"/>
              </w:rPr>
              <w:t>2</w:t>
            </w:r>
          </w:p>
        </w:tc>
        <w:tc>
          <w:tcPr>
            <w:tcW w:w="840" w:type="dxa"/>
            <w:vAlign w:val="bottom"/>
            <w:tcBorders>
              <w:top w:val="single" w:sz="8" w:color="CCEECC"/>
              <w:bottom w:val="single" w:sz="8" w:color="auto"/>
            </w:tcBorders>
          </w:tcPr>
          <w:p>
            <w:pPr>
              <w:spacing w:after="0"/>
              <w:rPr>
                <w:sz w:val="24"/>
                <w:szCs w:val="24"/>
                <w:color w:val="auto"/>
              </w:rPr>
            </w:pPr>
          </w:p>
        </w:tc>
        <w:tc>
          <w:tcPr>
            <w:tcW w:w="42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680" w:type="dxa"/>
            <w:vAlign w:val="bottom"/>
            <w:tcBorders>
              <w:top w:val="single" w:sz="8" w:color="CCEECC"/>
              <w:bottom w:val="single" w:sz="8" w:color="auto"/>
            </w:tcBorders>
          </w:tcPr>
          <w:p>
            <w:pPr>
              <w:spacing w:after="0"/>
              <w:rPr>
                <w:sz w:val="24"/>
                <w:szCs w:val="24"/>
                <w:color w:val="auto"/>
              </w:rPr>
            </w:pPr>
          </w:p>
        </w:tc>
        <w:tc>
          <w:tcPr>
            <w:tcW w:w="1240" w:type="dxa"/>
            <w:vAlign w:val="bottom"/>
            <w:tcBorders>
              <w:top w:val="single" w:sz="8" w:color="CCEECC"/>
              <w:bottom w:val="single" w:sz="8" w:color="auto"/>
            </w:tcBorders>
          </w:tcPr>
          <w:p>
            <w:pPr>
              <w:spacing w:after="0"/>
              <w:rPr>
                <w:sz w:val="24"/>
                <w:szCs w:val="24"/>
                <w:color w:val="auto"/>
              </w:rPr>
            </w:pPr>
          </w:p>
        </w:tc>
        <w:tc>
          <w:tcPr>
            <w:tcW w:w="124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380" w:type="dxa"/>
            <w:vAlign w:val="bottom"/>
            <w:tcBorders>
              <w:top w:val="single" w:sz="8" w:color="CCEECC"/>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29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F-1 </w:t>
      </w:r>
      <w:hyperlink w:anchor="page4">
        <w:r>
          <w:rPr>
            <w:rFonts w:ascii="Arial" w:cs="Arial" w:eastAsia="Arial" w:hAnsi="Arial"/>
            <w:sz w:val="18"/>
            <w:szCs w:val="18"/>
            <w:u w:val="single" w:color="auto"/>
            <w:color w:val="0000EE"/>
          </w:rPr>
          <w:t>Consolidated Balance Sheets as of September 30, 2012 and December 31, 2011 (unaudited);</w:t>
        </w:r>
      </w:hyperlink>
      <w:r>
        <w:rPr>
          <w:rFonts w:ascii="Arial" w:cs="Arial" w:eastAsia="Arial" w:hAnsi="Arial"/>
          <w:sz w:val="18"/>
          <w:szCs w:val="18"/>
          <w:color w:val="auto"/>
        </w:rPr>
        <w:t xml:space="preserve"> F-2 </w:t>
      </w:r>
      <w:hyperlink w:anchor="page5">
        <w:r>
          <w:rPr>
            <w:rFonts w:ascii="Arial" w:cs="Arial" w:eastAsia="Arial" w:hAnsi="Arial"/>
            <w:sz w:val="18"/>
            <w:szCs w:val="18"/>
            <w:u w:val="single" w:color="auto"/>
            <w:color w:val="0000EE"/>
          </w:rPr>
          <w:t>Consolidated Statements of Operations for the three months ended September 30, 2012 and 2011 (unaudited);</w:t>
        </w:r>
      </w:hyperlink>
      <w:r>
        <w:rPr>
          <w:rFonts w:ascii="Arial" w:cs="Arial" w:eastAsia="Arial" w:hAnsi="Arial"/>
          <w:sz w:val="18"/>
          <w:szCs w:val="18"/>
          <w:color w:val="auto"/>
        </w:rPr>
        <w:t xml:space="preserve"> F-3 </w:t>
      </w:r>
      <w:hyperlink w:anchor="page6">
        <w:r>
          <w:rPr>
            <w:rFonts w:ascii="Arial" w:cs="Arial" w:eastAsia="Arial" w:hAnsi="Arial"/>
            <w:sz w:val="18"/>
            <w:szCs w:val="18"/>
            <w:u w:val="single" w:color="auto"/>
            <w:color w:val="0000EE"/>
          </w:rPr>
          <w:t>Consolidated Statements of Operations for the nine months ended September 30, 2012 and 2011 (unaudited);</w:t>
        </w:r>
      </w:hyperlink>
      <w:r>
        <w:rPr>
          <w:rFonts w:ascii="Arial" w:cs="Arial" w:eastAsia="Arial" w:hAnsi="Arial"/>
          <w:sz w:val="18"/>
          <w:szCs w:val="18"/>
          <w:color w:val="auto"/>
        </w:rPr>
        <w:t xml:space="preserve"> F-4 </w:t>
      </w:r>
      <w:hyperlink w:anchor="page7">
        <w:r>
          <w:rPr>
            <w:rFonts w:ascii="Arial" w:cs="Arial" w:eastAsia="Arial" w:hAnsi="Arial"/>
            <w:sz w:val="18"/>
            <w:szCs w:val="18"/>
            <w:u w:val="single" w:color="auto"/>
            <w:color w:val="0000EE"/>
          </w:rPr>
          <w:t>Consolidated Statements of Cash Flow for the nine months ended September 30, 2012 and 2011 (unaudited);</w:t>
        </w:r>
      </w:hyperlink>
      <w:r>
        <w:rPr>
          <w:rFonts w:ascii="Arial" w:cs="Arial" w:eastAsia="Arial" w:hAnsi="Arial"/>
          <w:sz w:val="18"/>
          <w:szCs w:val="18"/>
          <w:color w:val="auto"/>
        </w:rPr>
        <w:t xml:space="preserve"> F-5 </w:t>
      </w:r>
      <w:hyperlink w:anchor="page8">
        <w:r>
          <w:rPr>
            <w:rFonts w:ascii="Arial" w:cs="Arial" w:eastAsia="Arial" w:hAnsi="Arial"/>
            <w:sz w:val="18"/>
            <w:szCs w:val="18"/>
            <w:u w:val="single" w:color="auto"/>
            <w:color w:val="0000EE"/>
          </w:rPr>
          <w:t>Notes to Consolidated Financial Statements.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-694055</wp:posOffset>
            </wp:positionV>
            <wp:extent cx="6157595"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615759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5759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615759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line="168" w:lineRule="exact"/>
        <w:rPr>
          <w:rFonts w:ascii="Arial" w:cs="Arial" w:eastAsia="Arial" w:hAnsi="Arial"/>
          <w:sz w:val="18"/>
          <w:szCs w:val="18"/>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2012 are not necessarily indicative of the results that can be expected for the full year.</w:t>
      </w:r>
    </w:p>
    <w:p>
      <w:pPr>
        <w:spacing w:after="0" w:line="18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2012 AND DECEMBER 31,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200" w:type="dxa"/>
            <w:vAlign w:val="bottom"/>
          </w:tcPr>
          <w:p>
            <w:pPr>
              <w:ind w:left="228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3"/>
            <w:vMerge w:val="restart"/>
          </w:tcPr>
          <w:p>
            <w:pPr>
              <w:ind w:left="2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December 31,</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8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80" w:type="dxa"/>
            <w:vAlign w:val="bottom"/>
            <w:gridSpan w:val="2"/>
            <w:vMerge w:val="restart"/>
          </w:tcPr>
          <w:p>
            <w:pPr>
              <w:ind w:left="86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2011</w:t>
            </w:r>
          </w:p>
        </w:tc>
        <w:tc>
          <w:tcPr>
            <w:tcW w:w="8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282,630</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3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643,649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471,870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44,892</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119,032</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971,171</w:t>
            </w:r>
          </w:p>
        </w:tc>
        <w:tc>
          <w:tcPr>
            <w:tcW w:w="100" w:type="dxa"/>
            <w:vAlign w:val="bottom"/>
            <w:tcBorders>
              <w:bottom w:val="single" w:sz="8" w:color="CCEECC"/>
            </w:tcBorders>
          </w:tcPr>
          <w:p>
            <w:pPr>
              <w:spacing w:after="0"/>
              <w:rPr>
                <w:sz w:val="18"/>
                <w:szCs w:val="18"/>
                <w:color w:val="auto"/>
              </w:rPr>
            </w:pPr>
          </w:p>
        </w:tc>
        <w:tc>
          <w:tcPr>
            <w:tcW w:w="6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1,550,068</w:t>
            </w:r>
          </w:p>
        </w:tc>
        <w:tc>
          <w:tcPr>
            <w:tcW w:w="80" w:type="dxa"/>
            <w:vAlign w:val="bottom"/>
            <w:tcBorders>
              <w:bottom w:val="single" w:sz="8" w:color="CCEECC"/>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5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22,067</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23,931</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Patent rights, net</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806,912</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847,941</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Website development costs, net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419,174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465,498</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Security deposit</w:t>
            </w:r>
          </w:p>
        </w:tc>
        <w:tc>
          <w:tcPr>
            <w:tcW w:w="14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CCEE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1,231,135</w:t>
            </w:r>
          </w:p>
        </w:tc>
        <w:tc>
          <w:tcPr>
            <w:tcW w:w="100" w:type="dxa"/>
            <w:vAlign w:val="bottom"/>
            <w:tcBorders>
              <w:bottom w:val="single" w:sz="8" w:color="CCEECC"/>
            </w:tcBorders>
          </w:tcPr>
          <w:p>
            <w:pPr>
              <w:spacing w:after="0"/>
              <w:rPr>
                <w:sz w:val="18"/>
                <w:szCs w:val="18"/>
                <w:color w:val="auto"/>
              </w:rPr>
            </w:pPr>
          </w:p>
        </w:tc>
        <w:tc>
          <w:tcPr>
            <w:tcW w:w="6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1,318,488</w:t>
            </w:r>
          </w:p>
        </w:tc>
        <w:tc>
          <w:tcPr>
            <w:tcW w:w="80" w:type="dxa"/>
            <w:vAlign w:val="bottom"/>
            <w:tcBorders>
              <w:bottom w:val="single" w:sz="8" w:color="CCEECC"/>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0" w:type="dxa"/>
            <w:vAlign w:val="bottom"/>
            <w:vMerge w:val="continue"/>
          </w:tcPr>
          <w:p>
            <w:pPr>
              <w:spacing w:after="0"/>
              <w:rPr>
                <w:sz w:val="24"/>
                <w:szCs w:val="24"/>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2,224,373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2,892,487</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80" w:type="dxa"/>
            <w:vAlign w:val="bottom"/>
          </w:tcPr>
          <w:p>
            <w:pPr>
              <w:spacing w:after="0"/>
              <w:rPr>
                <w:sz w:val="17"/>
                <w:szCs w:val="17"/>
                <w:color w:val="auto"/>
              </w:rPr>
            </w:pPr>
          </w:p>
        </w:tc>
        <w:tc>
          <w:tcPr>
            <w:tcW w:w="5200" w:type="dxa"/>
            <w:vAlign w:val="bottom"/>
            <w:tcBorders>
              <w:top w:val="single" w:sz="8" w:color="CCEECC"/>
            </w:tcBorders>
            <w:shd w:val="clear" w:color="auto" w:fill="CCEECC"/>
          </w:tcPr>
          <w:p>
            <w:pPr>
              <w:spacing w:after="0"/>
              <w:rPr>
                <w:sz w:val="17"/>
                <w:szCs w:val="17"/>
                <w:color w:val="auto"/>
              </w:rPr>
            </w:pPr>
          </w:p>
        </w:tc>
        <w:tc>
          <w:tcPr>
            <w:tcW w:w="14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60" w:type="dxa"/>
            <w:vAlign w:val="bottom"/>
            <w:tcBorders>
              <w:top w:val="single" w:sz="8" w:color="CCEECC"/>
            </w:tcBorders>
            <w:shd w:val="clear" w:color="auto" w:fill="CCEECC"/>
          </w:tcPr>
          <w:p>
            <w:pPr>
              <w:spacing w:after="0"/>
              <w:rPr>
                <w:sz w:val="17"/>
                <w:szCs w:val="17"/>
                <w:color w:val="auto"/>
              </w:rPr>
            </w:pPr>
          </w:p>
        </w:tc>
        <w:tc>
          <w:tcPr>
            <w:tcW w:w="2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66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restart"/>
          </w:tcPr>
          <w:p>
            <w:pPr>
              <w:spacing w:after="0"/>
              <w:rPr>
                <w:sz w:val="18"/>
                <w:szCs w:val="18"/>
                <w:color w:val="auto"/>
              </w:rPr>
            </w:pPr>
          </w:p>
        </w:tc>
        <w:tc>
          <w:tcPr>
            <w:tcW w:w="52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payable - trade</w:t>
            </w:r>
          </w:p>
        </w:tc>
        <w:tc>
          <w:tcPr>
            <w:tcW w:w="4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8,476</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3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336,712</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tcBorders>
              <w:bottom w:val="single" w:sz="8" w:color="CCEECC"/>
            </w:tcBorders>
          </w:tcPr>
          <w:p>
            <w:pPr>
              <w:ind w:left="30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311,774</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330,605</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CC"/>
          </w:tcPr>
          <w:p>
            <w:pPr>
              <w:spacing w:after="0"/>
              <w:rPr>
                <w:sz w:val="18"/>
                <w:szCs w:val="18"/>
                <w:color w:val="auto"/>
              </w:rPr>
            </w:pPr>
          </w:p>
        </w:tc>
        <w:tc>
          <w:tcPr>
            <w:tcW w:w="32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890,250</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1,303,317</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200" w:type="dxa"/>
            <w:vAlign w:val="bottom"/>
          </w:tcPr>
          <w:p>
            <w:pPr>
              <w:ind w:left="300"/>
              <w:spacing w:after="0" w:line="201" w:lineRule="exact"/>
              <w:rPr>
                <w:sz w:val="20"/>
                <w:szCs w:val="20"/>
                <w:color w:val="auto"/>
              </w:rPr>
            </w:pPr>
            <w:r>
              <w:rPr>
                <w:rFonts w:ascii="Arial" w:cs="Arial" w:eastAsia="Arial" w:hAnsi="Arial"/>
                <w:sz w:val="18"/>
                <w:szCs w:val="18"/>
                <w:color w:val="auto"/>
                <w:w w:val="94"/>
              </w:rPr>
              <w:t>Common stock, $.001 par value, 500,000,000 shares authorized,</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14,232,496 and 14,192,496 shares issued and outstanding</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14,232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14,192</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5200" w:type="dxa"/>
            <w:vAlign w:val="bottom"/>
            <w:shd w:val="clear" w:color="auto" w:fill="CCEECC"/>
          </w:tcPr>
          <w:p>
            <w:pPr>
              <w:ind w:left="300"/>
              <w:spacing w:after="0" w:line="201" w:lineRule="exact"/>
              <w:rPr>
                <w:sz w:val="20"/>
                <w:szCs w:val="20"/>
                <w:color w:val="auto"/>
              </w:rPr>
            </w:pPr>
            <w:r>
              <w:rPr>
                <w:rFonts w:ascii="Arial" w:cs="Arial" w:eastAsia="Arial" w:hAnsi="Arial"/>
                <w:sz w:val="18"/>
                <w:szCs w:val="18"/>
                <w:color w:val="auto"/>
                <w:w w:val="91"/>
              </w:rPr>
              <w:t>Preferred stock, $.001 par value, 10,000,000 shares authorized, 65</w:t>
            </w:r>
          </w:p>
        </w:tc>
        <w:tc>
          <w:tcPr>
            <w:tcW w:w="14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shares issued and outstanding</w:t>
            </w:r>
          </w:p>
        </w:tc>
        <w:tc>
          <w:tcPr>
            <w:tcW w:w="14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20,826,934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20,826,934</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20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5,353,440</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5,125,558</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200" w:type="dxa"/>
            <w:vAlign w:val="bottom"/>
          </w:tcPr>
          <w:p>
            <w:pPr>
              <w:ind w:left="30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(24,860,483)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(24,377,514)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20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1,334,123</w:t>
            </w:r>
          </w:p>
        </w:tc>
        <w:tc>
          <w:tcPr>
            <w:tcW w:w="10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1,589,170</w:t>
            </w: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8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520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2,224,373</w:t>
            </w:r>
          </w:p>
        </w:tc>
        <w:tc>
          <w:tcPr>
            <w:tcW w:w="10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3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2,892,487</w:t>
            </w:r>
          </w:p>
        </w:tc>
        <w:tc>
          <w:tcPr>
            <w:tcW w:w="80" w:type="dxa"/>
            <w:vAlign w:val="bottom"/>
            <w:shd w:val="clear" w:color="auto" w:fill="CCEECC"/>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Borders>
              <w:top w:val="single" w:sz="8" w:color="CCEECC"/>
            </w:tcBorders>
            <w:gridSpan w:val="2"/>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 w:type="dxa"/>
            <w:vAlign w:val="bottom"/>
          </w:tcPr>
          <w:p>
            <w:pPr>
              <w:spacing w:after="0"/>
              <w:rPr>
                <w:sz w:val="24"/>
                <w:szCs w:val="24"/>
                <w:color w:val="auto"/>
              </w:rPr>
            </w:pPr>
          </w:p>
        </w:tc>
        <w:tc>
          <w:tcPr>
            <w:tcW w:w="7540" w:type="dxa"/>
            <w:vAlign w:val="bottom"/>
            <w:gridSpan w:val="6"/>
          </w:tcPr>
          <w:p>
            <w:pPr>
              <w:ind w:left="2160"/>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F-1</w:t>
            </w: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SEPTEMBER 30, 2012 AND 2011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three months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three months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right="400"/>
              <w:spacing w:after="0"/>
              <w:rPr>
                <w:sz w:val="20"/>
                <w:szCs w:val="20"/>
                <w:color w:val="auto"/>
              </w:rPr>
            </w:pPr>
            <w:r>
              <w:rPr>
                <w:rFonts w:ascii="Arial" w:cs="Arial" w:eastAsia="Arial" w:hAnsi="Arial"/>
                <w:sz w:val="18"/>
                <w:szCs w:val="18"/>
                <w:color w:val="auto"/>
                <w:w w:val="87"/>
              </w:rPr>
              <w:t>ended</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3"/>
          </w:tcPr>
          <w:p>
            <w:pPr>
              <w:jc w:val="center"/>
              <w:ind w:right="40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gridSpan w:val="2"/>
            <w:vMerge w:val="restart"/>
          </w:tcPr>
          <w:p>
            <w:pPr>
              <w:ind w:left="860"/>
              <w:spacing w:after="0"/>
              <w:rPr>
                <w:sz w:val="20"/>
                <w:szCs w:val="20"/>
                <w:color w:val="auto"/>
              </w:rPr>
            </w:pPr>
            <w:r>
              <w:rPr>
                <w:rFonts w:ascii="Arial" w:cs="Arial" w:eastAsia="Arial" w:hAnsi="Arial"/>
                <w:sz w:val="18"/>
                <w:szCs w:val="18"/>
                <w:color w:val="auto"/>
              </w:rPr>
              <w:t>REVENUE</w:t>
            </w:r>
          </w:p>
        </w:tc>
        <w:tc>
          <w:tcPr>
            <w:tcW w:w="1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color w:val="auto"/>
                <w:w w:val="88"/>
              </w:rPr>
              <w:t>(Restated)</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0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Sales</w:t>
            </w:r>
          </w:p>
        </w:tc>
        <w:tc>
          <w:tcPr>
            <w:tcW w:w="480" w:type="dxa"/>
            <w:vAlign w:val="bottom"/>
            <w:gridSpan w:val="2"/>
            <w:shd w:val="clear" w:color="auto" w:fill="CCEECC"/>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453,154</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340" w:type="dxa"/>
            <w:vAlign w:val="bottom"/>
            <w:gridSpan w:val="2"/>
            <w:shd w:val="clear" w:color="auto" w:fill="CCEECC"/>
          </w:tcPr>
          <w:p>
            <w:pPr>
              <w:jc w:val="right"/>
              <w:ind w:right="22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191,593</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453,154</w:t>
            </w:r>
          </w:p>
        </w:tc>
        <w:tc>
          <w:tcPr>
            <w:tcW w:w="10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2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191,593</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Borders>
              <w:bottom w:val="single" w:sz="8" w:color="CCEECC"/>
            </w:tcBorders>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559,305</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600,760</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Borders>
              <w:bottom w:val="single" w:sz="8" w:color="CCEECC"/>
            </w:tcBorders>
          </w:tcPr>
          <w:p>
            <w:pPr>
              <w:ind w:left="96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559,305</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600,760</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Pr>
          <w:p>
            <w:pPr>
              <w:ind w:left="96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(106,151)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(409,167)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51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60" w:type="dxa"/>
            <w:vAlign w:val="bottom"/>
            <w:tcBorders>
              <w:top w:val="single" w:sz="8" w:color="CCEECC"/>
            </w:tcBorders>
            <w:shd w:val="clear" w:color="auto" w:fill="CCEECC"/>
          </w:tcPr>
          <w:p>
            <w:pPr>
              <w:spacing w:after="0"/>
              <w:rPr>
                <w:sz w:val="17"/>
                <w:szCs w:val="17"/>
                <w:color w:val="auto"/>
              </w:rPr>
            </w:pPr>
          </w:p>
        </w:tc>
        <w:tc>
          <w:tcPr>
            <w:tcW w:w="2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(678,543)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Pr>
          <w:p>
            <w:pPr>
              <w:ind w:left="960"/>
              <w:spacing w:after="0"/>
              <w:rPr>
                <w:sz w:val="20"/>
                <w:szCs w:val="20"/>
                <w:color w:val="auto"/>
              </w:rPr>
            </w:pPr>
            <w:r>
              <w:rPr>
                <w:rFonts w:ascii="Arial" w:cs="Arial" w:eastAsia="Arial" w:hAnsi="Arial"/>
                <w:sz w:val="18"/>
                <w:szCs w:val="18"/>
                <w:color w:val="auto"/>
              </w:rPr>
              <w:t>TOTAL OTHER INCOME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(678,337)</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51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60" w:type="dxa"/>
            <w:vAlign w:val="bottom"/>
            <w:tcBorders>
              <w:top w:val="single" w:sz="8" w:color="CCEECC"/>
            </w:tcBorders>
            <w:shd w:val="clear" w:color="auto" w:fill="CCEECC"/>
          </w:tcPr>
          <w:p>
            <w:pPr>
              <w:spacing w:after="0"/>
              <w:rPr>
                <w:sz w:val="17"/>
                <w:szCs w:val="17"/>
                <w:color w:val="auto"/>
              </w:rPr>
            </w:pPr>
          </w:p>
        </w:tc>
        <w:tc>
          <w:tcPr>
            <w:tcW w:w="2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(106,174)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(1,087,504)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vMerge w:val="restart"/>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51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80" w:type="dxa"/>
            <w:vAlign w:val="bottom"/>
          </w:tcPr>
          <w:p>
            <w:pPr>
              <w:spacing w:after="0"/>
              <w:rPr>
                <w:sz w:val="24"/>
                <w:szCs w:val="24"/>
                <w:color w:val="auto"/>
              </w:rPr>
            </w:pPr>
          </w:p>
        </w:tc>
        <w:tc>
          <w:tcPr>
            <w:tcW w:w="5180" w:type="dxa"/>
            <w:vAlign w:val="bottom"/>
          </w:tcPr>
          <w:p>
            <w:pPr>
              <w:ind w:left="960"/>
              <w:spacing w:after="0"/>
              <w:rPr>
                <w:sz w:val="20"/>
                <w:szCs w:val="20"/>
                <w:color w:val="auto"/>
              </w:rPr>
            </w:pPr>
            <w:r>
              <w:rPr>
                <w:rFonts w:ascii="Arial" w:cs="Arial" w:eastAsia="Arial" w:hAnsi="Arial"/>
                <w:sz w:val="18"/>
                <w:szCs w:val="18"/>
                <w:color w:val="auto"/>
              </w:rPr>
              <w:t>NET LOSS</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(106,174)</w:t>
            </w:r>
          </w:p>
        </w:tc>
        <w:tc>
          <w:tcPr>
            <w:tcW w:w="60" w:type="dxa"/>
            <w:vAlign w:val="bottom"/>
          </w:tcPr>
          <w:p>
            <w:pPr>
              <w:spacing w:after="0"/>
              <w:rPr>
                <w:sz w:val="24"/>
                <w:szCs w:val="24"/>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(1,087,504)</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vMerge w:val="restart"/>
          </w:tcPr>
          <w:p>
            <w:pPr>
              <w:spacing w:after="0"/>
              <w:rPr>
                <w:sz w:val="15"/>
                <w:szCs w:val="15"/>
                <w:color w:val="auto"/>
              </w:rPr>
            </w:pPr>
          </w:p>
        </w:tc>
        <w:tc>
          <w:tcPr>
            <w:tcW w:w="51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32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10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32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w w:val="98"/>
              </w:rPr>
              <w:t>WEIGHTED AVERAGE NUMBER OF SHARES OUTSTANDING:</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6060" w:type="dxa"/>
            <w:vAlign w:val="bottom"/>
            <w:gridSpan w:val="2"/>
          </w:tcPr>
          <w:p>
            <w:pPr>
              <w:ind w:left="860"/>
              <w:spacing w:after="0"/>
              <w:rPr>
                <w:sz w:val="20"/>
                <w:szCs w:val="20"/>
                <w:color w:val="auto"/>
              </w:rPr>
            </w:pPr>
            <w:r>
              <w:rPr>
                <w:rFonts w:ascii="Arial" w:cs="Arial" w:eastAsia="Arial" w:hAnsi="Arial"/>
                <w:sz w:val="18"/>
                <w:szCs w:val="18"/>
                <w:color w:val="auto"/>
              </w:rPr>
              <w:t>BASIC AND DILUTED</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14,227,713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13,989,959</w:t>
            </w: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880" w:type="dxa"/>
            <w:vAlign w:val="bottom"/>
            <w:vMerge w:val="restart"/>
          </w:tcPr>
          <w:p>
            <w:pPr>
              <w:spacing w:after="0"/>
              <w:rPr>
                <w:sz w:val="15"/>
                <w:szCs w:val="15"/>
                <w:color w:val="auto"/>
              </w:rPr>
            </w:pPr>
          </w:p>
        </w:tc>
        <w:tc>
          <w:tcPr>
            <w:tcW w:w="5180" w:type="dxa"/>
            <w:vAlign w:val="bottom"/>
            <w:tcBorders>
              <w:top w:val="single" w:sz="8" w:color="CCEECC"/>
            </w:tcBorders>
            <w:shd w:val="clear" w:color="auto" w:fill="CCEECC"/>
          </w:tcPr>
          <w:p>
            <w:pPr>
              <w:spacing w:after="0"/>
              <w:rPr>
                <w:sz w:val="15"/>
                <w:szCs w:val="15"/>
                <w:color w:val="auto"/>
              </w:rPr>
            </w:pPr>
          </w:p>
        </w:tc>
        <w:tc>
          <w:tcPr>
            <w:tcW w:w="160" w:type="dxa"/>
            <w:vAlign w:val="bottom"/>
            <w:tcBorders>
              <w:top w:val="single" w:sz="8" w:color="CCEECC"/>
            </w:tcBorders>
            <w:shd w:val="clear" w:color="auto" w:fill="CCEECC"/>
          </w:tcPr>
          <w:p>
            <w:pPr>
              <w:spacing w:after="0"/>
              <w:rPr>
                <w:sz w:val="15"/>
                <w:szCs w:val="15"/>
                <w:color w:val="auto"/>
              </w:rPr>
            </w:pPr>
          </w:p>
        </w:tc>
        <w:tc>
          <w:tcPr>
            <w:tcW w:w="32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10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32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NET LOSS PER SHARE: BASIC AND DILUTED</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 w:type="dxa"/>
            <w:vAlign w:val="bottom"/>
          </w:tcPr>
          <w:p>
            <w:pPr>
              <w:spacing w:after="0"/>
              <w:rPr>
                <w:sz w:val="24"/>
                <w:szCs w:val="24"/>
                <w:color w:val="auto"/>
              </w:rPr>
            </w:pPr>
          </w:p>
        </w:tc>
        <w:tc>
          <w:tcPr>
            <w:tcW w:w="7540" w:type="dxa"/>
            <w:vAlign w:val="bottom"/>
            <w:gridSpan w:val="6"/>
          </w:tcPr>
          <w:p>
            <w:pPr>
              <w:ind w:left="218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F-2</w:t>
            </w: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right="560"/>
        <w:spacing w:after="0"/>
        <w:rPr>
          <w:sz w:val="20"/>
          <w:szCs w:val="20"/>
          <w:color w:val="auto"/>
        </w:rPr>
      </w:pPr>
      <w:r>
        <w:rPr>
          <w:rFonts w:ascii="Arial" w:cs="Arial" w:eastAsia="Arial" w:hAnsi="Arial"/>
          <w:sz w:val="18"/>
          <w:szCs w:val="18"/>
          <w:color w:val="auto"/>
        </w:rPr>
        <w:t>REVENUE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jc w:val="center"/>
        <w:ind w:right="296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960"/>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21" w:lineRule="exact"/>
        <w:rPr>
          <w:sz w:val="20"/>
          <w:szCs w:val="20"/>
          <w:color w:val="auto"/>
        </w:rPr>
      </w:pPr>
    </w:p>
    <w:p>
      <w:pPr>
        <w:jc w:val="center"/>
        <w:ind w:right="2960"/>
        <w:spacing w:after="0"/>
        <w:rPr>
          <w:sz w:val="20"/>
          <w:szCs w:val="20"/>
          <w:color w:val="auto"/>
        </w:rPr>
      </w:pPr>
      <w:r>
        <w:rPr>
          <w:rFonts w:ascii="Arial" w:cs="Arial" w:eastAsia="Arial" w:hAnsi="Arial"/>
          <w:sz w:val="17"/>
          <w:szCs w:val="17"/>
          <w:b w:val="1"/>
          <w:bCs w:val="1"/>
          <w:color w:val="auto"/>
        </w:rPr>
        <w:t>FOR THE NINE MONTHS ENDED SEPTEMBER 30, 2012 AND 2011</w:t>
      </w:r>
    </w:p>
    <w:p>
      <w:pPr>
        <w:spacing w:after="0" w:line="222"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For the nine</w:t>
            </w:r>
          </w:p>
        </w:tc>
        <w:tc>
          <w:tcPr>
            <w:tcW w:w="320" w:type="dxa"/>
            <w:vAlign w:val="bottom"/>
          </w:tcPr>
          <w:p>
            <w:pPr>
              <w:spacing w:after="0"/>
              <w:rPr>
                <w:sz w:val="18"/>
                <w:szCs w:val="18"/>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91"/>
              </w:rPr>
              <w:t>For the nine</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months ended</w:t>
            </w:r>
          </w:p>
        </w:tc>
        <w:tc>
          <w:tcPr>
            <w:tcW w:w="320" w:type="dxa"/>
            <w:vAlign w:val="bottom"/>
          </w:tcPr>
          <w:p>
            <w:pPr>
              <w:spacing w:after="0"/>
              <w:rPr>
                <w:sz w:val="18"/>
                <w:szCs w:val="18"/>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7"/>
              </w:rPr>
              <w:t>months ended</w:t>
            </w:r>
          </w:p>
        </w:tc>
        <w:tc>
          <w:tcPr>
            <w:tcW w:w="8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320" w:type="dxa"/>
            <w:vAlign w:val="bottom"/>
          </w:tcPr>
          <w:p>
            <w:pPr>
              <w:spacing w:after="0"/>
              <w:rPr>
                <w:sz w:val="18"/>
                <w:szCs w:val="18"/>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r>
      <w:tr>
        <w:trPr>
          <w:trHeight w:val="230"/>
        </w:trPr>
        <w:tc>
          <w:tcPr>
            <w:tcW w:w="3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r>
      <w:tr>
        <w:trPr>
          <w:trHeight w:val="230"/>
        </w:trPr>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(Restated)</w:t>
            </w:r>
          </w:p>
        </w:tc>
        <w:tc>
          <w:tcPr>
            <w:tcW w:w="80" w:type="dxa"/>
            <w:vAlign w:val="bottom"/>
            <w:tcBorders>
              <w:bottom w:val="single" w:sz="8" w:color="auto"/>
            </w:tcBorders>
          </w:tcPr>
          <w:p>
            <w:pPr>
              <w:spacing w:after="0"/>
              <w:rPr>
                <w:sz w:val="20"/>
                <w:szCs w:val="20"/>
                <w:color w:val="auto"/>
              </w:rPr>
            </w:pPr>
          </w:p>
        </w:tc>
      </w:tr>
      <w:tr>
        <w:trPr>
          <w:trHeight w:val="426"/>
        </w:trPr>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1,297,980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785,610</w:t>
            </w: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-153670</wp:posOffset>
            </wp:positionV>
            <wp:extent cx="6157595"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720"/>
            <w:col w:w="8440"/>
          </w:cols>
          <w:pgMar w:left="240" w:top="233" w:right="239" w:bottom="1440" w:gutter="0" w:footer="0" w:header="0"/>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spacing w:after="0"/>
              <w:rPr>
                <w:sz w:val="19"/>
                <w:szCs w:val="19"/>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1,297,980</w:t>
            </w:r>
          </w:p>
        </w:tc>
        <w:tc>
          <w:tcPr>
            <w:tcW w:w="1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spacing w:after="0"/>
              <w:rPr>
                <w:sz w:val="19"/>
                <w:szCs w:val="19"/>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785,610</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3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Borders>
              <w:bottom w:val="single" w:sz="8" w:color="CCEECC"/>
            </w:tcBorders>
          </w:tcPr>
          <w:p>
            <w:pPr>
              <w:ind w:left="1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C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1,781,257</w:t>
            </w:r>
          </w:p>
        </w:tc>
        <w:tc>
          <w:tcPr>
            <w:tcW w:w="14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1,855,695</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Borders>
              <w:bottom w:val="single" w:sz="8" w:color="CCEECC"/>
            </w:tcBorders>
          </w:tcPr>
          <w:p>
            <w:pPr>
              <w:ind w:left="960"/>
              <w:spacing w:after="0"/>
              <w:rPr>
                <w:sz w:val="20"/>
                <w:szCs w:val="20"/>
                <w:color w:val="auto"/>
              </w:rPr>
            </w:pPr>
            <w:r>
              <w:rPr>
                <w:rFonts w:ascii="Arial" w:cs="Arial" w:eastAsia="Arial" w:hAnsi="Arial"/>
                <w:sz w:val="18"/>
                <w:szCs w:val="18"/>
                <w:color w:val="auto"/>
              </w:rPr>
              <w:t>TOTAL EXPENSES</w:t>
            </w:r>
          </w:p>
        </w:tc>
        <w:tc>
          <w:tcPr>
            <w:tcW w:w="160" w:type="dxa"/>
            <w:vAlign w:val="bottom"/>
            <w:tcBorders>
              <w:bottom w:val="single" w:sz="8" w:color="CCEEC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1,781,257</w:t>
            </w:r>
          </w:p>
        </w:tc>
        <w:tc>
          <w:tcPr>
            <w:tcW w:w="14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1,855,695</w:t>
            </w:r>
          </w:p>
        </w:tc>
        <w:tc>
          <w:tcPr>
            <w:tcW w:w="80" w:type="dxa"/>
            <w:vAlign w:val="bottom"/>
            <w:tcBorders>
              <w:bottom w:val="single" w:sz="8" w:color="CCEECC"/>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tcPr>
          <w:p>
            <w:pPr>
              <w:ind w:left="960"/>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(483,277)</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(1,070,085)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5180" w:type="dxa"/>
            <w:vAlign w:val="bottom"/>
            <w:tcBorders>
              <w:top w:val="single" w:sz="8" w:color="CCEECC"/>
            </w:tcBorders>
            <w:shd w:val="clear" w:color="auto" w:fill="CCEECC"/>
          </w:tcPr>
          <w:p>
            <w:pPr>
              <w:spacing w:after="0"/>
              <w:rPr>
                <w:sz w:val="17"/>
                <w:szCs w:val="17"/>
                <w:color w:val="auto"/>
              </w:rPr>
            </w:pPr>
          </w:p>
        </w:tc>
        <w:tc>
          <w:tcPr>
            <w:tcW w:w="160" w:type="dxa"/>
            <w:vAlign w:val="bottom"/>
            <w:tcBorders>
              <w:top w:val="single" w:sz="8" w:color="CCEECC"/>
            </w:tcBorders>
            <w:shd w:val="clear" w:color="auto" w:fill="CCEECC"/>
          </w:tcPr>
          <w:p>
            <w:pPr>
              <w:spacing w:after="0"/>
              <w:rPr>
                <w:sz w:val="17"/>
                <w:szCs w:val="17"/>
                <w:color w:val="auto"/>
              </w:rPr>
            </w:pPr>
          </w:p>
        </w:tc>
        <w:tc>
          <w:tcPr>
            <w:tcW w:w="66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tcBorders>
            <w:shd w:val="clear" w:color="auto" w:fill="CCEECC"/>
          </w:tcPr>
          <w:p>
            <w:pPr>
              <w:spacing w:after="0"/>
              <w:rPr>
                <w:sz w:val="17"/>
                <w:szCs w:val="17"/>
                <w:color w:val="auto"/>
              </w:rPr>
            </w:pPr>
          </w:p>
        </w:tc>
        <w:tc>
          <w:tcPr>
            <w:tcW w:w="140" w:type="dxa"/>
            <w:vAlign w:val="bottom"/>
            <w:tcBorders>
              <w:top w:val="single" w:sz="8" w:color="CCEECC"/>
            </w:tcBorders>
            <w:shd w:val="clear" w:color="auto" w:fill="CCEECC"/>
          </w:tcPr>
          <w:p>
            <w:pPr>
              <w:spacing w:after="0"/>
              <w:rPr>
                <w:sz w:val="17"/>
                <w:szCs w:val="17"/>
                <w:color w:val="auto"/>
              </w:rPr>
            </w:pPr>
          </w:p>
        </w:tc>
        <w:tc>
          <w:tcPr>
            <w:tcW w:w="40" w:type="dxa"/>
            <w:vAlign w:val="bottom"/>
            <w:tcBorders>
              <w:top w:val="single" w:sz="8" w:color="CCEECC"/>
            </w:tcBorders>
            <w:shd w:val="clear" w:color="auto" w:fill="CCEECC"/>
          </w:tcPr>
          <w:p>
            <w:pPr>
              <w:spacing w:after="0"/>
              <w:rPr>
                <w:sz w:val="17"/>
                <w:szCs w:val="17"/>
                <w:color w:val="auto"/>
              </w:rPr>
            </w:pPr>
          </w:p>
        </w:tc>
        <w:tc>
          <w:tcPr>
            <w:tcW w:w="66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1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1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(958,641)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51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TOTAL OTHER INCOME (EXPENSE)</w:t>
            </w:r>
          </w:p>
        </w:tc>
        <w:tc>
          <w:tcPr>
            <w:tcW w:w="16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1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(957,534)</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LOSS BEFORE PROVISION FOR INCOME TAXES</w:t>
            </w:r>
          </w:p>
        </w:tc>
        <w:tc>
          <w:tcPr>
            <w:tcW w:w="16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(482,969)</w:t>
            </w: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(2,027,619)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80" w:type="dxa"/>
            <w:vAlign w:val="bottom"/>
            <w:vMerge w:val="restart"/>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vMerge w:val="continue"/>
          </w:tcPr>
          <w:p>
            <w:pPr>
              <w:spacing w:after="0"/>
              <w:rPr>
                <w:sz w:val="19"/>
                <w:szCs w:val="19"/>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spacing w:after="0"/>
              <w:rPr>
                <w:sz w:val="19"/>
                <w:szCs w:val="19"/>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spacing w:after="0"/>
              <w:rPr>
                <w:sz w:val="19"/>
                <w:szCs w:val="19"/>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5180" w:type="dxa"/>
            <w:vAlign w:val="bottom"/>
            <w:shd w:val="clear" w:color="auto" w:fill="CCEECC"/>
          </w:tcPr>
          <w:p>
            <w:pPr>
              <w:ind w:left="960"/>
              <w:spacing w:after="0"/>
              <w:rPr>
                <w:sz w:val="20"/>
                <w:szCs w:val="20"/>
                <w:color w:val="auto"/>
              </w:rPr>
            </w:pPr>
            <w:r>
              <w:rPr>
                <w:rFonts w:ascii="Arial" w:cs="Arial" w:eastAsia="Arial" w:hAnsi="Arial"/>
                <w:sz w:val="18"/>
                <w:szCs w:val="18"/>
                <w:color w:val="auto"/>
              </w:rPr>
              <w:t>NET LOSS</w:t>
            </w:r>
          </w:p>
        </w:tc>
        <w:tc>
          <w:tcPr>
            <w:tcW w:w="82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(482,969)</w:t>
            </w:r>
          </w:p>
        </w:tc>
        <w:tc>
          <w:tcPr>
            <w:tcW w:w="700" w:type="dxa"/>
            <w:vAlign w:val="bottom"/>
            <w:gridSpan w:val="2"/>
            <w:shd w:val="clear" w:color="auto" w:fill="CCEECC"/>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(2,027,619)</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vMerge w:val="restart"/>
          </w:tcPr>
          <w:p>
            <w:pPr>
              <w:spacing w:after="0"/>
              <w:rPr>
                <w:sz w:val="15"/>
                <w:szCs w:val="15"/>
                <w:color w:val="auto"/>
              </w:rPr>
            </w:pPr>
          </w:p>
        </w:tc>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518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8"/>
              </w:rPr>
              <w:t>WEIGHTED AVERAGE NUMBER OF SHARES OUTSTANDING:</w:t>
            </w:r>
          </w:p>
        </w:tc>
        <w:tc>
          <w:tcPr>
            <w:tcW w:w="16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80" w:type="dxa"/>
            <w:vAlign w:val="bottom"/>
          </w:tcPr>
          <w:p>
            <w:pPr>
              <w:spacing w:after="0"/>
              <w:rPr>
                <w:sz w:val="22"/>
                <w:szCs w:val="22"/>
                <w:color w:val="auto"/>
              </w:rPr>
            </w:pPr>
          </w:p>
        </w:tc>
        <w:tc>
          <w:tcPr>
            <w:tcW w:w="51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BASIC AND DILUTED</w:t>
            </w:r>
          </w:p>
        </w:tc>
        <w:tc>
          <w:tcPr>
            <w:tcW w:w="160" w:type="dxa"/>
            <w:vAlign w:val="bottom"/>
            <w:tcBorders>
              <w:bottom w:val="single" w:sz="8" w:color="CCEECC"/>
            </w:tcBorders>
            <w:shd w:val="clear" w:color="auto" w:fill="CCEECC"/>
          </w:tcPr>
          <w:p>
            <w:pPr>
              <w:spacing w:after="0"/>
              <w:rPr>
                <w:sz w:val="22"/>
                <w:szCs w:val="22"/>
                <w:color w:val="auto"/>
              </w:rPr>
            </w:pPr>
          </w:p>
        </w:tc>
        <w:tc>
          <w:tcPr>
            <w:tcW w:w="660" w:type="dxa"/>
            <w:vAlign w:val="bottom"/>
            <w:tcBorders>
              <w:bottom w:val="single" w:sz="8" w:color="auto"/>
            </w:tcBorders>
            <w:shd w:val="clear" w:color="auto" w:fill="CCEECC"/>
          </w:tcPr>
          <w:p>
            <w:pPr>
              <w:spacing w:after="0"/>
              <w:rPr>
                <w:sz w:val="22"/>
                <w:szCs w:val="22"/>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14,201,373</w:t>
            </w:r>
          </w:p>
        </w:tc>
        <w:tc>
          <w:tcPr>
            <w:tcW w:w="140" w:type="dxa"/>
            <w:vAlign w:val="bottom"/>
            <w:tcBorders>
              <w:bottom w:val="single" w:sz="8" w:color="CCEECC"/>
            </w:tcBorders>
            <w:shd w:val="clear" w:color="auto" w:fill="CCEECC"/>
          </w:tcPr>
          <w:p>
            <w:pPr>
              <w:spacing w:after="0"/>
              <w:rPr>
                <w:sz w:val="22"/>
                <w:szCs w:val="22"/>
                <w:color w:val="auto"/>
              </w:rPr>
            </w:pPr>
          </w:p>
        </w:tc>
        <w:tc>
          <w:tcPr>
            <w:tcW w:w="40" w:type="dxa"/>
            <w:vAlign w:val="bottom"/>
            <w:tcBorders>
              <w:bottom w:val="single" w:sz="8" w:color="CCEECC"/>
            </w:tcBorders>
            <w:shd w:val="clear" w:color="auto" w:fill="CCEECC"/>
          </w:tcPr>
          <w:p>
            <w:pPr>
              <w:spacing w:after="0"/>
              <w:rPr>
                <w:sz w:val="22"/>
                <w:szCs w:val="22"/>
                <w:color w:val="auto"/>
              </w:rPr>
            </w:pPr>
          </w:p>
        </w:tc>
        <w:tc>
          <w:tcPr>
            <w:tcW w:w="660" w:type="dxa"/>
            <w:vAlign w:val="bottom"/>
            <w:tcBorders>
              <w:bottom w:val="single" w:sz="8" w:color="auto"/>
            </w:tcBorders>
            <w:shd w:val="clear" w:color="auto" w:fill="CCEECC"/>
          </w:tcPr>
          <w:p>
            <w:pPr>
              <w:spacing w:after="0"/>
              <w:rPr>
                <w:sz w:val="22"/>
                <w:szCs w:val="22"/>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13,830,401</w:t>
            </w:r>
          </w:p>
        </w:tc>
        <w:tc>
          <w:tcPr>
            <w:tcW w:w="80" w:type="dxa"/>
            <w:vAlign w:val="bottom"/>
            <w:tcBorders>
              <w:bottom w:val="single" w:sz="8" w:color="CCEECC"/>
            </w:tcBorders>
            <w:shd w:val="clear" w:color="auto" w:fill="CCEECC"/>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 w:type="dxa"/>
            <w:vAlign w:val="bottom"/>
            <w:vMerge w:val="restart"/>
          </w:tcPr>
          <w:p>
            <w:pPr>
              <w:spacing w:after="0"/>
              <w:rPr>
                <w:sz w:val="15"/>
                <w:szCs w:val="15"/>
                <w:color w:val="auto"/>
              </w:rPr>
            </w:pPr>
          </w:p>
        </w:tc>
        <w:tc>
          <w:tcPr>
            <w:tcW w:w="5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 w:type="dxa"/>
            <w:vAlign w:val="bottom"/>
            <w:vMerge w:val="continue"/>
          </w:tcPr>
          <w:p>
            <w:pPr>
              <w:spacing w:after="0"/>
              <w:rPr>
                <w:sz w:val="21"/>
                <w:szCs w:val="21"/>
                <w:color w:val="auto"/>
              </w:rPr>
            </w:pPr>
          </w:p>
        </w:tc>
        <w:tc>
          <w:tcPr>
            <w:tcW w:w="518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 AND DILUTED</w:t>
            </w:r>
          </w:p>
        </w:tc>
        <w:tc>
          <w:tcPr>
            <w:tcW w:w="820" w:type="dxa"/>
            <w:vAlign w:val="bottom"/>
            <w:gridSpan w:val="2"/>
            <w:shd w:val="clear" w:color="auto" w:fill="CCEECC"/>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(0.03)</w:t>
            </w:r>
          </w:p>
        </w:tc>
        <w:tc>
          <w:tcPr>
            <w:tcW w:w="700" w:type="dxa"/>
            <w:vAlign w:val="bottom"/>
            <w:gridSpan w:val="2"/>
            <w:shd w:val="clear" w:color="auto" w:fill="CCEECC"/>
          </w:tcPr>
          <w:p>
            <w:pPr>
              <w:jc w:val="right"/>
              <w:ind w:right="5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(0.15)</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340" w:type="dxa"/>
            <w:vAlign w:val="bottom"/>
            <w:tcBorders>
              <w:top w:val="single" w:sz="8" w:color="CCEECC"/>
            </w:tcBorders>
            <w:gridSpan w:val="2"/>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 w:type="dxa"/>
            <w:vAlign w:val="bottom"/>
          </w:tcPr>
          <w:p>
            <w:pPr>
              <w:spacing w:after="0"/>
              <w:rPr>
                <w:sz w:val="24"/>
                <w:szCs w:val="24"/>
                <w:color w:val="auto"/>
              </w:rPr>
            </w:pPr>
          </w:p>
        </w:tc>
        <w:tc>
          <w:tcPr>
            <w:tcW w:w="7520" w:type="dxa"/>
            <w:vAlign w:val="bottom"/>
            <w:gridSpan w:val="5"/>
          </w:tcPr>
          <w:p>
            <w:pPr>
              <w:ind w:left="2140"/>
              <w:spacing w:after="0"/>
              <w:rPr>
                <w:sz w:val="20"/>
                <w:szCs w:val="20"/>
                <w:color w:val="auto"/>
              </w:rPr>
            </w:pPr>
            <w:r>
              <w:rPr>
                <w:rFonts w:ascii="Arial" w:cs="Arial" w:eastAsia="Arial" w:hAnsi="Arial"/>
                <w:sz w:val="18"/>
                <w:szCs w:val="18"/>
                <w:color w:val="auto"/>
                <w:w w:val="90"/>
              </w:rPr>
              <w:t>The accompanying notes are an integral part of these financial statements.</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ind w:left="4700"/>
              <w:spacing w:after="0"/>
              <w:rPr>
                <w:sz w:val="20"/>
                <w:szCs w:val="20"/>
                <w:color w:val="auto"/>
              </w:rPr>
            </w:pPr>
            <w:r>
              <w:rPr>
                <w:rFonts w:ascii="Arial" w:cs="Arial" w:eastAsia="Arial" w:hAnsi="Arial"/>
                <w:sz w:val="18"/>
                <w:szCs w:val="18"/>
                <w:color w:val="auto"/>
              </w:rPr>
              <w:t>F-3</w:t>
            </w: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FOR THE NINE MONTHS ENDED SEPTEMBER 30, 2012 AND 2011</w:t>
      </w:r>
    </w:p>
    <w:p>
      <w:pPr>
        <w:spacing w:after="0" w:line="21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For the nine</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 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7"/>
              </w:rPr>
              <w:t>months ended</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center"/>
              <w:ind w:right="4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tcPr>
          <w:p>
            <w:pPr>
              <w:jc w:val="center"/>
              <w:ind w:right="150"/>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Net loss for the period</w:t>
            </w:r>
          </w:p>
        </w:tc>
        <w:tc>
          <w:tcPr>
            <w:tcW w:w="40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(482,969)</w:t>
            </w:r>
          </w:p>
        </w:tc>
        <w:tc>
          <w:tcPr>
            <w:tcW w:w="80" w:type="dxa"/>
            <w:vAlign w:val="bottom"/>
            <w:shd w:val="clear" w:color="auto" w:fill="CCEECC"/>
          </w:tcPr>
          <w:p>
            <w:pPr>
              <w:spacing w:after="0"/>
              <w:rPr>
                <w:sz w:val="18"/>
                <w:szCs w:val="18"/>
                <w:color w:val="auto"/>
              </w:rPr>
            </w:pPr>
          </w:p>
        </w:tc>
        <w:tc>
          <w:tcPr>
            <w:tcW w:w="32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(2,027,619)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loss to net cash used by operating</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140,087</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90,149</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Stock issued for services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49,618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83,992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178,304</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Stock options issued for services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106,861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Amortization of debt discount</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916,667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Changes in: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(171,779)</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104,255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74,140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(328,236)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215,731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(66,000)</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(18,831)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(85,420)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BY OPERATING ACTIVITIES</w:t>
            </w:r>
          </w:p>
        </w:tc>
        <w:tc>
          <w:tcPr>
            <w:tcW w:w="80" w:type="dxa"/>
            <w:vAlign w:val="bottom"/>
            <w:tcBorders>
              <w:top w:val="single" w:sz="8" w:color="CCEECC"/>
            </w:tcBorders>
            <w:shd w:val="clear" w:color="auto" w:fill="CCEECC"/>
          </w:tcPr>
          <w:p>
            <w:pPr>
              <w:spacing w:after="0"/>
              <w:rPr>
                <w:sz w:val="18"/>
                <w:szCs w:val="18"/>
                <w:color w:val="auto"/>
              </w:rPr>
            </w:pPr>
          </w:p>
        </w:tc>
        <w:tc>
          <w:tcPr>
            <w:tcW w:w="32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(625,666</w:t>
            </w:r>
          </w:p>
        </w:tc>
        <w:tc>
          <w:tcPr>
            <w:tcW w:w="10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(604,364</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Website site development costs</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(48,640)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(154,415)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USED BY INVESTING ACTIVITIES</w:t>
            </w:r>
          </w:p>
        </w:tc>
        <w:tc>
          <w:tcPr>
            <w:tcW w:w="80" w:type="dxa"/>
            <w:vAlign w:val="bottom"/>
            <w:tcBorders>
              <w:bottom w:val="single" w:sz="8" w:color="CCEE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10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(154,415</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Issuance of preferred stock</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855,460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rPr>
              <w:t>Issuance of warrants in connection with preferred stock</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644,540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Payments on loan payable</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Borders>
              <w:bottom w:val="single" w:sz="8" w:color="CCEE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(676,536)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(258,779)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CASH AND CASH EQUIVALENTS - BEGINNING OF PERIOD</w:t>
            </w:r>
          </w:p>
        </w:tc>
        <w:tc>
          <w:tcPr>
            <w:tcW w:w="80" w:type="dxa"/>
            <w:vAlign w:val="bottom"/>
            <w:tcBorders>
              <w:bottom w:val="single" w:sz="8" w:color="CCEEC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959,166</w:t>
            </w:r>
          </w:p>
        </w:tc>
        <w:tc>
          <w:tcPr>
            <w:tcW w:w="10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1,278,094</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282,630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1,019,315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60" w:type="dxa"/>
            <w:vAlign w:val="bottom"/>
            <w:tcBorders>
              <w:top w:val="single" w:sz="8" w:color="CCEECC"/>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100" w:type="dxa"/>
            <w:vAlign w:val="bottom"/>
            <w:tcBorders>
              <w:top w:val="single" w:sz="8" w:color="CCEECC"/>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20" w:type="dxa"/>
            <w:vAlign w:val="bottom"/>
            <w:tcBorders>
              <w:top w:val="single" w:sz="8" w:color="CCEECC"/>
            </w:tcBorders>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720" w:type="dxa"/>
            <w:vAlign w:val="bottom"/>
            <w:tcBorders>
              <w:top w:val="single" w:sz="8" w:color="auto"/>
            </w:tcBorders>
            <w:shd w:val="clear" w:color="auto" w:fill="CCEECC"/>
          </w:tcPr>
          <w:p>
            <w:pPr>
              <w:spacing w:after="0"/>
              <w:rPr>
                <w:sz w:val="17"/>
                <w:szCs w:val="17"/>
                <w:color w:val="auto"/>
              </w:rPr>
            </w:pPr>
          </w:p>
        </w:tc>
        <w:tc>
          <w:tcPr>
            <w:tcW w:w="80" w:type="dxa"/>
            <w:vAlign w:val="bottom"/>
            <w:tcBorders>
              <w:top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Cash paid for interest</w:t>
            </w:r>
          </w:p>
        </w:tc>
        <w:tc>
          <w:tcPr>
            <w:tcW w:w="400" w:type="dxa"/>
            <w:vAlign w:val="bottom"/>
            <w:gridSpan w:val="2"/>
            <w:shd w:val="clear" w:color="auto" w:fill="CCEECC"/>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32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CC"/>
              <w:bottom w:val="single" w:sz="8" w:color="CCEECC"/>
            </w:tcBorders>
            <w:vMerge w:val="restart"/>
          </w:tcPr>
          <w:p>
            <w:pPr>
              <w:ind w:left="300"/>
              <w:spacing w:after="0"/>
              <w:rPr>
                <w:sz w:val="20"/>
                <w:szCs w:val="20"/>
                <w:color w:val="auto"/>
              </w:rPr>
            </w:pPr>
            <w:r>
              <w:rPr>
                <w:rFonts w:ascii="Arial" w:cs="Arial" w:eastAsia="Arial" w:hAnsi="Arial"/>
                <w:sz w:val="18"/>
                <w:szCs w:val="18"/>
                <w:color w:val="auto"/>
              </w:rPr>
              <w:t>Cash paid for income taxes</w:t>
            </w: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6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CCEECC"/>
            </w:tcBorders>
            <w:vMerge w:val="continue"/>
          </w:tcPr>
          <w:p>
            <w:pPr>
              <w:spacing w:after="0"/>
              <w:rPr>
                <w:sz w:val="20"/>
                <w:szCs w:val="20"/>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26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 INVESTING</w:t>
            </w:r>
          </w:p>
        </w:tc>
        <w:tc>
          <w:tcPr>
            <w:tcW w:w="80" w:type="dxa"/>
            <w:vAlign w:val="bottom"/>
            <w:shd w:val="clear" w:color="auto" w:fill="CCEECC"/>
          </w:tcPr>
          <w:p>
            <w:pPr>
              <w:spacing w:after="0"/>
              <w:rPr>
                <w:sz w:val="13"/>
                <w:szCs w:val="13"/>
                <w:color w:val="auto"/>
              </w:rPr>
            </w:pPr>
          </w:p>
        </w:tc>
        <w:tc>
          <w:tcPr>
            <w:tcW w:w="320" w:type="dxa"/>
            <w:vAlign w:val="bottom"/>
            <w:shd w:val="clear" w:color="auto" w:fill="CCEECC"/>
          </w:tcPr>
          <w:p>
            <w:pPr>
              <w:spacing w:after="0"/>
              <w:rPr>
                <w:sz w:val="13"/>
                <w:szCs w:val="13"/>
                <w:color w:val="auto"/>
              </w:rPr>
            </w:pPr>
          </w:p>
        </w:tc>
        <w:tc>
          <w:tcPr>
            <w:tcW w:w="1720" w:type="dxa"/>
            <w:vAlign w:val="bottom"/>
            <w:shd w:val="clear" w:color="auto" w:fill="CCEECC"/>
          </w:tcPr>
          <w:p>
            <w:pPr>
              <w:spacing w:after="0"/>
              <w:rPr>
                <w:sz w:val="13"/>
                <w:szCs w:val="13"/>
                <w:color w:val="auto"/>
              </w:rPr>
            </w:pPr>
          </w:p>
        </w:tc>
        <w:tc>
          <w:tcPr>
            <w:tcW w:w="10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300" w:type="dxa"/>
            <w:vAlign w:val="bottom"/>
            <w:shd w:val="clear" w:color="auto" w:fill="CCEECC"/>
          </w:tcPr>
          <w:p>
            <w:pPr>
              <w:spacing w:after="0"/>
              <w:rPr>
                <w:sz w:val="13"/>
                <w:szCs w:val="13"/>
                <w:color w:val="auto"/>
              </w:rPr>
            </w:pPr>
          </w:p>
        </w:tc>
        <w:tc>
          <w:tcPr>
            <w:tcW w:w="172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AND FINANCING ACTIVITIES:</w:t>
            </w:r>
          </w:p>
        </w:tc>
        <w:tc>
          <w:tcPr>
            <w:tcW w:w="80" w:type="dxa"/>
            <w:vAlign w:val="bottom"/>
            <w:shd w:val="clear" w:color="auto" w:fill="CCEECC"/>
          </w:tcPr>
          <w:p>
            <w:pPr>
              <w:spacing w:after="0"/>
              <w:rPr>
                <w:sz w:val="20"/>
                <w:szCs w:val="20"/>
                <w:color w:val="auto"/>
              </w:rPr>
            </w:pPr>
          </w:p>
        </w:tc>
        <w:tc>
          <w:tcPr>
            <w:tcW w:w="32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260" w:type="dxa"/>
            <w:vAlign w:val="bottom"/>
          </w:tcPr>
          <w:p>
            <w:pPr>
              <w:ind w:left="300"/>
              <w:spacing w:after="0"/>
              <w:rPr>
                <w:sz w:val="20"/>
                <w:szCs w:val="20"/>
                <w:color w:val="auto"/>
              </w:rPr>
            </w:pPr>
            <w:r>
              <w:rPr>
                <w:rFonts w:ascii="Arial" w:cs="Arial" w:eastAsia="Arial" w:hAnsi="Arial"/>
                <w:sz w:val="18"/>
                <w:szCs w:val="18"/>
                <w:color w:val="auto"/>
                <w:w w:val="91"/>
              </w:rPr>
              <w:t>Common stock issued to satisfy dividends related to preferred stock</w:t>
            </w: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gridSpan w:val="2"/>
          </w:tcPr>
          <w:p>
            <w:pPr>
              <w:jc w:val="right"/>
              <w:ind w:right="14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Common stock issued for settlement of equity issuance costs</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300" w:type="dxa"/>
            <w:vAlign w:val="bottom"/>
            <w:tcBorders>
              <w:top w:val="single" w:sz="8" w:color="auto"/>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115,000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vMerge w:val="restart"/>
          </w:tcPr>
          <w:p>
            <w:pPr>
              <w:ind w:left="300"/>
              <w:spacing w:after="0"/>
              <w:rPr>
                <w:sz w:val="20"/>
                <w:szCs w:val="20"/>
                <w:color w:val="auto"/>
              </w:rPr>
            </w:pPr>
            <w:r>
              <w:rPr>
                <w:rFonts w:ascii="Arial" w:cs="Arial" w:eastAsia="Arial" w:hAnsi="Arial"/>
                <w:sz w:val="18"/>
                <w:szCs w:val="18"/>
                <w:color w:val="auto"/>
              </w:rPr>
              <w:t>Payable issued for equity issuance costs</w:t>
            </w:r>
          </w:p>
        </w:tc>
        <w:tc>
          <w:tcPr>
            <w:tcW w:w="8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26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57,500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60"/>
          </w:cols>
          <w:pgMar w:left="240" w:top="233" w:right="10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2011.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fair value of cash, accounts receivable, prepaid expenses,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June 30, 2012 and 2011, respectively, since their effect is anti-dilutive.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September 30, 2012 and December 31,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color w:val="auto"/>
              </w:rPr>
              <w:t>2011</w:t>
            </w:r>
          </w:p>
        </w:tc>
        <w:tc>
          <w:tcPr>
            <w:tcW w:w="2000" w:type="dxa"/>
            <w:vAlign w:val="bottom"/>
          </w:tcPr>
          <w:p>
            <w:pPr>
              <w:spacing w:after="0"/>
              <w:rPr>
                <w:sz w:val="20"/>
                <w:szCs w:val="20"/>
                <w:color w:val="auto"/>
              </w:rPr>
            </w:pPr>
          </w:p>
        </w:tc>
      </w:tr>
      <w:tr>
        <w:trPr>
          <w:trHeight w:val="210"/>
        </w:trPr>
        <w:tc>
          <w:tcPr>
            <w:tcW w:w="2000" w:type="dxa"/>
            <w:vAlign w:val="bottom"/>
          </w:tcPr>
          <w:p>
            <w:pPr>
              <w:spacing w:after="0"/>
              <w:rPr>
                <w:sz w:val="18"/>
                <w:szCs w:val="18"/>
                <w:color w:val="auto"/>
              </w:rPr>
            </w:pPr>
          </w:p>
        </w:tc>
        <w:tc>
          <w:tcPr>
            <w:tcW w:w="2660" w:type="dxa"/>
            <w:vAlign w:val="bottom"/>
            <w:tcBorders>
              <w:top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Insurance</w:t>
            </w:r>
          </w:p>
        </w:tc>
        <w:tc>
          <w:tcPr>
            <w:tcW w:w="1420" w:type="dxa"/>
            <w:vAlign w:val="bottom"/>
            <w:tcBorders>
              <w:top w:val="single" w:sz="8" w:color="CCEECC"/>
            </w:tcBorders>
            <w:shd w:val="clear" w:color="auto" w:fill="CCEECC"/>
          </w:tcPr>
          <w:p>
            <w:pPr>
              <w:spacing w:after="0"/>
              <w:rPr>
                <w:sz w:val="18"/>
                <w:szCs w:val="18"/>
                <w:color w:val="auto"/>
              </w:rPr>
            </w:pPr>
          </w:p>
        </w:tc>
        <w:tc>
          <w:tcPr>
            <w:tcW w:w="1040" w:type="dxa"/>
            <w:vAlign w:val="bottom"/>
            <w:tcBorders>
              <w:top w:val="single" w:sz="8" w:color="auto"/>
            </w:tcBorders>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7,257</w:t>
            </w:r>
          </w:p>
        </w:tc>
        <w:tc>
          <w:tcPr>
            <w:tcW w:w="6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5,937</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Website maintenance</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17,500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66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14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5,049</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2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Consulting</w:t>
            </w:r>
          </w:p>
        </w:tc>
        <w:tc>
          <w:tcPr>
            <w:tcW w:w="1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31,627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91,811</w:t>
            </w:r>
          </w:p>
        </w:tc>
        <w:tc>
          <w:tcPr>
            <w:tcW w:w="200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2660" w:type="dxa"/>
            <w:vAlign w:val="bottom"/>
            <w:shd w:val="clear" w:color="auto" w:fill="CCEECC"/>
          </w:tcPr>
          <w:p>
            <w:pPr>
              <w:ind w:left="100"/>
              <w:spacing w:after="0"/>
              <w:rPr>
                <w:sz w:val="20"/>
                <w:szCs w:val="20"/>
                <w:color w:val="auto"/>
              </w:rPr>
            </w:pPr>
            <w:r>
              <w:rPr>
                <w:rFonts w:ascii="Arial" w:cs="Arial" w:eastAsia="Arial" w:hAnsi="Arial"/>
                <w:sz w:val="18"/>
                <w:szCs w:val="18"/>
                <w:color w:val="auto"/>
              </w:rPr>
              <w:t>Employee advances</w:t>
            </w:r>
          </w:p>
        </w:tc>
        <w:tc>
          <w:tcPr>
            <w:tcW w:w="1420" w:type="dxa"/>
            <w:vAlign w:val="bottom"/>
            <w:shd w:val="clear" w:color="auto" w:fill="CCEECC"/>
          </w:tcPr>
          <w:p>
            <w:pPr>
              <w:spacing w:after="0"/>
              <w:rPr>
                <w:sz w:val="18"/>
                <w:szCs w:val="18"/>
                <w:color w:val="auto"/>
              </w:rPr>
            </w:pPr>
          </w:p>
        </w:tc>
        <w:tc>
          <w:tcPr>
            <w:tcW w:w="1040" w:type="dxa"/>
            <w:vAlign w:val="bottom"/>
            <w:shd w:val="clear" w:color="auto" w:fill="CCEECC"/>
          </w:tcPr>
          <w:p>
            <w:pPr>
              <w:spacing w:after="0"/>
              <w:rPr>
                <w:sz w:val="18"/>
                <w:szCs w:val="18"/>
                <w:color w:val="auto"/>
              </w:rPr>
            </w:pPr>
          </w:p>
        </w:tc>
        <w:tc>
          <w:tcPr>
            <w:tcW w:w="6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959</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spacing w:after="0"/>
              <w:rPr>
                <w:sz w:val="18"/>
                <w:szCs w:val="18"/>
                <w:color w:val="auto"/>
              </w:rPr>
            </w:pPr>
          </w:p>
        </w:tc>
        <w:tc>
          <w:tcPr>
            <w:tcW w:w="12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694</w:t>
            </w:r>
          </w:p>
        </w:tc>
        <w:tc>
          <w:tcPr>
            <w:tcW w:w="2000" w:type="dxa"/>
            <w:vAlign w:val="bottom"/>
          </w:tcPr>
          <w:p>
            <w:pPr>
              <w:spacing w:after="0"/>
              <w:rPr>
                <w:sz w:val="18"/>
                <w:szCs w:val="18"/>
                <w:color w:val="auto"/>
              </w:rPr>
            </w:pPr>
          </w:p>
        </w:tc>
      </w:tr>
      <w:tr>
        <w:trPr>
          <w:trHeight w:val="230"/>
        </w:trPr>
        <w:tc>
          <w:tcPr>
            <w:tcW w:w="2000" w:type="dxa"/>
            <w:vAlign w:val="bottom"/>
          </w:tcPr>
          <w:p>
            <w:pPr>
              <w:spacing w:after="0"/>
              <w:rPr>
                <w:sz w:val="19"/>
                <w:szCs w:val="19"/>
                <w:color w:val="auto"/>
              </w:rPr>
            </w:pPr>
          </w:p>
        </w:tc>
        <w:tc>
          <w:tcPr>
            <w:tcW w:w="2660" w:type="dxa"/>
            <w:vAlign w:val="bottom"/>
          </w:tcPr>
          <w:p>
            <w:pPr>
              <w:ind w:left="100"/>
              <w:spacing w:after="0"/>
              <w:rPr>
                <w:sz w:val="20"/>
                <w:szCs w:val="20"/>
                <w:color w:val="auto"/>
              </w:rPr>
            </w:pPr>
            <w:r>
              <w:rPr>
                <w:rFonts w:ascii="Arial" w:cs="Arial" w:eastAsia="Arial" w:hAnsi="Arial"/>
                <w:sz w:val="18"/>
                <w:szCs w:val="18"/>
                <w:color w:val="auto"/>
              </w:rPr>
              <w:t>Advertising</w:t>
            </w:r>
          </w:p>
        </w:tc>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3,090</w:t>
            </w:r>
          </w:p>
        </w:tc>
        <w:tc>
          <w:tcPr>
            <w:tcW w:w="2000" w:type="dxa"/>
            <w:vAlign w:val="bottom"/>
          </w:tcPr>
          <w:p>
            <w:pPr>
              <w:spacing w:after="0"/>
              <w:rPr>
                <w:sz w:val="19"/>
                <w:szCs w:val="19"/>
                <w:color w:val="auto"/>
              </w:rPr>
            </w:pPr>
          </w:p>
        </w:tc>
      </w:tr>
      <w:tr>
        <w:trPr>
          <w:trHeight w:val="223"/>
        </w:trPr>
        <w:tc>
          <w:tcPr>
            <w:tcW w:w="2000" w:type="dxa"/>
            <w:vAlign w:val="bottom"/>
          </w:tcPr>
          <w:p>
            <w:pPr>
              <w:spacing w:after="0"/>
              <w:rPr>
                <w:sz w:val="19"/>
                <w:szCs w:val="19"/>
                <w:color w:val="auto"/>
              </w:rPr>
            </w:pPr>
          </w:p>
        </w:tc>
        <w:tc>
          <w:tcPr>
            <w:tcW w:w="2660" w:type="dxa"/>
            <w:vAlign w:val="bottom"/>
            <w:tcBorders>
              <w:top w:val="single" w:sz="8" w:color="CCEECC"/>
              <w:bottom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Total prepaid expenses</w:t>
            </w:r>
          </w:p>
        </w:tc>
        <w:tc>
          <w:tcPr>
            <w:tcW w:w="1420" w:type="dxa"/>
            <w:vAlign w:val="bottom"/>
            <w:tcBorders>
              <w:top w:val="single" w:sz="8" w:color="CCEECC"/>
              <w:bottom w:val="single" w:sz="8" w:color="CCEECC"/>
            </w:tcBorders>
            <w:shd w:val="clear" w:color="auto" w:fill="CCEECC"/>
          </w:tcPr>
          <w:p>
            <w:pPr>
              <w:spacing w:after="0"/>
              <w:rPr>
                <w:sz w:val="19"/>
                <w:szCs w:val="19"/>
                <w:color w:val="auto"/>
              </w:rPr>
            </w:pPr>
          </w:p>
        </w:tc>
        <w:tc>
          <w:tcPr>
            <w:tcW w:w="1040" w:type="dxa"/>
            <w:vAlign w:val="bottom"/>
            <w:tcBorders>
              <w:top w:val="single" w:sz="8" w:color="auto"/>
              <w:bottom w:val="single" w:sz="8" w:color="auto"/>
            </w:tcBorders>
            <w:shd w:val="clear" w:color="auto" w:fill="CCEECC"/>
          </w:tcPr>
          <w:p>
            <w:pPr>
              <w:jc w:val="right"/>
              <w:ind w:right="8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44,892</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119,032</w:t>
            </w:r>
          </w:p>
        </w:tc>
        <w:tc>
          <w:tcPr>
            <w:tcW w:w="2000" w:type="dxa"/>
            <w:vAlign w:val="bottom"/>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r>
      <w:tr>
        <w:trPr>
          <w:trHeight w:val="413"/>
        </w:trPr>
        <w:tc>
          <w:tcPr>
            <w:tcW w:w="20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2"/>
          </w:tcPr>
          <w:p>
            <w:pPr>
              <w:jc w:val="right"/>
              <w:ind w:right="1190"/>
              <w:spacing w:after="0"/>
              <w:rPr>
                <w:sz w:val="20"/>
                <w:szCs w:val="20"/>
                <w:color w:val="auto"/>
              </w:rPr>
            </w:pPr>
            <w:r>
              <w:rPr>
                <w:rFonts w:ascii="Arial" w:cs="Arial" w:eastAsia="Arial" w:hAnsi="Arial"/>
                <w:sz w:val="18"/>
                <w:szCs w:val="18"/>
                <w:color w:val="auto"/>
              </w:rPr>
              <w:t>F-7</w:t>
            </w: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September 30, 2012 and December 31, 2011:</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5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Computer equipment</w:t>
            </w:r>
          </w:p>
        </w:tc>
        <w:tc>
          <w:tcPr>
            <w:tcW w:w="1020" w:type="dxa"/>
            <w:vAlign w:val="bottom"/>
            <w:shd w:val="clear" w:color="auto" w:fill="CCEECC"/>
          </w:tcPr>
          <w:p>
            <w:pPr>
              <w:jc w:val="right"/>
              <w:ind w:right="83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8"/>
              </w:rPr>
              <w:t>22,360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20,130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10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11,088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Pr>
          <w:p>
            <w:pPr>
              <w:spacing w:after="0"/>
              <w:rPr>
                <w:sz w:val="19"/>
                <w:szCs w:val="19"/>
                <w:color w:val="auto"/>
              </w:rPr>
            </w:pPr>
          </w:p>
        </w:tc>
      </w:tr>
      <w:tr>
        <w:trPr>
          <w:trHeight w:val="210"/>
        </w:trPr>
        <w:tc>
          <w:tcPr>
            <w:tcW w:w="4080" w:type="dxa"/>
            <w:vAlign w:val="bottom"/>
            <w:tcBorders>
              <w:top w:val="single" w:sz="8" w:color="CCEECC"/>
            </w:tcBorders>
            <w:shd w:val="clear" w:color="auto" w:fill="CCEECC"/>
          </w:tcPr>
          <w:p>
            <w:pPr>
              <w:ind w:left="280"/>
              <w:spacing w:after="0"/>
              <w:rPr>
                <w:sz w:val="20"/>
                <w:szCs w:val="20"/>
                <w:color w:val="auto"/>
              </w:rPr>
            </w:pPr>
            <w:r>
              <w:rPr>
                <w:rFonts w:ascii="Arial" w:cs="Arial" w:eastAsia="Arial" w:hAnsi="Arial"/>
                <w:sz w:val="18"/>
                <w:szCs w:val="18"/>
                <w:color w:val="auto"/>
              </w:rPr>
              <w:t>Subtotal</w:t>
            </w:r>
          </w:p>
        </w:tc>
        <w:tc>
          <w:tcPr>
            <w:tcW w:w="1020" w:type="dxa"/>
            <w:vAlign w:val="bottom"/>
            <w:tcBorders>
              <w:top w:val="single" w:sz="8" w:color="auto"/>
            </w:tcBorders>
            <w:shd w:val="clear" w:color="auto" w:fill="CCEECC"/>
          </w:tcPr>
          <w:p>
            <w:pPr>
              <w:spacing w:after="0"/>
              <w:rPr>
                <w:sz w:val="18"/>
                <w:szCs w:val="18"/>
                <w:color w:val="auto"/>
              </w:rPr>
            </w:pPr>
          </w:p>
        </w:tc>
        <w:tc>
          <w:tcPr>
            <w:tcW w:w="56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8"/>
              </w:rPr>
              <w:t>33,448</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38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31,218</w:t>
            </w:r>
          </w:p>
        </w:tc>
        <w:tc>
          <w:tcPr>
            <w:tcW w:w="60" w:type="dxa"/>
            <w:vAlign w:val="bottom"/>
            <w:tcBorders>
              <w:top w:val="single" w:sz="8" w:color="CCEECC"/>
            </w:tcBorders>
            <w:shd w:val="clear" w:color="auto" w:fill="CCEECC"/>
          </w:tcPr>
          <w:p>
            <w:pPr>
              <w:spacing w:after="0"/>
              <w:rPr>
                <w:sz w:val="18"/>
                <w:szCs w:val="18"/>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depreciation</w:t>
            </w:r>
          </w:p>
        </w:tc>
        <w:tc>
          <w:tcPr>
            <w:tcW w:w="10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(11,381)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(7,287)</w:t>
            </w:r>
          </w:p>
        </w:tc>
      </w:tr>
      <w:tr>
        <w:trPr>
          <w:trHeight w:val="223"/>
        </w:trPr>
        <w:tc>
          <w:tcPr>
            <w:tcW w:w="408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Property and equipment, net</w:t>
            </w:r>
          </w:p>
        </w:tc>
        <w:tc>
          <w:tcPr>
            <w:tcW w:w="1020" w:type="dxa"/>
            <w:vAlign w:val="bottom"/>
            <w:tcBorders>
              <w:top w:val="single" w:sz="8" w:color="auto"/>
              <w:bottom w:val="single" w:sz="8" w:color="auto"/>
            </w:tcBorders>
            <w:shd w:val="clear" w:color="auto" w:fill="CCEECC"/>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8"/>
              </w:rPr>
              <w:t>22,067</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23,931</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$4,094 and $1,359 for the nine months ended September 30,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WEBSITE DEVELOPMENT COSTS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developing their website and web-based products, which consisted of the following as of September 30,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OptimizeRx web development</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154,133</w:t>
            </w:r>
          </w:p>
        </w:tc>
        <w:tc>
          <w:tcPr>
            <w:tcW w:w="40" w:type="dxa"/>
            <w:vAlign w:val="bottom"/>
            <w:shd w:val="clear" w:color="auto" w:fill="CCEECC"/>
          </w:tcPr>
          <w:p>
            <w:pPr>
              <w:spacing w:after="0"/>
              <w:rPr>
                <w:sz w:val="18"/>
                <w:szCs w:val="18"/>
                <w:color w:val="auto"/>
              </w:rPr>
            </w:pP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SampleMD web development</w:t>
            </w:r>
          </w:p>
        </w:tc>
        <w:tc>
          <w:tcPr>
            <w:tcW w:w="36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553,877</w:t>
            </w:r>
          </w:p>
        </w:tc>
        <w:tc>
          <w:tcPr>
            <w:tcW w:w="40" w:type="dxa"/>
            <w:vAlign w:val="bottom"/>
          </w:tcPr>
          <w:p>
            <w:pPr>
              <w:spacing w:after="0"/>
              <w:rPr>
                <w:sz w:val="19"/>
                <w:szCs w:val="19"/>
                <w:color w:val="auto"/>
              </w:rPr>
            </w:pPr>
          </w:p>
        </w:tc>
      </w:tr>
      <w:tr>
        <w:trPr>
          <w:trHeight w:val="210"/>
        </w:trPr>
        <w:tc>
          <w:tcPr>
            <w:tcW w:w="4080" w:type="dxa"/>
            <w:vAlign w:val="bottom"/>
            <w:tcBorders>
              <w:top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Subtotal, web development costs</w:t>
            </w:r>
          </w:p>
        </w:tc>
        <w:tc>
          <w:tcPr>
            <w:tcW w:w="360" w:type="dxa"/>
            <w:vAlign w:val="bottom"/>
            <w:tcBorders>
              <w:top w:val="single" w:sz="8" w:color="auto"/>
            </w:tcBorders>
            <w:shd w:val="clear" w:color="auto" w:fill="CCEECC"/>
          </w:tcPr>
          <w:p>
            <w:pPr>
              <w:spacing w:after="0"/>
              <w:rPr>
                <w:sz w:val="18"/>
                <w:szCs w:val="18"/>
                <w:color w:val="auto"/>
              </w:rPr>
            </w:pPr>
          </w:p>
        </w:tc>
        <w:tc>
          <w:tcPr>
            <w:tcW w:w="12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360" w:type="dxa"/>
            <w:vAlign w:val="bottom"/>
            <w:tcBorders>
              <w:top w:val="single" w:sz="8" w:color="auto"/>
            </w:tcBorders>
            <w:shd w:val="clear" w:color="auto" w:fill="CCEECC"/>
          </w:tcPr>
          <w:p>
            <w:pPr>
              <w:spacing w:after="0"/>
              <w:rPr>
                <w:sz w:val="18"/>
                <w:szCs w:val="18"/>
                <w:color w:val="auto"/>
              </w:rPr>
            </w:pPr>
          </w:p>
        </w:tc>
        <w:tc>
          <w:tcPr>
            <w:tcW w:w="12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708,010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(278,393)</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(183,429)</w:t>
            </w:r>
          </w:p>
        </w:tc>
      </w:tr>
      <w:tr>
        <w:trPr>
          <w:trHeight w:val="23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Impairment</w:t>
            </w:r>
          </w:p>
        </w:tc>
        <w:tc>
          <w:tcPr>
            <w:tcW w:w="360" w:type="dxa"/>
            <w:vAlign w:val="bottom"/>
            <w:shd w:val="clear" w:color="auto" w:fill="CCEECC"/>
          </w:tcPr>
          <w:p>
            <w:pPr>
              <w:spacing w:after="0"/>
              <w:rPr>
                <w:sz w:val="19"/>
                <w:szCs w:val="19"/>
                <w:color w:val="auto"/>
              </w:rPr>
            </w:pPr>
          </w:p>
        </w:tc>
        <w:tc>
          <w:tcPr>
            <w:tcW w:w="12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(59,083)</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60" w:type="dxa"/>
            <w:vAlign w:val="bottom"/>
            <w:shd w:val="clear" w:color="auto" w:fill="CCEECC"/>
          </w:tcPr>
          <w:p>
            <w:pPr>
              <w:spacing w:after="0"/>
              <w:rPr>
                <w:sz w:val="19"/>
                <w:szCs w:val="19"/>
                <w:color w:val="auto"/>
              </w:rPr>
            </w:pPr>
          </w:p>
        </w:tc>
        <w:tc>
          <w:tcPr>
            <w:tcW w:w="126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4080" w:type="dxa"/>
            <w:vAlign w:val="bottom"/>
          </w:tcPr>
          <w:p>
            <w:pPr>
              <w:ind w:left="240"/>
              <w:spacing w:after="0"/>
              <w:rPr>
                <w:sz w:val="20"/>
                <w:szCs w:val="20"/>
                <w:color w:val="auto"/>
              </w:rPr>
            </w:pPr>
            <w:r>
              <w:rPr>
                <w:rFonts w:ascii="Arial" w:cs="Arial" w:eastAsia="Arial" w:hAnsi="Arial"/>
                <w:sz w:val="18"/>
                <w:szCs w:val="18"/>
                <w:color w:val="auto"/>
              </w:rPr>
              <w:t>Web development costs,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419,174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465,498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began amortizing the OptimizeRx website costs, using the straight-line method over the estimated useful life of 5 years, once it was put into service in December of 2007. During the year ended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and enhancements have been capitalized and amortization was started by quarter in 2011 and continues in 2012. The Company determined that the original OptimizeRx website was no longer useful so the remaining unamortized balance of $59,083 was impaired as of December 31, 2010.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$94,964 and $47,761 for the nine months ended September 30,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RIGHTS AND INTANGIBLE ASSETS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the SampleMD patent, which consisted of the following as of September 30, 2012 and December 31, 2011:</w:t>
      </w:r>
    </w:p>
    <w:p>
      <w:pPr>
        <w:spacing w:after="0" w:line="262"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Patent rights and intangible assets</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380" w:type="dxa"/>
            <w:vAlign w:val="bottom"/>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930,000</w:t>
            </w:r>
          </w:p>
        </w:tc>
      </w:tr>
      <w:tr>
        <w:trPr>
          <w:trHeight w:val="230"/>
        </w:trPr>
        <w:tc>
          <w:tcPr>
            <w:tcW w:w="4080" w:type="dxa"/>
            <w:vAlign w:val="bottom"/>
          </w:tcPr>
          <w:p>
            <w:pPr>
              <w:ind w:left="100"/>
              <w:spacing w:after="0"/>
              <w:rPr>
                <w:sz w:val="20"/>
                <w:szCs w:val="20"/>
                <w:color w:val="auto"/>
              </w:rPr>
            </w:pPr>
            <w:r>
              <w:rPr>
                <w:rFonts w:ascii="Arial" w:cs="Arial" w:eastAsia="Arial" w:hAnsi="Arial"/>
                <w:sz w:val="18"/>
                <w:szCs w:val="18"/>
                <w:color w:val="auto"/>
              </w:rPr>
              <w:t>Accumulated amortization</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(123,088)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(82,059)</w:t>
            </w:r>
          </w:p>
        </w:tc>
      </w:tr>
      <w:tr>
        <w:trPr>
          <w:trHeight w:val="223"/>
        </w:trPr>
        <w:tc>
          <w:tcPr>
            <w:tcW w:w="408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Patent rights and intangible assets, net</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806,912</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847,941</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$41,029 and $41,029 for the nine months ended September 30, 2012 and 2011,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as of September 30, 2012 and December 31, 2011:</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tcBorders>
              <w:bottom w:val="single" w:sz="8" w:color="CCEECC"/>
            </w:tcBorders>
          </w:tcPr>
          <w:p>
            <w:pPr>
              <w:spacing w:after="0"/>
              <w:rPr>
                <w:sz w:val="20"/>
                <w:szCs w:val="20"/>
                <w:color w:val="auto"/>
              </w:rPr>
            </w:pPr>
          </w:p>
        </w:tc>
        <w:tc>
          <w:tcPr>
            <w:tcW w:w="12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2012</w:t>
            </w: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r>
      <w:tr>
        <w:trPr>
          <w:trHeight w:val="21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Accrued payroll taxes</w:t>
            </w:r>
          </w:p>
        </w:tc>
        <w:tc>
          <w:tcPr>
            <w:tcW w:w="1240" w:type="dxa"/>
            <w:vAlign w:val="bottom"/>
            <w:shd w:val="clear" w:color="auto" w:fill="CCEECC"/>
          </w:tcPr>
          <w:p>
            <w:pPr>
              <w:jc w:val="right"/>
              <w:ind w:right="105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r>
      <w:tr>
        <w:trPr>
          <w:trHeight w:val="216"/>
        </w:trPr>
        <w:tc>
          <w:tcPr>
            <w:tcW w:w="4080" w:type="dxa"/>
            <w:vAlign w:val="bottom"/>
          </w:tcPr>
          <w:p>
            <w:pPr>
              <w:ind w:left="100"/>
              <w:spacing w:after="0"/>
              <w:rPr>
                <w:sz w:val="20"/>
                <w:szCs w:val="20"/>
                <w:color w:val="auto"/>
              </w:rPr>
            </w:pPr>
            <w:r>
              <w:rPr>
                <w:rFonts w:ascii="Arial" w:cs="Arial" w:eastAsia="Arial" w:hAnsi="Arial"/>
                <w:sz w:val="18"/>
                <w:szCs w:val="18"/>
                <w:color w:val="auto"/>
              </w:rPr>
              <w:t>Accrued bonuses</w:t>
            </w:r>
          </w:p>
        </w:tc>
        <w:tc>
          <w:tcPr>
            <w:tcW w:w="12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40" w:type="dxa"/>
            <w:vAlign w:val="bottom"/>
          </w:tcPr>
          <w:p>
            <w:pPr>
              <w:spacing w:after="0"/>
              <w:rPr>
                <w:sz w:val="18"/>
                <w:szCs w:val="18"/>
                <w:color w:val="auto"/>
              </w:rPr>
            </w:pPr>
          </w:p>
        </w:tc>
      </w:tr>
      <w:tr>
        <w:trPr>
          <w:trHeight w:val="230"/>
        </w:trPr>
        <w:tc>
          <w:tcPr>
            <w:tcW w:w="408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Accrued audit fees</w:t>
            </w:r>
          </w:p>
        </w:tc>
        <w:tc>
          <w:tcPr>
            <w:tcW w:w="1240" w:type="dxa"/>
            <w:vAlign w:val="bottom"/>
            <w:shd w:val="clear" w:color="auto" w:fill="CCEECC"/>
          </w:tcPr>
          <w:p>
            <w:pPr>
              <w:spacing w:after="0"/>
              <w:rPr>
                <w:sz w:val="19"/>
                <w:szCs w:val="19"/>
                <w:color w:val="auto"/>
              </w:rPr>
            </w:pPr>
          </w:p>
        </w:tc>
        <w:tc>
          <w:tcPr>
            <w:tcW w:w="4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60" w:type="dxa"/>
            <w:vAlign w:val="bottom"/>
            <w:shd w:val="clear" w:color="auto" w:fill="CCEECC"/>
          </w:tcPr>
          <w:p>
            <w:pPr>
              <w:spacing w:after="0"/>
              <w:rPr>
                <w:sz w:val="19"/>
                <w:szCs w:val="19"/>
                <w:color w:val="auto"/>
              </w:rPr>
            </w:pPr>
          </w:p>
        </w:tc>
        <w:tc>
          <w:tcPr>
            <w:tcW w:w="12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w:t>
            </w:r>
          </w:p>
        </w:tc>
        <w:tc>
          <w:tcPr>
            <w:tcW w:w="40" w:type="dxa"/>
            <w:vAlign w:val="bottom"/>
            <w:shd w:val="clear" w:color="auto" w:fill="CCEECC"/>
          </w:tcPr>
          <w:p>
            <w:pPr>
              <w:spacing w:after="0"/>
              <w:rPr>
                <w:sz w:val="19"/>
                <w:szCs w:val="19"/>
                <w:color w:val="auto"/>
              </w:rPr>
            </w:pPr>
          </w:p>
        </w:tc>
      </w:tr>
      <w:tr>
        <w:trPr>
          <w:trHeight w:val="223"/>
        </w:trPr>
        <w:tc>
          <w:tcPr>
            <w:tcW w:w="4080" w:type="dxa"/>
            <w:vAlign w:val="bottom"/>
          </w:tcPr>
          <w:p>
            <w:pPr>
              <w:ind w:left="140"/>
              <w:spacing w:after="0"/>
              <w:rPr>
                <w:sz w:val="20"/>
                <w:szCs w:val="20"/>
                <w:color w:val="auto"/>
              </w:rPr>
            </w:pPr>
            <w:r>
              <w:rPr>
                <w:rFonts w:ascii="Arial" w:cs="Arial" w:eastAsia="Arial" w:hAnsi="Arial"/>
                <w:sz w:val="18"/>
                <w:szCs w:val="18"/>
                <w:color w:val="auto"/>
              </w:rPr>
              <w:t>Total accrued expenses</w:t>
            </w:r>
          </w:p>
        </w:tc>
        <w:tc>
          <w:tcPr>
            <w:tcW w:w="1240" w:type="dxa"/>
            <w:vAlign w:val="bottom"/>
            <w:tcBorders>
              <w:top w:val="single" w:sz="8" w:color="auto"/>
              <w:bottom w:val="single" w:sz="8" w:color="auto"/>
            </w:tcBorders>
          </w:tcPr>
          <w:p>
            <w:pPr>
              <w:jc w:val="right"/>
              <w:ind w:right="105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Additionally, customer setup contracts that have been paid in full are deferred until the Company has completed the obligations of the contacts. Deferred revenue was $311,774 and $330,605 as of September 30, 2012 and December 31, 2011,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9 – NOTE PAYABLE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was being amortized over the life of the loan using the straight-line method and charged to interest expense.</w:t>
      </w:r>
    </w:p>
    <w:p>
      <w:pPr>
        <w:spacing w:after="0" w:line="1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16, 2011, the Company entered into a Termination Agreement, in conjunction with a Securities Purchase Agreement with another investor. Under the Termination Agreement, the Company paid off the $1,000,000 promissory note, plus all accrued interest to date. Upon payment of the note, the contingent stock warrants obligation was terminated and the remaining debt discount from the warrant valuation was expensed. See Note 12.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 has 500,000,000 shares of $.001 par value common stock authorized as of September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14,232,496 and 14,192,496 common shares issued and outstanding at September 30, 2012 and December 31, 2011, respectively.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2011, the Company entered into a settlement agreement with Midtown Partners. Under the settlement agreement, the Company will pay Midtown Partners $57,500 and grant 100,000 shares of its common stock. The cost of the settlement has been recorded as equity issuance costs. As a result of the settlement, the litigation in the Eastern District of Michigan was dismissed.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2011, the Company issued 475,820 shares of common stock to satisfy $500,000 of preferred dividends. The Company has not declared any dividends in 2012.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agrees to issue an additional 40,000 shares every six months in alignment with the agreement renewal up to the two years of the agreement. The first 40,000 shares were valued at the Company’s common stock price as of the date of the contract, which was $1.12/share. Four months of the first period of the contract have been expensed, with the remaining two months recorded as prepaid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1,500,000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year ended September December 31, 2011.</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$83,992 during the year ended December 31, 2011.</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was recognized over the first five months of 2012.</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there was a warrant issued to purchase 1,000,000 shares of common stock at an exercise price of $3 for a period of seven years. In addition, 15 preferred shares were issued to an investor for $1,500,000. The 15 shares are convertible to 1,500,000 shares of common stock and bear a 10% cumulative dividend. Based on the fair values of the preferred stock and common stock warrants on the issue date, $855,460 was allocated to preferred stock and $644,540 was allocated to the common stock warrants. See Note 11.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during the year ended December 31, 2011 and $14,454 during the nine months ended September 30, 2012. The remaining balance will be recognized over the current year.</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$8,346 during the year ended December 31, 2011 and $75,117 during the nine months ended September 30, 2012. The remaining balance will be recognized over the current year.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gridSpan w:val="2"/>
          </w:tcPr>
          <w:p>
            <w:pPr>
              <w:spacing w:after="0"/>
              <w:rPr>
                <w:sz w:val="20"/>
                <w:szCs w:val="20"/>
                <w:color w:val="auto"/>
              </w:rPr>
            </w:pPr>
            <w:r>
              <w:rPr>
                <w:rFonts w:ascii="Arial" w:cs="Arial" w:eastAsia="Arial" w:hAnsi="Arial"/>
                <w:sz w:val="18"/>
                <w:szCs w:val="18"/>
                <w:color w:val="auto"/>
              </w:rPr>
              <w:t>Minimum annual rent is as follows for the initial term of the lease:</w:t>
            </w: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0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4900" w:type="dxa"/>
            <w:vAlign w:val="bottom"/>
            <w:shd w:val="clear" w:color="auto" w:fill="CCEECC"/>
          </w:tcPr>
          <w:p>
            <w:pPr>
              <w:ind w:left="120"/>
              <w:spacing w:after="0"/>
              <w:rPr>
                <w:sz w:val="20"/>
                <w:szCs w:val="20"/>
                <w:color w:val="auto"/>
              </w:rPr>
            </w:pPr>
            <w:r>
              <w:rPr>
                <w:rFonts w:ascii="Arial" w:cs="Arial" w:eastAsia="Arial" w:hAnsi="Arial"/>
                <w:sz w:val="18"/>
                <w:szCs w:val="18"/>
                <w:color w:val="auto"/>
              </w:rPr>
              <w:t>Year ended December 31, 2012</w:t>
            </w:r>
          </w:p>
        </w:tc>
        <w:tc>
          <w:tcPr>
            <w:tcW w:w="1060" w:type="dxa"/>
            <w:vAlign w:val="bottom"/>
            <w:gridSpan w:val="2"/>
            <w:shd w:val="clear" w:color="auto" w:fill="CCEECC"/>
          </w:tcPr>
          <w:p>
            <w:pPr>
              <w:jc w:val="right"/>
              <w:ind w:right="73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60,591</w:t>
            </w:r>
          </w:p>
        </w:tc>
      </w:tr>
      <w:tr>
        <w:trPr>
          <w:trHeight w:val="216"/>
        </w:trPr>
        <w:tc>
          <w:tcPr>
            <w:tcW w:w="2000" w:type="dxa"/>
            <w:vAlign w:val="bottom"/>
          </w:tcPr>
          <w:p>
            <w:pPr>
              <w:spacing w:after="0"/>
              <w:rPr>
                <w:sz w:val="18"/>
                <w:szCs w:val="18"/>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60,591</w:t>
            </w:r>
          </w:p>
        </w:tc>
      </w:tr>
      <w:tr>
        <w:trPr>
          <w:trHeight w:val="216"/>
        </w:trPr>
        <w:tc>
          <w:tcPr>
            <w:tcW w:w="2000" w:type="dxa"/>
            <w:vAlign w:val="bottom"/>
          </w:tcPr>
          <w:p>
            <w:pPr>
              <w:spacing w:after="0"/>
              <w:rPr>
                <w:sz w:val="18"/>
                <w:szCs w:val="18"/>
                <w:color w:val="auto"/>
              </w:rPr>
            </w:pPr>
          </w:p>
        </w:tc>
        <w:tc>
          <w:tcPr>
            <w:tcW w:w="4900" w:type="dxa"/>
            <w:vAlign w:val="bottom"/>
            <w:shd w:val="clear" w:color="auto" w:fill="CCEECC"/>
          </w:tcPr>
          <w:p>
            <w:pPr>
              <w:ind w:left="80"/>
              <w:spacing w:after="0"/>
              <w:rPr>
                <w:sz w:val="20"/>
                <w:szCs w:val="20"/>
                <w:color w:val="auto"/>
              </w:rPr>
            </w:pPr>
            <w:r>
              <w:rPr>
                <w:rFonts w:ascii="Arial" w:cs="Arial" w:eastAsia="Arial" w:hAnsi="Arial"/>
                <w:sz w:val="18"/>
                <w:szCs w:val="18"/>
                <w:color w:val="auto"/>
              </w:rPr>
              <w:t>2014</w:t>
            </w:r>
          </w:p>
        </w:tc>
        <w:tc>
          <w:tcPr>
            <w:tcW w:w="14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55,542</w:t>
            </w:r>
          </w:p>
        </w:tc>
      </w:tr>
      <w:tr>
        <w:trPr>
          <w:trHeight w:val="230"/>
        </w:trPr>
        <w:tc>
          <w:tcPr>
            <w:tcW w:w="2000" w:type="dxa"/>
            <w:vAlign w:val="bottom"/>
          </w:tcPr>
          <w:p>
            <w:pPr>
              <w:spacing w:after="0"/>
              <w:rPr>
                <w:sz w:val="19"/>
                <w:szCs w:val="19"/>
                <w:color w:val="auto"/>
              </w:rPr>
            </w:pPr>
          </w:p>
        </w:tc>
        <w:tc>
          <w:tcPr>
            <w:tcW w:w="4900" w:type="dxa"/>
            <w:vAlign w:val="bottom"/>
          </w:tcPr>
          <w:p>
            <w:pPr>
              <w:ind w:left="8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00" w:type="dxa"/>
            <w:vAlign w:val="bottom"/>
          </w:tcPr>
          <w:p>
            <w:pPr>
              <w:spacing w:after="0"/>
              <w:rPr>
                <w:sz w:val="19"/>
                <w:szCs w:val="19"/>
                <w:color w:val="auto"/>
              </w:rPr>
            </w:pPr>
          </w:p>
        </w:tc>
        <w:tc>
          <w:tcPr>
            <w:tcW w:w="4900" w:type="dxa"/>
            <w:vAlign w:val="bottom"/>
            <w:tcBorders>
              <w:top w:val="single" w:sz="8" w:color="auto"/>
              <w:bottom w:val="single" w:sz="8" w:color="auto"/>
            </w:tcBorders>
            <w:shd w:val="clear" w:color="auto" w:fill="CCEECC"/>
          </w:tcPr>
          <w:p>
            <w:pPr>
              <w:ind w:left="80"/>
              <w:spacing w:after="0"/>
              <w:rPr>
                <w:sz w:val="20"/>
                <w:szCs w:val="20"/>
                <w:color w:val="auto"/>
              </w:rPr>
            </w:pPr>
            <w:r>
              <w:rPr>
                <w:rFonts w:ascii="Arial" w:cs="Arial" w:eastAsia="Arial" w:hAnsi="Arial"/>
                <w:sz w:val="18"/>
                <w:szCs w:val="18"/>
                <w:color w:val="auto"/>
              </w:rPr>
              <w:t>Total lease commitment</w:t>
            </w: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920" w:type="dxa"/>
            <w:vAlign w:val="bottom"/>
            <w:tcBorders>
              <w:top w:val="single" w:sz="8" w:color="auto"/>
              <w:bottom w:val="single" w:sz="8" w:color="auto"/>
            </w:tcBorders>
            <w:shd w:val="clear" w:color="auto" w:fill="CCEECC"/>
          </w:tcPr>
          <w:p>
            <w:pPr>
              <w:jc w:val="right"/>
              <w:ind w:right="7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176,724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00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MAJOR CUSTOMERS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had two major customers that accounted for 50% and one major customer that accounted for 50% of the Company’s revenues for the nine months ended September 30, 2012 and 2011,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16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nine months ended September 30, 2012, the Company incurred a net loss of approximately $483,000 and therefore has no tax liability. The Company began operations in 2007 and has previous net operating loss carry-forwards of $13,479,000 through December 31, 2011. The cumulative loss of $13,856,000 will be carried forward and can be used through the year 2032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nine months ended September 30, 2012 and 2011:</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vMerge w:val="restart"/>
          </w:tcPr>
          <w:p>
            <w:pPr>
              <w:spacing w:after="0"/>
              <w:rPr>
                <w:sz w:val="20"/>
                <w:szCs w:val="20"/>
                <w:color w:val="auto"/>
              </w:rPr>
            </w:pPr>
            <w:r>
              <w:rPr>
                <w:rFonts w:ascii="Arial" w:cs="Arial" w:eastAsia="Arial" w:hAnsi="Arial"/>
                <w:sz w:val="18"/>
                <w:szCs w:val="18"/>
                <w:color w:val="auto"/>
              </w:rPr>
              <w:t>Federal income tax benefit attributable to: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CC"/>
          </w:tcPr>
          <w:p>
            <w:pPr>
              <w:ind w:left="60"/>
              <w:spacing w:after="0"/>
              <w:rPr>
                <w:sz w:val="20"/>
                <w:szCs w:val="20"/>
                <w:color w:val="auto"/>
              </w:rPr>
            </w:pPr>
            <w:r>
              <w:rPr>
                <w:rFonts w:ascii="Arial" w:cs="Arial" w:eastAsia="Arial" w:hAnsi="Arial"/>
                <w:sz w:val="18"/>
                <w:szCs w:val="18"/>
                <w:color w:val="auto"/>
              </w:rPr>
              <w:t>Current operations</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164,000</w:t>
            </w:r>
          </w:p>
        </w:tc>
        <w:tc>
          <w:tcPr>
            <w:tcW w:w="44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689,000</w:t>
            </w:r>
          </w:p>
        </w:tc>
        <w:tc>
          <w:tcPr>
            <w:tcW w:w="0" w:type="dxa"/>
            <w:vAlign w:val="bottom"/>
          </w:tcPr>
          <w:p>
            <w:pPr>
              <w:spacing w:after="0"/>
              <w:rPr>
                <w:sz w:val="1"/>
                <w:szCs w:val="1"/>
                <w:color w:val="auto"/>
              </w:rPr>
            </w:pPr>
          </w:p>
        </w:tc>
      </w:tr>
      <w:tr>
        <w:trPr>
          <w:trHeight w:val="230"/>
        </w:trPr>
        <w:tc>
          <w:tcPr>
            <w:tcW w:w="40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(164,000)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(689,000)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Net provision for federal income tax</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tax effect at the expected rate of 34% of significant items comprising our net deferred tax amount is as follows as of September 30, 2012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w:t>
      </w:r>
    </w:p>
    <w:p>
      <w:pPr>
        <w:spacing w:after="0" w:line="224" w:lineRule="exact"/>
        <w:rPr>
          <w:sz w:val="20"/>
          <w:szCs w:val="20"/>
          <w:color w:val="auto"/>
        </w:rPr>
      </w:pPr>
    </w:p>
    <w:tbl>
      <w:tblPr>
        <w:tblLayout w:type="fixed"/>
        <w:tblInd w:w="2000" w:type="dxa"/>
        <w:tblCellMar>
          <w:top w:w="0" w:type="dxa"/>
          <w:left w:w="0" w:type="dxa"/>
          <w:bottom w:w="0" w:type="dxa"/>
          <w:right w:w="0" w:type="dxa"/>
        </w:tblCellMar>
      </w:tblPr>
      <w:tr>
        <w:trPr>
          <w:trHeight w:val="230"/>
        </w:trPr>
        <w:tc>
          <w:tcPr>
            <w:tcW w:w="4080" w:type="dxa"/>
            <w:vAlign w:val="bottom"/>
            <w:vMerge w:val="restart"/>
          </w:tcPr>
          <w:p>
            <w:pPr>
              <w:spacing w:after="0"/>
              <w:rPr>
                <w:sz w:val="20"/>
                <w:szCs w:val="20"/>
                <w:color w:val="auto"/>
              </w:rPr>
            </w:pPr>
            <w:r>
              <w:rPr>
                <w:rFonts w:ascii="Arial" w:cs="Arial" w:eastAsia="Arial" w:hAnsi="Arial"/>
                <w:sz w:val="18"/>
                <w:szCs w:val="18"/>
                <w:color w:val="auto"/>
              </w:rPr>
              <w:t>Deferred tax asset attributable to:</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2011</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CC"/>
          </w:tcPr>
          <w:p>
            <w:pPr>
              <w:ind w:left="60"/>
              <w:spacing w:after="0"/>
              <w:rPr>
                <w:sz w:val="20"/>
                <w:szCs w:val="20"/>
                <w:color w:val="auto"/>
              </w:rPr>
            </w:pPr>
            <w:r>
              <w:rPr>
                <w:rFonts w:ascii="Arial" w:cs="Arial" w:eastAsia="Arial" w:hAnsi="Arial"/>
                <w:sz w:val="18"/>
                <w:szCs w:val="18"/>
                <w:color w:val="auto"/>
              </w:rPr>
              <w:t>Net operating loss carryover</w:t>
            </w:r>
          </w:p>
        </w:tc>
        <w:tc>
          <w:tcPr>
            <w:tcW w:w="360" w:type="dxa"/>
            <w:vAlign w:val="bottom"/>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4,747,000</w:t>
            </w:r>
          </w:p>
        </w:tc>
        <w:tc>
          <w:tcPr>
            <w:tcW w:w="440" w:type="dxa"/>
            <w:vAlign w:val="bottom"/>
            <w:gridSpan w:val="2"/>
            <w:shd w:val="clear" w:color="auto" w:fill="CCEECC"/>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4,583,000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6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(4,747,000)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(4,583,000)</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bottom w:val="single" w:sz="8" w:color="auto"/>
            </w:tcBorders>
            <w:shd w:val="clear" w:color="auto" w:fill="CCEEC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380" w:type="dxa"/>
            <w:vAlign w:val="bottom"/>
            <w:tcBorders>
              <w:top w:val="single" w:sz="8" w:color="auto"/>
              <w:bottom w:val="single" w:sz="8" w:color="auto"/>
            </w:tcBorders>
            <w:shd w:val="clear" w:color="auto" w:fill="CCEEC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$13,856,000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and nine months ended September 30, 2012 and 2011,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20" w:type="dxa"/>
            <w:vAlign w:val="bottom"/>
            <w:gridSpan w:val="6"/>
          </w:tcPr>
          <w:p>
            <w:pPr>
              <w:jc w:val="right"/>
              <w:ind w:right="1280"/>
              <w:spacing w:after="0"/>
              <w:rPr>
                <w:sz w:val="20"/>
                <w:szCs w:val="20"/>
                <w:color w:val="auto"/>
              </w:rPr>
            </w:pPr>
            <w:r>
              <w:rPr>
                <w:rFonts w:ascii="Arial" w:cs="Arial" w:eastAsia="Arial" w:hAnsi="Arial"/>
                <w:sz w:val="18"/>
                <w:szCs w:val="18"/>
                <w:color w:val="auto"/>
                <w:w w:val="91"/>
              </w:rPr>
              <w:t>Three months ended</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500" w:type="dxa"/>
            <w:vAlign w:val="bottom"/>
            <w:gridSpan w:val="6"/>
          </w:tcPr>
          <w:p>
            <w:pPr>
              <w:ind w:left="82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gridSpan w:val="4"/>
          </w:tcPr>
          <w:p>
            <w:pPr>
              <w:jc w:val="right"/>
              <w:ind w:right="25"/>
              <w:spacing w:after="0"/>
              <w:rPr>
                <w:sz w:val="20"/>
                <w:szCs w:val="20"/>
                <w:color w:val="auto"/>
              </w:rPr>
            </w:pPr>
            <w:r>
              <w:rPr>
                <w:rFonts w:ascii="Arial" w:cs="Arial" w:eastAsia="Arial" w:hAnsi="Arial"/>
                <w:sz w:val="18"/>
                <w:szCs w:val="18"/>
                <w:color w:val="auto"/>
              </w:rPr>
              <w:t>September 30,</w:t>
            </w:r>
          </w:p>
        </w:tc>
        <w:tc>
          <w:tcPr>
            <w:tcW w:w="1280" w:type="dxa"/>
            <w:vAlign w:val="bottom"/>
            <w:vMerge w:val="restart"/>
          </w:tcPr>
          <w:p>
            <w:pPr>
              <w:jc w:val="right"/>
              <w:ind w:right="610"/>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12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1280" w:type="dxa"/>
            <w:vAlign w:val="bottom"/>
            <w:vMerge w:val="restart"/>
          </w:tcPr>
          <w:p>
            <w:pPr>
              <w:jc w:val="right"/>
              <w:ind w:right="6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CC"/>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CCEEC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640"/>
              <w:spacing w:after="0"/>
              <w:rPr>
                <w:sz w:val="20"/>
                <w:szCs w:val="20"/>
                <w:color w:val="auto"/>
              </w:rPr>
            </w:pPr>
            <w:r>
              <w:rPr>
                <w:rFonts w:ascii="Arial" w:cs="Arial" w:eastAsia="Arial" w:hAnsi="Arial"/>
                <w:sz w:val="18"/>
                <w:szCs w:val="18"/>
                <w:color w:val="auto"/>
                <w:w w:val="96"/>
              </w:rPr>
              <w:t>(restated)</w:t>
            </w:r>
          </w:p>
        </w:tc>
        <w:tc>
          <w:tcPr>
            <w:tcW w:w="120" w:type="dxa"/>
            <w:vAlign w:val="bottom"/>
            <w:tcBorders>
              <w:bottom w:val="single" w:sz="8" w:color="CCEECC"/>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(restated)</w:t>
            </w:r>
          </w:p>
        </w:tc>
        <w:tc>
          <w:tcPr>
            <w:tcW w:w="0" w:type="dxa"/>
            <w:vAlign w:val="bottom"/>
          </w:tcPr>
          <w:p>
            <w:pPr>
              <w:spacing w:after="0"/>
              <w:rPr>
                <w:sz w:val="1"/>
                <w:szCs w:val="1"/>
                <w:color w:val="auto"/>
              </w:rPr>
            </w:pPr>
          </w:p>
        </w:tc>
      </w:tr>
      <w:tr>
        <w:trPr>
          <w:trHeight w:val="210"/>
        </w:trPr>
        <w:tc>
          <w:tcPr>
            <w:tcW w:w="33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Advertising</w:t>
            </w:r>
          </w:p>
        </w:tc>
        <w:tc>
          <w:tcPr>
            <w:tcW w:w="1200" w:type="dxa"/>
            <w:vAlign w:val="bottom"/>
            <w:shd w:val="clear" w:color="auto" w:fill="CCEECC"/>
          </w:tcPr>
          <w:p>
            <w:pPr>
              <w:jc w:val="right"/>
              <w:ind w:right="1040"/>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1,167</w:t>
            </w:r>
          </w:p>
        </w:tc>
        <w:tc>
          <w:tcPr>
            <w:tcW w:w="140" w:type="dxa"/>
            <w:vAlign w:val="bottom"/>
            <w:shd w:val="clear" w:color="auto" w:fill="CCEECC"/>
          </w:tcPr>
          <w:p>
            <w:pPr>
              <w:spacing w:after="0"/>
              <w:rPr>
                <w:sz w:val="18"/>
                <w:szCs w:val="18"/>
                <w:color w:val="auto"/>
              </w:rPr>
            </w:pPr>
          </w:p>
        </w:tc>
        <w:tc>
          <w:tcPr>
            <w:tcW w:w="540" w:type="dxa"/>
            <w:vAlign w:val="bottom"/>
            <w:shd w:val="clear" w:color="auto" w:fill="CCEECC"/>
          </w:tcPr>
          <w:p>
            <w:pPr>
              <w:jc w:val="right"/>
              <w:ind w:right="3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149,386</w:t>
            </w:r>
          </w:p>
        </w:tc>
        <w:tc>
          <w:tcPr>
            <w:tcW w:w="120" w:type="dxa"/>
            <w:vAlign w:val="bottom"/>
            <w:shd w:val="clear" w:color="auto" w:fill="CCEECC"/>
          </w:tcPr>
          <w:p>
            <w:pPr>
              <w:spacing w:after="0"/>
              <w:rPr>
                <w:sz w:val="18"/>
                <w:szCs w:val="18"/>
                <w:color w:val="auto"/>
              </w:rPr>
            </w:pPr>
          </w:p>
        </w:tc>
        <w:tc>
          <w:tcPr>
            <w:tcW w:w="440" w:type="dxa"/>
            <w:vAlign w:val="bottom"/>
            <w:shd w:val="clear" w:color="auto" w:fill="CCEECC"/>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45,088</w:t>
            </w:r>
          </w:p>
        </w:tc>
        <w:tc>
          <w:tcPr>
            <w:tcW w:w="100" w:type="dxa"/>
            <w:vAlign w:val="bottom"/>
            <w:shd w:val="clear" w:color="auto" w:fill="CCEECC"/>
          </w:tcPr>
          <w:p>
            <w:pPr>
              <w:spacing w:after="0"/>
              <w:rPr>
                <w:sz w:val="18"/>
                <w:szCs w:val="18"/>
                <w:color w:val="auto"/>
              </w:rPr>
            </w:pPr>
          </w:p>
        </w:tc>
        <w:tc>
          <w:tcPr>
            <w:tcW w:w="540" w:type="dxa"/>
            <w:vAlign w:val="bottom"/>
            <w:shd w:val="clear" w:color="auto" w:fill="CCEECC"/>
          </w:tcPr>
          <w:p>
            <w:pPr>
              <w:jc w:val="right"/>
              <w:ind w:right="3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455,181</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1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83,235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27,844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155,870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240,733</w:t>
            </w:r>
          </w:p>
        </w:tc>
        <w:tc>
          <w:tcPr>
            <w:tcW w:w="0" w:type="dxa"/>
            <w:vAlign w:val="bottom"/>
          </w:tcPr>
          <w:p>
            <w:pPr>
              <w:spacing w:after="0"/>
              <w:rPr>
                <w:sz w:val="1"/>
                <w:szCs w:val="1"/>
                <w:color w:val="auto"/>
              </w:rPr>
            </w:pPr>
          </w:p>
        </w:tc>
      </w:tr>
      <w:tr>
        <w:trPr>
          <w:trHeight w:val="216"/>
        </w:trPr>
        <w:tc>
          <w:tcPr>
            <w:tcW w:w="33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Consulting</w:t>
            </w:r>
          </w:p>
        </w:tc>
        <w:tc>
          <w:tcPr>
            <w:tcW w:w="120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4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51,478</w:t>
            </w:r>
          </w:p>
        </w:tc>
        <w:tc>
          <w:tcPr>
            <w:tcW w:w="1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7,835</w:t>
            </w:r>
          </w:p>
        </w:tc>
        <w:tc>
          <w:tcPr>
            <w:tcW w:w="10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3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133,579</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Salaries, wages and benefits</w:t>
            </w:r>
          </w:p>
        </w:tc>
        <w:tc>
          <w:tcPr>
            <w:tcW w:w="1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299,286</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201,585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900,751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611,926</w:t>
            </w:r>
          </w:p>
        </w:tc>
        <w:tc>
          <w:tcPr>
            <w:tcW w:w="0" w:type="dxa"/>
            <w:vAlign w:val="bottom"/>
          </w:tcPr>
          <w:p>
            <w:pPr>
              <w:spacing w:after="0"/>
              <w:rPr>
                <w:sz w:val="1"/>
                <w:szCs w:val="1"/>
                <w:color w:val="auto"/>
              </w:rPr>
            </w:pPr>
          </w:p>
        </w:tc>
      </w:tr>
      <w:tr>
        <w:trPr>
          <w:trHeight w:val="216"/>
        </w:trPr>
        <w:tc>
          <w:tcPr>
            <w:tcW w:w="33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Rent</w:t>
            </w:r>
          </w:p>
        </w:tc>
        <w:tc>
          <w:tcPr>
            <w:tcW w:w="120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15,148</w:t>
            </w:r>
          </w:p>
        </w:tc>
        <w:tc>
          <w:tcPr>
            <w:tcW w:w="14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4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7,606</w:t>
            </w:r>
          </w:p>
        </w:tc>
        <w:tc>
          <w:tcPr>
            <w:tcW w:w="1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47,214</w:t>
            </w:r>
          </w:p>
        </w:tc>
        <w:tc>
          <w:tcPr>
            <w:tcW w:w="10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3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22,606</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2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46,735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30,049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140,087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90,149</w:t>
            </w:r>
          </w:p>
        </w:tc>
        <w:tc>
          <w:tcPr>
            <w:tcW w:w="0" w:type="dxa"/>
            <w:vAlign w:val="bottom"/>
          </w:tcPr>
          <w:p>
            <w:pPr>
              <w:spacing w:after="0"/>
              <w:rPr>
                <w:sz w:val="1"/>
                <w:szCs w:val="1"/>
                <w:color w:val="auto"/>
              </w:rPr>
            </w:pPr>
          </w:p>
        </w:tc>
      </w:tr>
      <w:tr>
        <w:trPr>
          <w:trHeight w:val="216"/>
        </w:trPr>
        <w:tc>
          <w:tcPr>
            <w:tcW w:w="33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Stock-based compensation</w:t>
            </w:r>
          </w:p>
        </w:tc>
        <w:tc>
          <w:tcPr>
            <w:tcW w:w="1200" w:type="dxa"/>
            <w:vAlign w:val="bottom"/>
            <w:shd w:val="clear" w:color="auto" w:fill="CCEECC"/>
          </w:tcPr>
          <w:p>
            <w:pPr>
              <w:spacing w:after="0"/>
              <w:rPr>
                <w:sz w:val="18"/>
                <w:szCs w:val="18"/>
                <w:color w:val="auto"/>
              </w:rPr>
            </w:pPr>
          </w:p>
        </w:tc>
        <w:tc>
          <w:tcPr>
            <w:tcW w:w="7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29,857</w:t>
            </w:r>
          </w:p>
        </w:tc>
        <w:tc>
          <w:tcPr>
            <w:tcW w:w="14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4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48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258,240</w:t>
            </w:r>
          </w:p>
        </w:tc>
        <w:tc>
          <w:tcPr>
            <w:tcW w:w="100" w:type="dxa"/>
            <w:vAlign w:val="bottom"/>
            <w:shd w:val="clear" w:color="auto" w:fill="CCEECC"/>
          </w:tcPr>
          <w:p>
            <w:pPr>
              <w:spacing w:after="0"/>
              <w:rPr>
                <w:sz w:val="18"/>
                <w:szCs w:val="18"/>
                <w:color w:val="auto"/>
              </w:rPr>
            </w:pPr>
          </w:p>
        </w:tc>
        <w:tc>
          <w:tcPr>
            <w:tcW w:w="540" w:type="dxa"/>
            <w:vAlign w:val="bottom"/>
            <w:shd w:val="clear" w:color="auto" w:fill="CCEECC"/>
          </w:tcPr>
          <w:p>
            <w:pPr>
              <w:spacing w:after="0"/>
              <w:rPr>
                <w:sz w:val="18"/>
                <w:szCs w:val="18"/>
                <w:color w:val="auto"/>
              </w:rPr>
            </w:pPr>
          </w:p>
        </w:tc>
        <w:tc>
          <w:tcPr>
            <w:tcW w:w="13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334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12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83,877</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132,812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226,172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301,521</w:t>
            </w:r>
          </w:p>
        </w:tc>
        <w:tc>
          <w:tcPr>
            <w:tcW w:w="0" w:type="dxa"/>
            <w:vAlign w:val="bottom"/>
          </w:tcPr>
          <w:p>
            <w:pPr>
              <w:spacing w:after="0"/>
              <w:rPr>
                <w:sz w:val="1"/>
                <w:szCs w:val="1"/>
                <w:color w:val="auto"/>
              </w:rPr>
            </w:pPr>
          </w:p>
        </w:tc>
      </w:tr>
      <w:tr>
        <w:trPr>
          <w:trHeight w:val="223"/>
        </w:trPr>
        <w:tc>
          <w:tcPr>
            <w:tcW w:w="3340" w:type="dxa"/>
            <w:vAlign w:val="bottom"/>
            <w:tcBorders>
              <w:top w:val="single" w:sz="8" w:color="CCEECC"/>
              <w:bottom w:val="single" w:sz="8" w:color="CCEECC"/>
            </w:tcBorders>
            <w:shd w:val="clear" w:color="auto" w:fill="CCEECC"/>
          </w:tcPr>
          <w:p>
            <w:pPr>
              <w:ind w:left="240"/>
              <w:spacing w:after="0"/>
              <w:rPr>
                <w:sz w:val="20"/>
                <w:szCs w:val="20"/>
                <w:color w:val="auto"/>
              </w:rPr>
            </w:pPr>
            <w:r>
              <w:rPr>
                <w:rFonts w:ascii="Arial" w:cs="Arial" w:eastAsia="Arial" w:hAnsi="Arial"/>
                <w:sz w:val="18"/>
                <w:szCs w:val="18"/>
                <w:color w:val="auto"/>
              </w:rPr>
              <w:t>Total Operating Expenses</w:t>
            </w:r>
          </w:p>
        </w:tc>
        <w:tc>
          <w:tcPr>
            <w:tcW w:w="1200" w:type="dxa"/>
            <w:vAlign w:val="bottom"/>
            <w:tcBorders>
              <w:top w:val="single" w:sz="8" w:color="auto"/>
              <w:bottom w:val="single" w:sz="8" w:color="auto"/>
            </w:tcBorders>
            <w:shd w:val="clear" w:color="auto" w:fill="CCEECC"/>
          </w:tcPr>
          <w:p>
            <w:pPr>
              <w:jc w:val="right"/>
              <w:ind w:right="1040"/>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2"/>
              </w:rPr>
              <w:t>559,305</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CCEECC"/>
              <w:bottom w:val="single" w:sz="8" w:color="CCEECC"/>
            </w:tcBorders>
            <w:shd w:val="clear" w:color="auto" w:fill="CCEECC"/>
          </w:tcPr>
          <w:p>
            <w:pPr>
              <w:spacing w:after="0"/>
              <w:rPr>
                <w:sz w:val="19"/>
                <w:szCs w:val="19"/>
                <w:color w:val="auto"/>
              </w:rPr>
            </w:pPr>
          </w:p>
        </w:tc>
        <w:tc>
          <w:tcPr>
            <w:tcW w:w="540" w:type="dxa"/>
            <w:vAlign w:val="bottom"/>
            <w:tcBorders>
              <w:top w:val="single" w:sz="8" w:color="auto"/>
              <w:bottom w:val="single" w:sz="8" w:color="auto"/>
            </w:tcBorders>
            <w:shd w:val="clear" w:color="auto" w:fill="CCEECC"/>
          </w:tcPr>
          <w:p>
            <w:pPr>
              <w:jc w:val="right"/>
              <w:ind w:right="3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600,760</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440" w:type="dxa"/>
            <w:vAlign w:val="bottom"/>
            <w:tcBorders>
              <w:top w:val="single" w:sz="8" w:color="auto"/>
              <w:bottom w:val="single" w:sz="8" w:color="auto"/>
            </w:tcBorders>
            <w:shd w:val="clear" w:color="auto" w:fill="CCEECC"/>
          </w:tcPr>
          <w:p>
            <w:pPr>
              <w:jc w:val="right"/>
              <w:ind w:right="28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1,781,257</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540" w:type="dxa"/>
            <w:vAlign w:val="bottom"/>
            <w:tcBorders>
              <w:top w:val="single" w:sz="8" w:color="auto"/>
              <w:bottom w:val="single" w:sz="8" w:color="auto"/>
            </w:tcBorders>
            <w:shd w:val="clear" w:color="auto" w:fill="CCEECC"/>
          </w:tcPr>
          <w:p>
            <w:pPr>
              <w:jc w:val="right"/>
              <w:ind w:right="3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1,855,695</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GOING CONCERN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The Company has sustained substantial losses since inception.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view of this matter, the ability of the Company to continue as a going concern is dependent upon growth of revenues and the ability of the Company to raise additional capital. Management believes that its successful ability to raise capital and increases in revenues will provide the opportunity for the Company to continue as a going concern.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19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restated its Consolidated Statement of Operations and its Consolidated Statement of Cash Flows for the three months and nine months ended September 30, 2011 to correct an error in its accounting. The Company did not originally accrue expenses related to advertising, marketing and employee bonuses during that period.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vMerge w:val="restart"/>
          </w:tcPr>
          <w:p>
            <w:pPr>
              <w:ind w:left="780"/>
              <w:spacing w:after="0"/>
              <w:rPr>
                <w:sz w:val="20"/>
                <w:szCs w:val="20"/>
                <w:color w:val="auto"/>
              </w:rPr>
            </w:pPr>
            <w:r>
              <w:rPr>
                <w:rFonts w:ascii="Arial" w:cs="Arial" w:eastAsia="Arial" w:hAnsi="Arial"/>
                <w:sz w:val="18"/>
                <w:szCs w:val="18"/>
                <w:color w:val="auto"/>
              </w:rPr>
              <w:t>Financial Statement</w:t>
            </w:r>
          </w:p>
        </w:tc>
        <w:tc>
          <w:tcPr>
            <w:tcW w:w="3220" w:type="dxa"/>
            <w:vAlign w:val="bottom"/>
            <w:vMerge w:val="restart"/>
          </w:tcPr>
          <w:p>
            <w:pPr>
              <w:ind w:left="1420"/>
              <w:spacing w:after="0"/>
              <w:rPr>
                <w:sz w:val="20"/>
                <w:szCs w:val="20"/>
                <w:color w:val="auto"/>
              </w:rPr>
            </w:pPr>
            <w:r>
              <w:rPr>
                <w:rFonts w:ascii="Arial" w:cs="Arial" w:eastAsia="Arial" w:hAnsi="Arial"/>
                <w:sz w:val="18"/>
                <w:szCs w:val="18"/>
                <w:color w:val="auto"/>
              </w:rPr>
              <w:t>Line Item</w:t>
            </w:r>
          </w:p>
        </w:tc>
        <w:tc>
          <w:tcPr>
            <w:tcW w:w="5560" w:type="dxa"/>
            <w:vAlign w:val="bottom"/>
            <w:tcBorders>
              <w:bottom w:val="single" w:sz="8" w:color="auto"/>
            </w:tcBorders>
            <w:gridSpan w:val="4"/>
          </w:tcPr>
          <w:p>
            <w:pPr>
              <w:jc w:val="right"/>
              <w:ind w:right="1340"/>
              <w:spacing w:after="0"/>
              <w:rPr>
                <w:sz w:val="20"/>
                <w:szCs w:val="20"/>
                <w:color w:val="auto"/>
              </w:rPr>
            </w:pPr>
            <w:r>
              <w:rPr>
                <w:rFonts w:ascii="Arial" w:cs="Arial" w:eastAsia="Arial" w:hAnsi="Arial"/>
                <w:sz w:val="18"/>
                <w:szCs w:val="18"/>
                <w:color w:val="auto"/>
              </w:rPr>
              <w:t>Nine months ended September 30, 2011</w:t>
            </w: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3220" w:type="dxa"/>
            <w:vAlign w:val="bottom"/>
            <w:vMerge w:val="continue"/>
          </w:tcPr>
          <w:p>
            <w:pPr>
              <w:spacing w:after="0"/>
              <w:rPr>
                <w:sz w:val="19"/>
                <w:szCs w:val="19"/>
                <w:color w:val="auto"/>
              </w:rPr>
            </w:pPr>
          </w:p>
        </w:tc>
        <w:tc>
          <w:tcPr>
            <w:tcW w:w="2840" w:type="dxa"/>
            <w:vAlign w:val="bottom"/>
            <w:gridSpan w:val="2"/>
          </w:tcPr>
          <w:p>
            <w:pPr>
              <w:jc w:val="right"/>
              <w:ind w:right="1120"/>
              <w:spacing w:after="0"/>
              <w:rPr>
                <w:sz w:val="20"/>
                <w:szCs w:val="20"/>
                <w:color w:val="auto"/>
              </w:rPr>
            </w:pPr>
            <w:r>
              <w:rPr>
                <w:rFonts w:ascii="Arial" w:cs="Arial" w:eastAsia="Arial" w:hAnsi="Arial"/>
                <w:sz w:val="18"/>
                <w:szCs w:val="18"/>
                <w:color w:val="auto"/>
              </w:rPr>
              <w:t>Corrected</w:t>
            </w:r>
          </w:p>
        </w:tc>
        <w:tc>
          <w:tcPr>
            <w:tcW w:w="2720" w:type="dxa"/>
            <w:vAlign w:val="bottom"/>
            <w:gridSpan w:val="2"/>
          </w:tcPr>
          <w:p>
            <w:pPr>
              <w:jc w:val="right"/>
              <w:ind w:right="720"/>
              <w:spacing w:after="0"/>
              <w:rPr>
                <w:sz w:val="20"/>
                <w:szCs w:val="20"/>
                <w:color w:val="auto"/>
              </w:rPr>
            </w:pPr>
            <w:r>
              <w:rPr>
                <w:rFonts w:ascii="Arial" w:cs="Arial" w:eastAsia="Arial" w:hAnsi="Arial"/>
                <w:sz w:val="18"/>
                <w:szCs w:val="18"/>
                <w:color w:val="auto"/>
              </w:rPr>
              <w:t>Previously Stated</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tcBorders>
              <w:top w:val="single" w:sz="8" w:color="CCEECC"/>
            </w:tcBorders>
            <w:shd w:val="clear" w:color="auto" w:fill="CCEECC"/>
          </w:tcPr>
          <w:p>
            <w:pPr>
              <w:ind w:left="440"/>
              <w:spacing w:after="0"/>
              <w:rPr>
                <w:sz w:val="20"/>
                <w:szCs w:val="20"/>
                <w:color w:val="auto"/>
              </w:rPr>
            </w:pPr>
            <w:r>
              <w:rPr>
                <w:rFonts w:ascii="Arial" w:cs="Arial" w:eastAsia="Arial" w:hAnsi="Arial"/>
                <w:sz w:val="18"/>
                <w:szCs w:val="18"/>
                <w:color w:val="auto"/>
              </w:rPr>
              <w:t>Operating expenses</w:t>
            </w:r>
          </w:p>
        </w:tc>
        <w:tc>
          <w:tcPr>
            <w:tcW w:w="26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1,855,695</w:t>
            </w:r>
          </w:p>
        </w:tc>
        <w:tc>
          <w:tcPr>
            <w:tcW w:w="220" w:type="dxa"/>
            <w:vAlign w:val="bottom"/>
            <w:tcBorders>
              <w:top w:val="single" w:sz="8" w:color="CCEECC"/>
            </w:tcBorders>
            <w:shd w:val="clear" w:color="auto" w:fill="CCEECC"/>
          </w:tcPr>
          <w:p>
            <w:pPr>
              <w:spacing w:after="0"/>
              <w:rPr>
                <w:sz w:val="18"/>
                <w:szCs w:val="18"/>
                <w:color w:val="auto"/>
              </w:rPr>
            </w:pPr>
          </w:p>
        </w:tc>
        <w:tc>
          <w:tcPr>
            <w:tcW w:w="26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1,445,070</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(1,070,085)</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(659,460)</w:t>
            </w:r>
          </w:p>
        </w:tc>
        <w:tc>
          <w:tcPr>
            <w:tcW w:w="0" w:type="dxa"/>
            <w:vAlign w:val="bottom"/>
          </w:tcPr>
          <w:p>
            <w:pPr>
              <w:spacing w:after="0"/>
              <w:rPr>
                <w:sz w:val="1"/>
                <w:szCs w:val="1"/>
                <w:color w:val="auto"/>
              </w:rPr>
            </w:pPr>
          </w:p>
        </w:tc>
      </w:tr>
      <w:tr>
        <w:trPr>
          <w:trHeight w:val="202"/>
        </w:trPr>
        <w:tc>
          <w:tcPr>
            <w:tcW w:w="2640" w:type="dxa"/>
            <w:vAlign w:val="bottom"/>
            <w:shd w:val="clear" w:color="auto" w:fill="CCEECC"/>
          </w:tcPr>
          <w:p>
            <w:pPr>
              <w:spacing w:after="0"/>
              <w:rPr>
                <w:sz w:val="17"/>
                <w:szCs w:val="17"/>
                <w:color w:val="auto"/>
              </w:rPr>
            </w:pPr>
          </w:p>
        </w:tc>
        <w:tc>
          <w:tcPr>
            <w:tcW w:w="3220" w:type="dxa"/>
            <w:vAlign w:val="bottom"/>
            <w:shd w:val="clear" w:color="auto" w:fill="CCEECC"/>
          </w:tcPr>
          <w:p>
            <w:pPr>
              <w:ind w:left="440"/>
              <w:spacing w:after="0" w:line="201" w:lineRule="exact"/>
              <w:rPr>
                <w:sz w:val="20"/>
                <w:szCs w:val="20"/>
                <w:color w:val="auto"/>
              </w:rPr>
            </w:pPr>
            <w:r>
              <w:rPr>
                <w:rFonts w:ascii="Arial" w:cs="Arial" w:eastAsia="Arial" w:hAnsi="Arial"/>
                <w:sz w:val="18"/>
                <w:szCs w:val="18"/>
                <w:color w:val="auto"/>
              </w:rPr>
              <w:t>Loss before provision for income</w:t>
            </w:r>
          </w:p>
        </w:tc>
        <w:tc>
          <w:tcPr>
            <w:tcW w:w="26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shd w:val="clear" w:color="auto" w:fill="CCEECC"/>
          </w:tcPr>
          <w:p>
            <w:pPr>
              <w:ind w:left="440"/>
              <w:spacing w:after="0"/>
              <w:rPr>
                <w:sz w:val="20"/>
                <w:szCs w:val="20"/>
                <w:color w:val="auto"/>
              </w:rPr>
            </w:pPr>
            <w:r>
              <w:rPr>
                <w:rFonts w:ascii="Arial" w:cs="Arial" w:eastAsia="Arial" w:hAnsi="Arial"/>
                <w:sz w:val="18"/>
                <w:szCs w:val="18"/>
                <w:color w:val="auto"/>
              </w:rPr>
              <w:t>taxes</w:t>
            </w:r>
          </w:p>
        </w:tc>
        <w:tc>
          <w:tcPr>
            <w:tcW w:w="2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(2,027,619)</w:t>
            </w:r>
          </w:p>
        </w:tc>
        <w:tc>
          <w:tcPr>
            <w:tcW w:w="27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(1,616,994)</w:t>
            </w:r>
          </w:p>
        </w:tc>
        <w:tc>
          <w:tcPr>
            <w:tcW w:w="0" w:type="dxa"/>
            <w:vAlign w:val="bottom"/>
          </w:tcPr>
          <w:p>
            <w:pPr>
              <w:spacing w:after="0"/>
              <w:rPr>
                <w:sz w:val="1"/>
                <w:szCs w:val="1"/>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(2,027,619)</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(1,616,994)</w:t>
            </w:r>
          </w:p>
        </w:tc>
        <w:tc>
          <w:tcPr>
            <w:tcW w:w="0" w:type="dxa"/>
            <w:vAlign w:val="bottom"/>
          </w:tcPr>
          <w:p>
            <w:pPr>
              <w:spacing w:after="0"/>
              <w:rPr>
                <w:sz w:val="1"/>
                <w:szCs w:val="1"/>
                <w:color w:val="auto"/>
              </w:rPr>
            </w:pPr>
          </w:p>
        </w:tc>
      </w:tr>
      <w:tr>
        <w:trPr>
          <w:trHeight w:val="216"/>
        </w:trPr>
        <w:tc>
          <w:tcPr>
            <w:tcW w:w="2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Statement of cash flows</w:t>
            </w:r>
          </w:p>
        </w:tc>
        <w:tc>
          <w:tcPr>
            <w:tcW w:w="3220" w:type="dxa"/>
            <w:vAlign w:val="bottom"/>
            <w:shd w:val="clear" w:color="auto" w:fill="CCEECC"/>
          </w:tcPr>
          <w:p>
            <w:pPr>
              <w:ind w:left="440"/>
              <w:spacing w:after="0"/>
              <w:rPr>
                <w:sz w:val="20"/>
                <w:szCs w:val="20"/>
                <w:color w:val="auto"/>
              </w:rPr>
            </w:pPr>
            <w:r>
              <w:rPr>
                <w:rFonts w:ascii="Arial" w:cs="Arial" w:eastAsia="Arial" w:hAnsi="Arial"/>
                <w:sz w:val="18"/>
                <w:szCs w:val="18"/>
                <w:color w:val="auto"/>
              </w:rPr>
              <w:t>Net loss</w:t>
            </w:r>
          </w:p>
        </w:tc>
        <w:tc>
          <w:tcPr>
            <w:tcW w:w="2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(2,027,619)</w:t>
            </w:r>
          </w:p>
        </w:tc>
        <w:tc>
          <w:tcPr>
            <w:tcW w:w="27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(1,616,994)</w:t>
            </w:r>
          </w:p>
        </w:tc>
        <w:tc>
          <w:tcPr>
            <w:tcW w:w="0" w:type="dxa"/>
            <w:vAlign w:val="bottom"/>
          </w:tcPr>
          <w:p>
            <w:pPr>
              <w:spacing w:after="0"/>
              <w:rPr>
                <w:sz w:val="1"/>
                <w:szCs w:val="1"/>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Statement of cash flows</w:t>
            </w:r>
          </w:p>
        </w:tc>
        <w:tc>
          <w:tcPr>
            <w:tcW w:w="3220" w:type="dxa"/>
            <w:vAlign w:val="bottom"/>
          </w:tcPr>
          <w:p>
            <w:pPr>
              <w:ind w:left="440"/>
              <w:spacing w:after="0"/>
              <w:rPr>
                <w:sz w:val="20"/>
                <w:szCs w:val="20"/>
                <w:color w:val="auto"/>
              </w:rPr>
            </w:pPr>
            <w:r>
              <w:rPr>
                <w:rFonts w:ascii="Arial" w:cs="Arial" w:eastAsia="Arial" w:hAnsi="Arial"/>
                <w:sz w:val="18"/>
                <w:szCs w:val="18"/>
                <w:color w:val="auto"/>
              </w:rPr>
              <w:t>Change in accounts payable</w:t>
            </w:r>
          </w:p>
        </w:tc>
        <w:tc>
          <w:tcPr>
            <w:tcW w:w="2840" w:type="dxa"/>
            <w:vAlign w:val="bottom"/>
            <w:gridSpan w:val="2"/>
          </w:tcPr>
          <w:p>
            <w:pPr>
              <w:jc w:val="right"/>
              <w:ind w:right="220"/>
              <w:spacing w:after="0"/>
              <w:rPr>
                <w:sz w:val="20"/>
                <w:szCs w:val="20"/>
                <w:color w:val="auto"/>
              </w:rPr>
            </w:pPr>
            <w:r>
              <w:rPr>
                <w:rFonts w:ascii="Arial" w:cs="Arial" w:eastAsia="Arial" w:hAnsi="Arial"/>
                <w:sz w:val="18"/>
                <w:szCs w:val="18"/>
                <w:color w:val="auto"/>
              </w:rPr>
              <w:t>215,731</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(9,269)</w:t>
            </w:r>
          </w:p>
        </w:tc>
        <w:tc>
          <w:tcPr>
            <w:tcW w:w="0" w:type="dxa"/>
            <w:vAlign w:val="bottom"/>
          </w:tcPr>
          <w:p>
            <w:pPr>
              <w:spacing w:after="0"/>
              <w:rPr>
                <w:sz w:val="1"/>
                <w:szCs w:val="1"/>
                <w:color w:val="auto"/>
              </w:rPr>
            </w:pPr>
          </w:p>
        </w:tc>
      </w:tr>
      <w:tr>
        <w:trPr>
          <w:trHeight w:val="216"/>
        </w:trPr>
        <w:tc>
          <w:tcPr>
            <w:tcW w:w="2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Statement of cash flows</w:t>
            </w:r>
          </w:p>
        </w:tc>
        <w:tc>
          <w:tcPr>
            <w:tcW w:w="3220" w:type="dxa"/>
            <w:vAlign w:val="bottom"/>
            <w:shd w:val="clear" w:color="auto" w:fill="CCEECC"/>
          </w:tcPr>
          <w:p>
            <w:pPr>
              <w:ind w:left="440"/>
              <w:spacing w:after="0"/>
              <w:rPr>
                <w:sz w:val="20"/>
                <w:szCs w:val="20"/>
                <w:color w:val="auto"/>
              </w:rPr>
            </w:pPr>
            <w:r>
              <w:rPr>
                <w:rFonts w:ascii="Arial" w:cs="Arial" w:eastAsia="Arial" w:hAnsi="Arial"/>
                <w:sz w:val="18"/>
                <w:szCs w:val="18"/>
                <w:color w:val="auto"/>
              </w:rPr>
              <w:t>Change in accrued expenses</w:t>
            </w:r>
          </w:p>
        </w:tc>
        <w:tc>
          <w:tcPr>
            <w:tcW w:w="2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(18,200)</w:t>
            </w:r>
          </w:p>
        </w:tc>
        <w:tc>
          <w:tcPr>
            <w:tcW w:w="27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(63,200)</w:t>
            </w:r>
          </w:p>
        </w:tc>
        <w:tc>
          <w:tcPr>
            <w:tcW w:w="0" w:type="dxa"/>
            <w:vAlign w:val="bottom"/>
          </w:tcPr>
          <w:p>
            <w:pPr>
              <w:spacing w:after="0"/>
              <w:rPr>
                <w:sz w:val="1"/>
                <w:szCs w:val="1"/>
                <w:color w:val="auto"/>
              </w:rPr>
            </w:pPr>
          </w:p>
        </w:tc>
      </w:tr>
      <w:tr>
        <w:trPr>
          <w:trHeight w:val="230"/>
        </w:trPr>
        <w:tc>
          <w:tcPr>
            <w:tcW w:w="2640" w:type="dxa"/>
            <w:vAlign w:val="bottom"/>
          </w:tcPr>
          <w:p>
            <w:pPr>
              <w:ind w:left="100"/>
              <w:spacing w:after="0"/>
              <w:rPr>
                <w:sz w:val="20"/>
                <w:szCs w:val="20"/>
                <w:color w:val="auto"/>
              </w:rPr>
            </w:pPr>
            <w:r>
              <w:rPr>
                <w:rFonts w:ascii="Arial" w:cs="Arial" w:eastAsia="Arial" w:hAnsi="Arial"/>
                <w:sz w:val="18"/>
                <w:szCs w:val="18"/>
                <w:color w:val="auto"/>
              </w:rPr>
              <w:t>Statement of cash flows</w:t>
            </w:r>
          </w:p>
        </w:tc>
        <w:tc>
          <w:tcPr>
            <w:tcW w:w="3220" w:type="dxa"/>
            <w:vAlign w:val="bottom"/>
          </w:tcPr>
          <w:p>
            <w:pPr>
              <w:ind w:left="440"/>
              <w:spacing w:after="0"/>
              <w:rPr>
                <w:sz w:val="20"/>
                <w:szCs w:val="20"/>
                <w:color w:val="auto"/>
              </w:rPr>
            </w:pPr>
            <w:r>
              <w:rPr>
                <w:rFonts w:ascii="Arial" w:cs="Arial" w:eastAsia="Arial" w:hAnsi="Arial"/>
                <w:sz w:val="18"/>
                <w:szCs w:val="18"/>
                <w:color w:val="auto"/>
              </w:rPr>
              <w:t>Change in prepaid expenses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(24,220)</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(116,405)</w:t>
            </w:r>
          </w:p>
        </w:tc>
        <w:tc>
          <w:tcPr>
            <w:tcW w:w="0" w:type="dxa"/>
            <w:vAlign w:val="bottom"/>
          </w:tcPr>
          <w:p>
            <w:pPr>
              <w:spacing w:after="0"/>
              <w:rPr>
                <w:sz w:val="1"/>
                <w:szCs w:val="1"/>
                <w:color w:val="auto"/>
              </w:rPr>
            </w:pPr>
          </w:p>
        </w:tc>
      </w:tr>
      <w:tr>
        <w:trPr>
          <w:trHeight w:val="431"/>
        </w:trPr>
        <w:tc>
          <w:tcPr>
            <w:tcW w:w="2640" w:type="dxa"/>
            <w:vAlign w:val="bottom"/>
            <w:vMerge w:val="restart"/>
          </w:tcPr>
          <w:p>
            <w:pPr>
              <w:ind w:left="780"/>
              <w:spacing w:after="0"/>
              <w:rPr>
                <w:sz w:val="20"/>
                <w:szCs w:val="20"/>
                <w:color w:val="auto"/>
              </w:rPr>
            </w:pPr>
            <w:r>
              <w:rPr>
                <w:rFonts w:ascii="Arial" w:cs="Arial" w:eastAsia="Arial" w:hAnsi="Arial"/>
                <w:sz w:val="18"/>
                <w:szCs w:val="18"/>
                <w:color w:val="auto"/>
              </w:rPr>
              <w:t>Financial Statement</w:t>
            </w:r>
          </w:p>
        </w:tc>
        <w:tc>
          <w:tcPr>
            <w:tcW w:w="3220" w:type="dxa"/>
            <w:vAlign w:val="bottom"/>
            <w:vMerge w:val="restart"/>
          </w:tcPr>
          <w:p>
            <w:pPr>
              <w:ind w:left="1420"/>
              <w:spacing w:after="0"/>
              <w:rPr>
                <w:sz w:val="20"/>
                <w:szCs w:val="20"/>
                <w:color w:val="auto"/>
              </w:rPr>
            </w:pPr>
            <w:r>
              <w:rPr>
                <w:rFonts w:ascii="Arial" w:cs="Arial" w:eastAsia="Arial" w:hAnsi="Arial"/>
                <w:sz w:val="18"/>
                <w:szCs w:val="18"/>
                <w:color w:val="auto"/>
              </w:rPr>
              <w:t>Line Item</w:t>
            </w:r>
          </w:p>
        </w:tc>
        <w:tc>
          <w:tcPr>
            <w:tcW w:w="5560" w:type="dxa"/>
            <w:vAlign w:val="bottom"/>
            <w:tcBorders>
              <w:bottom w:val="single" w:sz="8" w:color="auto"/>
            </w:tcBorders>
            <w:gridSpan w:val="4"/>
          </w:tcPr>
          <w:p>
            <w:pPr>
              <w:jc w:val="right"/>
              <w:ind w:right="1300"/>
              <w:spacing w:after="0"/>
              <w:rPr>
                <w:sz w:val="20"/>
                <w:szCs w:val="20"/>
                <w:color w:val="auto"/>
              </w:rPr>
            </w:pPr>
            <w:r>
              <w:rPr>
                <w:rFonts w:ascii="Arial" w:cs="Arial" w:eastAsia="Arial" w:hAnsi="Arial"/>
                <w:sz w:val="18"/>
                <w:szCs w:val="18"/>
                <w:color w:val="auto"/>
              </w:rPr>
              <w:t>Three months ended September 30, 2011</w:t>
            </w:r>
          </w:p>
        </w:tc>
        <w:tc>
          <w:tcPr>
            <w:tcW w:w="0" w:type="dxa"/>
            <w:vAlign w:val="bottom"/>
          </w:tcPr>
          <w:p>
            <w:pPr>
              <w:spacing w:after="0"/>
              <w:rPr>
                <w:sz w:val="1"/>
                <w:szCs w:val="1"/>
                <w:color w:val="auto"/>
              </w:rPr>
            </w:pPr>
          </w:p>
        </w:tc>
      </w:tr>
      <w:tr>
        <w:trPr>
          <w:trHeight w:val="223"/>
        </w:trPr>
        <w:tc>
          <w:tcPr>
            <w:tcW w:w="2640" w:type="dxa"/>
            <w:vAlign w:val="bottom"/>
            <w:vMerge w:val="continue"/>
          </w:tcPr>
          <w:p>
            <w:pPr>
              <w:spacing w:after="0"/>
              <w:rPr>
                <w:sz w:val="19"/>
                <w:szCs w:val="19"/>
                <w:color w:val="auto"/>
              </w:rPr>
            </w:pPr>
          </w:p>
        </w:tc>
        <w:tc>
          <w:tcPr>
            <w:tcW w:w="3220" w:type="dxa"/>
            <w:vAlign w:val="bottom"/>
            <w:vMerge w:val="continue"/>
          </w:tcPr>
          <w:p>
            <w:pPr>
              <w:spacing w:after="0"/>
              <w:rPr>
                <w:sz w:val="19"/>
                <w:szCs w:val="19"/>
                <w:color w:val="auto"/>
              </w:rPr>
            </w:pPr>
          </w:p>
        </w:tc>
        <w:tc>
          <w:tcPr>
            <w:tcW w:w="2840" w:type="dxa"/>
            <w:vAlign w:val="bottom"/>
            <w:gridSpan w:val="2"/>
          </w:tcPr>
          <w:p>
            <w:pPr>
              <w:jc w:val="right"/>
              <w:ind w:right="1120"/>
              <w:spacing w:after="0"/>
              <w:rPr>
                <w:sz w:val="20"/>
                <w:szCs w:val="20"/>
                <w:color w:val="auto"/>
              </w:rPr>
            </w:pPr>
            <w:r>
              <w:rPr>
                <w:rFonts w:ascii="Arial" w:cs="Arial" w:eastAsia="Arial" w:hAnsi="Arial"/>
                <w:sz w:val="18"/>
                <w:szCs w:val="18"/>
                <w:color w:val="auto"/>
              </w:rPr>
              <w:t>Corrected</w:t>
            </w:r>
          </w:p>
        </w:tc>
        <w:tc>
          <w:tcPr>
            <w:tcW w:w="2720" w:type="dxa"/>
            <w:vAlign w:val="bottom"/>
            <w:gridSpan w:val="2"/>
          </w:tcPr>
          <w:p>
            <w:pPr>
              <w:jc w:val="right"/>
              <w:ind w:right="720"/>
              <w:spacing w:after="0"/>
              <w:rPr>
                <w:sz w:val="20"/>
                <w:szCs w:val="20"/>
                <w:color w:val="auto"/>
              </w:rPr>
            </w:pPr>
            <w:r>
              <w:rPr>
                <w:rFonts w:ascii="Arial" w:cs="Arial" w:eastAsia="Arial" w:hAnsi="Arial"/>
                <w:sz w:val="18"/>
                <w:szCs w:val="18"/>
                <w:color w:val="auto"/>
              </w:rPr>
              <w:t>Previously Stated</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CC"/>
            </w:tcBorders>
            <w:shd w:val="clear" w:color="auto" w:fill="CCEECC"/>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tcBorders>
              <w:top w:val="single" w:sz="8" w:color="CCEECC"/>
            </w:tcBorders>
            <w:shd w:val="clear" w:color="auto" w:fill="CCEECC"/>
          </w:tcPr>
          <w:p>
            <w:pPr>
              <w:ind w:left="440"/>
              <w:spacing w:after="0"/>
              <w:rPr>
                <w:sz w:val="20"/>
                <w:szCs w:val="20"/>
                <w:color w:val="auto"/>
              </w:rPr>
            </w:pPr>
            <w:r>
              <w:rPr>
                <w:rFonts w:ascii="Arial" w:cs="Arial" w:eastAsia="Arial" w:hAnsi="Arial"/>
                <w:sz w:val="18"/>
                <w:szCs w:val="18"/>
                <w:color w:val="auto"/>
              </w:rPr>
              <w:t>Operating expenses</w:t>
            </w:r>
          </w:p>
        </w:tc>
        <w:tc>
          <w:tcPr>
            <w:tcW w:w="26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600,760</w:t>
            </w:r>
          </w:p>
        </w:tc>
        <w:tc>
          <w:tcPr>
            <w:tcW w:w="220" w:type="dxa"/>
            <w:vAlign w:val="bottom"/>
            <w:tcBorders>
              <w:top w:val="single" w:sz="8" w:color="CCEECC"/>
            </w:tcBorders>
            <w:shd w:val="clear" w:color="auto" w:fill="CCEECC"/>
          </w:tcPr>
          <w:p>
            <w:pPr>
              <w:spacing w:after="0"/>
              <w:rPr>
                <w:sz w:val="18"/>
                <w:szCs w:val="18"/>
                <w:color w:val="auto"/>
              </w:rPr>
            </w:pPr>
          </w:p>
        </w:tc>
        <w:tc>
          <w:tcPr>
            <w:tcW w:w="26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482,635</w:t>
            </w:r>
          </w:p>
        </w:tc>
        <w:tc>
          <w:tcPr>
            <w:tcW w:w="10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tcPr>
          <w:p>
            <w:pPr>
              <w:ind w:left="440"/>
              <w:spacing w:after="0"/>
              <w:rPr>
                <w:sz w:val="20"/>
                <w:szCs w:val="20"/>
                <w:color w:val="auto"/>
              </w:rPr>
            </w:pPr>
            <w:r>
              <w:rPr>
                <w:rFonts w:ascii="Arial" w:cs="Arial" w:eastAsia="Arial" w:hAnsi="Arial"/>
                <w:sz w:val="18"/>
                <w:szCs w:val="18"/>
                <w:color w:val="auto"/>
              </w:rPr>
              <w:t>Loss from operations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(409,167)</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(291,042)</w:t>
            </w:r>
          </w:p>
        </w:tc>
        <w:tc>
          <w:tcPr>
            <w:tcW w:w="0" w:type="dxa"/>
            <w:vAlign w:val="bottom"/>
          </w:tcPr>
          <w:p>
            <w:pPr>
              <w:spacing w:after="0"/>
              <w:rPr>
                <w:sz w:val="1"/>
                <w:szCs w:val="1"/>
                <w:color w:val="auto"/>
              </w:rPr>
            </w:pPr>
          </w:p>
        </w:tc>
      </w:tr>
      <w:tr>
        <w:trPr>
          <w:trHeight w:val="202"/>
        </w:trPr>
        <w:tc>
          <w:tcPr>
            <w:tcW w:w="2640" w:type="dxa"/>
            <w:vAlign w:val="bottom"/>
            <w:shd w:val="clear" w:color="auto" w:fill="CCEECC"/>
          </w:tcPr>
          <w:p>
            <w:pPr>
              <w:spacing w:after="0"/>
              <w:rPr>
                <w:sz w:val="17"/>
                <w:szCs w:val="17"/>
                <w:color w:val="auto"/>
              </w:rPr>
            </w:pPr>
          </w:p>
        </w:tc>
        <w:tc>
          <w:tcPr>
            <w:tcW w:w="3220" w:type="dxa"/>
            <w:vAlign w:val="bottom"/>
            <w:shd w:val="clear" w:color="auto" w:fill="CCEECC"/>
          </w:tcPr>
          <w:p>
            <w:pPr>
              <w:ind w:left="440"/>
              <w:spacing w:after="0" w:line="201" w:lineRule="exact"/>
              <w:rPr>
                <w:sz w:val="20"/>
                <w:szCs w:val="20"/>
                <w:color w:val="auto"/>
              </w:rPr>
            </w:pPr>
            <w:r>
              <w:rPr>
                <w:rFonts w:ascii="Arial" w:cs="Arial" w:eastAsia="Arial" w:hAnsi="Arial"/>
                <w:sz w:val="18"/>
                <w:szCs w:val="18"/>
                <w:color w:val="auto"/>
              </w:rPr>
              <w:t>Loss before provision for income</w:t>
            </w:r>
          </w:p>
        </w:tc>
        <w:tc>
          <w:tcPr>
            <w:tcW w:w="26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2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shd w:val="clear" w:color="auto" w:fill="CCEECC"/>
          </w:tcPr>
          <w:p>
            <w:pPr>
              <w:ind w:left="440"/>
              <w:spacing w:after="0"/>
              <w:rPr>
                <w:sz w:val="20"/>
                <w:szCs w:val="20"/>
                <w:color w:val="auto"/>
              </w:rPr>
            </w:pPr>
            <w:r>
              <w:rPr>
                <w:rFonts w:ascii="Arial" w:cs="Arial" w:eastAsia="Arial" w:hAnsi="Arial"/>
                <w:sz w:val="18"/>
                <w:szCs w:val="18"/>
                <w:color w:val="auto"/>
              </w:rPr>
              <w:t>taxes</w:t>
            </w:r>
          </w:p>
        </w:tc>
        <w:tc>
          <w:tcPr>
            <w:tcW w:w="284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(1,087,504)</w:t>
            </w:r>
          </w:p>
        </w:tc>
        <w:tc>
          <w:tcPr>
            <w:tcW w:w="27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(969,379)</w:t>
            </w:r>
          </w:p>
        </w:tc>
        <w:tc>
          <w:tcPr>
            <w:tcW w:w="0" w:type="dxa"/>
            <w:vAlign w:val="bottom"/>
          </w:tcPr>
          <w:p>
            <w:pPr>
              <w:spacing w:after="0"/>
              <w:rPr>
                <w:sz w:val="1"/>
                <w:szCs w:val="1"/>
                <w:color w:val="auto"/>
              </w:rPr>
            </w:pPr>
          </w:p>
        </w:tc>
      </w:tr>
      <w:tr>
        <w:trPr>
          <w:trHeight w:val="230"/>
        </w:trPr>
        <w:tc>
          <w:tcPr>
            <w:tcW w:w="2640" w:type="dxa"/>
            <w:vAlign w:val="bottom"/>
          </w:tcPr>
          <w:p>
            <w:pPr>
              <w:ind w:left="100"/>
              <w:spacing w:after="0"/>
              <w:rPr>
                <w:sz w:val="20"/>
                <w:szCs w:val="20"/>
                <w:color w:val="auto"/>
              </w:rPr>
            </w:pPr>
            <w:r>
              <w:rPr>
                <w:rFonts w:ascii="Arial" w:cs="Arial" w:eastAsia="Arial" w:hAnsi="Arial"/>
                <w:sz w:val="18"/>
                <w:szCs w:val="18"/>
                <w:color w:val="auto"/>
              </w:rPr>
              <w:t>Income statement</w:t>
            </w:r>
          </w:p>
        </w:tc>
        <w:tc>
          <w:tcPr>
            <w:tcW w:w="3220" w:type="dxa"/>
            <w:vAlign w:val="bottom"/>
          </w:tcPr>
          <w:p>
            <w:pPr>
              <w:ind w:left="440"/>
              <w:spacing w:after="0"/>
              <w:rPr>
                <w:sz w:val="20"/>
                <w:szCs w:val="20"/>
                <w:color w:val="auto"/>
              </w:rPr>
            </w:pPr>
            <w:r>
              <w:rPr>
                <w:rFonts w:ascii="Arial" w:cs="Arial" w:eastAsia="Arial" w:hAnsi="Arial"/>
                <w:sz w:val="18"/>
                <w:szCs w:val="18"/>
                <w:color w:val="auto"/>
              </w:rPr>
              <w:t>Net loss</w:t>
            </w:r>
          </w:p>
        </w:tc>
        <w:tc>
          <w:tcPr>
            <w:tcW w:w="2840" w:type="dxa"/>
            <w:vAlign w:val="bottom"/>
            <w:gridSpan w:val="2"/>
          </w:tcPr>
          <w:p>
            <w:pPr>
              <w:jc w:val="right"/>
              <w:ind w:right="160"/>
              <w:spacing w:after="0"/>
              <w:rPr>
                <w:sz w:val="20"/>
                <w:szCs w:val="20"/>
                <w:color w:val="auto"/>
              </w:rPr>
            </w:pPr>
            <w:r>
              <w:rPr>
                <w:rFonts w:ascii="Arial" w:cs="Arial" w:eastAsia="Arial" w:hAnsi="Arial"/>
                <w:sz w:val="18"/>
                <w:szCs w:val="18"/>
                <w:color w:val="auto"/>
              </w:rPr>
              <w:t>(1,087,504)</w:t>
            </w:r>
          </w:p>
        </w:tc>
        <w:tc>
          <w:tcPr>
            <w:tcW w:w="2720" w:type="dxa"/>
            <w:vAlign w:val="bottom"/>
            <w:gridSpan w:val="2"/>
          </w:tcPr>
          <w:p>
            <w:pPr>
              <w:jc w:val="right"/>
              <w:ind w:right="40"/>
              <w:spacing w:after="0"/>
              <w:rPr>
                <w:sz w:val="20"/>
                <w:szCs w:val="20"/>
                <w:color w:val="auto"/>
              </w:rPr>
            </w:pPr>
            <w:r>
              <w:rPr>
                <w:rFonts w:ascii="Arial" w:cs="Arial" w:eastAsia="Arial" w:hAnsi="Arial"/>
                <w:sz w:val="18"/>
                <w:szCs w:val="18"/>
                <w:color w:val="auto"/>
              </w:rPr>
              <w:t>(969,379)</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20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855-10, the Company has analyzed its operations subsequent to September 30, 2012 through the date these financial statements were issued and has determined that it does not have any material subsequent events to disclose in these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quarter of the 2012 fiscal year shows a continuation of growth throughout our company. Coming into the third quarter, we had a successful showing at the Allscripts ACE conference where we sponsored and key note presented in the pharmaceutical manufactures track. Our messaging to pharmaceutical manufacturers was composed around building scale of physician reach through interoperability of disparate systems. The ability of our SampleMD solution to integrate within multiple application platforms while adhering to compliance and regulatory requirements by utilizing and defining industry standards for such integrations was a powerful message to the industry. We have now built our marketing campaign framework around the message that SampleMD is the industry leading provider of patient support through our ability to transact between multiple applications and platforms which have touch points to physicians and patients. We continue to look to new partnering with ePrescribers, Electronic Medical Record (EMR) providers, Patient Portal providers, Health Information Exchanges and others, gaining critical “scale of reach” on behalf of our pharmaceutical clients.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Having positioned our SampleMD as the hub of integration, we also announced our partnership and participation within the DrFirst Patient Advisor platform as the exclusive provider of eCoupons and Patient Support provider. Patient Advisor is a medication adherence solution that works within DrFirst’s Rcopia e-prescribing platform, or any EMR or HIT solution and is a result of strategic agreements between DrFirst and three leading medication adherence providers: KRAMES Staywell, SampleMD, and Adheris, Inc., and inventive Health Company. The Patient Advisor platform provides physicians with a patient report card to gain insight into their patients’ prescription fill rates. New functionality will also include changes in lab values, medication possession ratios, cross comparative analysis between fill rates and lab values, as well as other pertinent data. Early data already suggests this tool can improve medication adherence rates by more than 59%.</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Each evidence-based tool that resides on the Patient Advisor platform is provided by the industry leader in its respective area of expertise. For example, Krames Staywell is the leader in supporting patients with education; SampleMD is the leading co-pay card vendor in the EMR channel; and Adheris is the leading and largest provider of direct-to-patient medication adherence programs. The strategic collaboration with these best-in-class partners also brings significant funding for these programs from more than 150 pharmaceutical brands. Management believes that with teaming and providing innovative solutions like eVITEREP, we will continue to see continued growth and adoption of our solutions.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our SampleMD platform recently went “live” within the Allscript PRO EMR application and will allow promotional access to an additional 25,000 prescribing clinicians by the fourth quarter of 2012.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Capping off our marketing efforts within the third quarter, we co-sponsored a MedAdNews webinar entitled: Physician Engagement: What Physicians Want From Pharma and How To Efficiently Deliver within the EMR Workflow. We co-sponsored this activity with Communications Media, Inc. (CMI) a leading research and media communications group within the healthcare industry. CMI cited their 2012 report: Promotional Access and Preferences of Physicians. The survey and report centered on what physicians wanted access to and from within their EMR systems. Of the top features were: requests for free samples vouchers and coupons, patient education, drug information and requests for a representative visit. This study exposes the wishes of physicians and greatly supports for the need of the SampleMD solution within the marketplace.</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growing number of healthcare providers adopting and utilizing Electronic Health Record and ePrescribing applications in order to meet government incentives, the health IT marketplace continues to expand. In what seems to be a rapidly closing marketing environment, this growing number of users represents a new frontier of opportunity for pharmaceutical manufacturers to connect with prescribing clinicians right at the point of therapy. This is accomplished by pharmaceutical manufacturers integrating their savings and support programs directly within these application platforms. This presentation aimed at educating pharmaceutical manufacturers on this new distribution channel for savings and support materials, and how to achieve greater scale of reach in a seemingly closing healthcare provider marketing environment. The presentation focused on:</w:t>
      </w:r>
    </w:p>
    <w:p>
      <w:pPr>
        <w:spacing w:after="0" w:line="17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changing landscape for pharmaceutical manufacturers marketing to healthcare providers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Emergence of alternative technology channels</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Ease of use: non obtrusive integration within the healthcare providers workflow</w:t>
      </w:r>
    </w:p>
    <w:p>
      <w:pPr>
        <w:ind w:left="660" w:hanging="328"/>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Interoperability: a greater scale of reach</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Standards: technology, compliance and regulatory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Pharmaceutical manufacturers, brand managers and marketing personnel gained greater appreciation for what prescribing clinicians are asking for and how to effectively and efficiently deliver on these requirements through leveraging this new channel of opportunity. With over 200 registered participants from pharmaceutical manufacturers, agencies, and potential partner providers, the webinar has delivered numerous inquiries for promotional programs and partnering, and clearly delineates SampleMD as the industry leader.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seen our revenue for the first three quarters grow to $1,297,980, a dramatic increase nearly double the prior year period, We continue to improve upon and develop integrated solutions to promote better patient support, right within the physicians workflow. Continued efforts on eVITEREP™ for not only providing the ability to schedule representatives visits, but to have the ability to “live chat” with a pharmaceutical representative on demand is another feature which has been introduced.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Overall, OptimizeRx Corporation continues to make great strides in increasing revenues and controlling costs. We have seen our overall performance increase and based on Generated eRx with coupon we have seen utilization of the SampleMD application for the three (3) months ending September 30, 2012 a total of 89,324, a 3X increase over the sample period in 2011</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targeting a fourth quarter launch, we will have the client “dashboard reporting” portal live and accessible for our pharmaceutical clients to monitor in real time their programs and evaluate performance of individual channels and overall program effectiveness.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these continued efforts, we believe that SampleMD continues to be regarded as the innovative industry leader and setting the standards within this new frontier of digital EMR solution marketing for patient care.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2012 and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total revenue reported for the three months ended September 30, 2012 was $453,154, an increase of $261,561 from the prior year period. Our total revenue reported for the nine months ended September 30, 2012 was $1,297,980, an increase of $512,370 from the prior year period.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increased revenue for the three and nine months ended September 30, 2012 as compared with the prior year periods is a result of the ramping up more promotional programs and transactions within SampleMD.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$559,305 for the three months ended September 30, 2012 from $600,760 for the three months ended September 30, 2011. Our major expenses for the three months ended September 30, 2012 were payroll of $259,697, public and investor relation expenses of $58,592, depreciation and amortization of $46,735, employee benefits of $39,589, stock-based compensation of $29,857, legal and accounting of $24,643, and auto expenses of $24,429. In comparison, our major expenses for the three months ended September 30, 2011 were payroll of $176,595, advertising of $149,386, consulting fees to our officers of $80,146, consulting fees of $51,478, depreciation and amortization of $30,049, legal and accounting of $27,844, and employee benefits of $24,990. .</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to $1,781,257 for the nine months ended September 30, 2012 from $1,855,695 for the nine months ended September 30, 2011. Our major expenses for the nine months ended September 30, 2012 were payroll of $761,236, stock-based compensation of $258,240, depreciation and amortization of $140,087, employee benefits of $139,515, public and investor relations of $98,654, auto expenses of $68,811, and legal and accounting of $57,216. In comparison, our major expenses for the nine months ended September 30, 2011 were payroll of $527,894, advertising of $455,181, legal and accounting of $183,992, consulting fees of $133,579, consulting fees to our officers of $106,861, depreciation and amortization of $90,149, and employee benefits of $84,032.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expenses were $23 for three months ended September 30, 2012, a decrease from other expenses of $678,337 for same period ended 2011. We had nominal interest expenses in 2012 with $678,543 in 2011, which mostly accounted for the difference between the periods.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was $308 for nine months ended September 30, 2012, in comparison to other expenses of $957,534 for same period ended 2011. We had nominal interest expenses in 2012 with $958,641 in 2011, which mostly accounted for the difference between the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loss for the three months ended September 30, 2012 was $106,174, compared to net loss of $1,087,504, for the three months ended September 30, 2011. Although reporting a quarterly loss, if subtracting the non-cash expenses of stock options, warrants and stock issuance depreciation and amortization considerations, net income would be $285 for the three months ended September 30, 2012.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Net loss for the nine months ended September 30, 2012 was $482,969, compared to a net loss of $2,027,619 for the nine months ended September 30, 2011.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 the above stated considerations for subtracting non-cash based expenses, our net loss would be $54,775 for the nine months ended September 30, 2012.</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Below is a table that reflects our results of operations for the three months ended September 30, 2012 with the removal of non-cash based expenses.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800" w:type="dxa"/>
            <w:vAlign w:val="bottom"/>
            <w:gridSpan w:val="4"/>
          </w:tcPr>
          <w:p>
            <w:pPr>
              <w:jc w:val="center"/>
              <w:ind w:right="1660"/>
              <w:spacing w:after="0"/>
              <w:rPr>
                <w:sz w:val="20"/>
                <w:szCs w:val="20"/>
                <w:color w:val="auto"/>
              </w:rPr>
            </w:pPr>
            <w:r>
              <w:rPr>
                <w:rFonts w:ascii="Arial" w:cs="Arial" w:eastAsia="Arial" w:hAnsi="Arial"/>
                <w:sz w:val="18"/>
                <w:szCs w:val="18"/>
                <w:b w:val="1"/>
                <w:bCs w:val="1"/>
                <w:color w:val="auto"/>
                <w:w w:val="87"/>
              </w:rPr>
              <w:t>Minus: Non-cash expenses</w:t>
            </w:r>
          </w:p>
        </w:tc>
        <w:tc>
          <w:tcPr>
            <w:tcW w:w="2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For the</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1"/>
              </w:rPr>
              <w:t>For the</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three months</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7"/>
              </w:rPr>
              <w:t>three months</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color w:val="auto"/>
                <w:w w:val="87"/>
              </w:rPr>
              <w:t>ended</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7"/>
              </w:rPr>
              <w:t>ended</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760" w:type="dxa"/>
            <w:vAlign w:val="bottom"/>
            <w:vMerge w:val="restart"/>
          </w:tcPr>
          <w:p>
            <w:pPr>
              <w:ind w:left="80"/>
              <w:spacing w:after="0"/>
              <w:rPr>
                <w:sz w:val="20"/>
                <w:szCs w:val="20"/>
                <w:color w:val="auto"/>
              </w:rPr>
            </w:pPr>
            <w:r>
              <w:rPr>
                <w:rFonts w:ascii="Arial" w:cs="Arial" w:eastAsia="Arial" w:hAnsi="Arial"/>
                <w:sz w:val="18"/>
                <w:szCs w:val="18"/>
                <w:color w:val="auto"/>
              </w:rPr>
              <w:t>REVENUE</w:t>
            </w:r>
          </w:p>
        </w:tc>
        <w:tc>
          <w:tcPr>
            <w:tcW w:w="3620" w:type="dxa"/>
            <w:vAlign w:val="bottom"/>
            <w:gridSpan w:val="2"/>
          </w:tcPr>
          <w:p>
            <w:pPr>
              <w:jc w:val="center"/>
              <w:ind w:left="157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Sales</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453,154</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200,174</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Less returns and allowances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Borders>
              <w:top w:val="single" w:sz="8" w:color="CCEECC"/>
            </w:tcBorders>
            <w:shd w:val="clear" w:color="auto" w:fill="CCEECC"/>
          </w:tcPr>
          <w:p>
            <w:pPr>
              <w:spacing w:after="0"/>
              <w:rPr>
                <w:sz w:val="18"/>
                <w:szCs w:val="18"/>
                <w:color w:val="auto"/>
              </w:rPr>
            </w:pPr>
          </w:p>
        </w:tc>
        <w:tc>
          <w:tcPr>
            <w:tcW w:w="15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TOTAL REVENUE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453,154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200,174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Borders>
              <w:top w:val="single" w:sz="8" w:color="CCEECC"/>
            </w:tcBorders>
            <w:shd w:val="clear" w:color="auto" w:fill="CCEECC"/>
          </w:tcPr>
          <w:p>
            <w:pPr>
              <w:spacing w:after="0"/>
              <w:rPr>
                <w:sz w:val="18"/>
                <w:szCs w:val="18"/>
                <w:color w:val="auto"/>
              </w:rPr>
            </w:pPr>
          </w:p>
        </w:tc>
        <w:tc>
          <w:tcPr>
            <w:tcW w:w="15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EXPENSES</w:t>
            </w: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Operating expenses</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559,305</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600,760</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w w:val="97"/>
              </w:rPr>
              <w:t>Less: Non-cash exp (options, amortization, etc)</w:t>
            </w:r>
          </w:p>
        </w:tc>
        <w:tc>
          <w:tcPr>
            <w:tcW w:w="3720" w:type="dxa"/>
            <w:vAlign w:val="bottom"/>
            <w:gridSpan w:val="3"/>
          </w:tcPr>
          <w:p>
            <w:pPr>
              <w:jc w:val="right"/>
              <w:ind w:right="40"/>
              <w:spacing w:after="0"/>
              <w:rPr>
                <w:sz w:val="20"/>
                <w:szCs w:val="20"/>
                <w:color w:val="auto"/>
              </w:rPr>
            </w:pPr>
            <w:r>
              <w:rPr>
                <w:rFonts w:ascii="Arial" w:cs="Arial" w:eastAsia="Arial" w:hAnsi="Arial"/>
                <w:sz w:val="18"/>
                <w:szCs w:val="18"/>
                <w:color w:val="auto"/>
              </w:rPr>
              <w:t>(106,459)</w:t>
            </w:r>
          </w:p>
        </w:tc>
        <w:tc>
          <w:tcPr>
            <w:tcW w:w="80" w:type="dxa"/>
            <w:vAlign w:val="bottom"/>
          </w:tcPr>
          <w:p>
            <w:pPr>
              <w:spacing w:after="0"/>
              <w:rPr>
                <w:sz w:val="19"/>
                <w:szCs w:val="19"/>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(287,401)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Borders>
              <w:top w:val="single" w:sz="8" w:color="CCEECC"/>
            </w:tcBorders>
            <w:shd w:val="clear" w:color="auto" w:fill="CCEECC"/>
          </w:tcPr>
          <w:p>
            <w:pPr>
              <w:spacing w:after="0"/>
              <w:rPr>
                <w:sz w:val="18"/>
                <w:szCs w:val="18"/>
                <w:color w:val="auto"/>
              </w:rPr>
            </w:pPr>
          </w:p>
        </w:tc>
        <w:tc>
          <w:tcPr>
            <w:tcW w:w="15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TOTAL EXPENSES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452,846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313,359</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Borders>
              <w:top w:val="single" w:sz="8" w:color="CCEECC"/>
            </w:tcBorders>
            <w:shd w:val="clear" w:color="auto" w:fill="CCEECC"/>
          </w:tcPr>
          <w:p>
            <w:pPr>
              <w:spacing w:after="0"/>
              <w:rPr>
                <w:sz w:val="18"/>
                <w:szCs w:val="18"/>
                <w:color w:val="auto"/>
              </w:rPr>
            </w:pPr>
          </w:p>
        </w:tc>
        <w:tc>
          <w:tcPr>
            <w:tcW w:w="15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NET OPERATING INCOME (LOSS)</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(113,185)</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Borders>
              <w:top w:val="single" w:sz="8" w:color="CCEECC"/>
            </w:tcBorders>
            <w:shd w:val="clear" w:color="auto" w:fill="CCEECC"/>
          </w:tcPr>
          <w:p>
            <w:pPr>
              <w:spacing w:after="0"/>
              <w:rPr>
                <w:sz w:val="18"/>
                <w:szCs w:val="18"/>
                <w:color w:val="auto"/>
              </w:rPr>
            </w:pPr>
          </w:p>
        </w:tc>
        <w:tc>
          <w:tcPr>
            <w:tcW w:w="15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4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Interest income</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CC"/>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Other income</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Interest expense</w:t>
            </w:r>
          </w:p>
        </w:tc>
        <w:tc>
          <w:tcPr>
            <w:tcW w:w="37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18"/>
                <w:szCs w:val="18"/>
                <w:color w:val="auto"/>
              </w:rPr>
            </w:pPr>
          </w:p>
        </w:tc>
        <w:tc>
          <w:tcPr>
            <w:tcW w:w="21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(106,325)</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2"/>
          </w:tcPr>
          <w:p>
            <w:pPr>
              <w:jc w:val="right"/>
              <w:ind w:right="40"/>
              <w:spacing w:after="0"/>
              <w:rPr>
                <w:sz w:val="20"/>
                <w:szCs w:val="20"/>
                <w:color w:val="auto"/>
              </w:rPr>
            </w:pPr>
            <w:r>
              <w:rPr>
                <w:rFonts w:ascii="Arial" w:cs="Arial" w:eastAsia="Arial" w:hAnsi="Arial"/>
                <w:sz w:val="18"/>
                <w:szCs w:val="18"/>
                <w:color w:val="auto"/>
              </w:rPr>
              <w:t>(59,084)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2"/>
              </w:rPr>
              <w:t>Less: Debt discount warrant value int, impairment</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165,409</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TOTAL OTHER INCOME (EXPENSE)</w:t>
            </w:r>
          </w:p>
        </w:tc>
        <w:tc>
          <w:tcPr>
            <w:tcW w:w="3720" w:type="dxa"/>
            <w:vAlign w:val="bottom"/>
            <w:gridSpan w:val="3"/>
            <w:shd w:val="clear" w:color="auto" w:fill="CCEECC"/>
          </w:tcPr>
          <w:p>
            <w:pPr>
              <w:jc w:val="right"/>
              <w:ind w:right="4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CC"/>
          </w:tcPr>
          <w:p>
            <w:pPr>
              <w:spacing w:after="0"/>
              <w:rPr>
                <w:sz w:val="19"/>
                <w:szCs w:val="19"/>
                <w:color w:val="auto"/>
              </w:rPr>
            </w:pPr>
          </w:p>
        </w:tc>
        <w:tc>
          <w:tcPr>
            <w:tcW w:w="2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677</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NET INCOME (LOSS) BEFORE PROVISION</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1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(112,508)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PROVISION FOR INCOME TAXES</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376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NET INCOME (LOSS)</w:t>
            </w:r>
          </w:p>
        </w:tc>
        <w:tc>
          <w:tcPr>
            <w:tcW w:w="36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12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(112,508)</w:t>
            </w: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760" w:type="dxa"/>
            <w:vAlign w:val="bottom"/>
            <w:tcBorders>
              <w:top w:val="single" w:sz="8" w:color="CCEECC"/>
            </w:tcBorders>
          </w:tcPr>
          <w:p>
            <w:pPr>
              <w:spacing w:after="0" w:line="20" w:lineRule="exact"/>
              <w:rPr>
                <w:sz w:val="1"/>
                <w:szCs w:val="1"/>
                <w:color w:val="auto"/>
              </w:rPr>
            </w:pPr>
          </w:p>
        </w:tc>
        <w:tc>
          <w:tcPr>
            <w:tcW w:w="1580" w:type="dxa"/>
            <w:vAlign w:val="bottom"/>
            <w:tcBorders>
              <w:top w:val="single" w:sz="8" w:color="CCEECC"/>
              <w:bottom w:val="single" w:sz="8" w:color="CCEECC"/>
            </w:tcBorders>
            <w:vMerge w:val="restart"/>
          </w:tcPr>
          <w:p>
            <w:pPr>
              <w:jc w:val="right"/>
              <w:ind w:right="370"/>
              <w:spacing w:after="0"/>
              <w:rPr>
                <w:sz w:val="20"/>
                <w:szCs w:val="20"/>
                <w:color w:val="auto"/>
              </w:rPr>
            </w:pPr>
            <w:r>
              <w:rPr>
                <w:rFonts w:ascii="Arial" w:cs="Arial" w:eastAsia="Arial" w:hAnsi="Arial"/>
                <w:sz w:val="18"/>
                <w:szCs w:val="18"/>
                <w:color w:val="auto"/>
              </w:rPr>
              <w:t>7</w:t>
            </w: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vMerge w:val="continue"/>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2012, we had total current assets of $971,171 and total assets in the amount of $2,224,373. Our total current liabilities as of September 30, 2012 were $890,250. We had working capital of $80,921 as of September 30, 2012.</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activities used $625,666 in cash for the nine months ended September 30, 2012. Our net loss of $482,969 along with $328,236 in accounts payable, $66,000 in accrued expenses, $171,779 in accounts receivable, and $18,831 in deferred revenue were the primary components of our negative operating cash flow, offset mainly by $178,304 in stock-based compensation, $140,087 in depreciation and amortization and $74,140 in prepaid expenses. Investing activities used $50,870 during the nine months ended September 30, 2012 largely as a result of website development costs.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September 16, 2011, we entered into a Securities Purchase Agreement with Vicis Capital Master Fund for sale of up to 50 shares of our Series B Preferred Stock and warrants to purchase up to 3,333,334 shares of our common stock with an exercise price of $3.00 per share.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sold 15 shares of Series B Preferred Stock and a warrant to purchase 1,000,000 shares of our common stock at the above exercise price for $1,500,000. This money was used to pay off a promissory note we had with Physicians Interactive and the balance is for working capital.</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financing deal with Vicis has lapsed according to the terms of the Securities Purchase Agreement. However, we are in discussions with Vicis, who we feel is a committed financial partner, to address our capital needs as we continue to generate revenues and our business expands. There is no written agreement in place for such financing, but we will update our disclosures if and when such financing becomes available.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2012 with the current level of financing and cash on hand, we have sufficient cash to operate our business at the current level for the next twelve months but insufficient cash to achieve our business goals unless we: a) realize cash revenues on sales generated; and/or b) receive financing from Vicis. We are uncertain what type of financing we will need as we continue to ramp up our revenue stream. As mentioned, we are continually in contact with Vicis about our financing needs and hope to have something in place if we need more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have been prepared assuming that we will continue as a going concern. We have sustained substantial losses since inception.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view of this matter, our ability to continue as a going concern is dependent upon growth of revenues and our ability to raise additional capital. Management believes that its successful ability to raise capital and increases in revenues will provide the opportunity for us to continue as a going concern.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September 30, 2012. This evaluation was carried out under the supervision and with the participation of our Chief Executive Officer and Chief Financial Officer, Mr. David Lester. Based upon that evaluation, our Chief Executive Officer and Chief Financial Officer concluded that, as of September 30, 2012, our disclosure controls and procedures are effective. There have been no significant changes in our internal controls over financial reporting during the quarter ended September 30, 2012 that have materially affected or are reasonably likely to materially affect such controls.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Limitations on the Effectiveness of Internal Controls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July 12, 2012, we issued 40,000 shares to a consultant for services rendered.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60" w:type="dxa"/>
            <w:vAlign w:val="bottom"/>
            <w:gridSpan w:val="3"/>
          </w:tcPr>
          <w:p>
            <w:pPr>
              <w:spacing w:after="0"/>
              <w:rPr>
                <w:sz w:val="20"/>
                <w:szCs w:val="20"/>
                <w:color w:val="auto"/>
              </w:rPr>
            </w:pPr>
            <w:r>
              <w:rPr>
                <w:rFonts w:ascii="Arial" w:cs="Arial" w:eastAsia="Arial" w:hAnsi="Arial"/>
                <w:sz w:val="18"/>
                <w:szCs w:val="18"/>
                <w:color w:val="auto"/>
              </w:rPr>
              <w:t>None</w:t>
            </w:r>
          </w:p>
        </w:tc>
        <w:tc>
          <w:tcPr>
            <w:tcW w:w="1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6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9860" w:type="dxa"/>
            <w:vAlign w:val="bottom"/>
            <w:gridSpan w:val="8"/>
          </w:tcPr>
          <w:p>
            <w:pPr>
              <w:spacing w:after="0"/>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00" w:type="dxa"/>
            <w:vAlign w:val="bottom"/>
          </w:tcPr>
          <w:p>
            <w:pPr>
              <w:spacing w:after="0"/>
              <w:rPr>
                <w:sz w:val="17"/>
                <w:szCs w:val="17"/>
                <w:color w:val="auto"/>
              </w:rPr>
            </w:pPr>
          </w:p>
        </w:tc>
        <w:tc>
          <w:tcPr>
            <w:tcW w:w="80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4"/>
              </w:rPr>
              <w:t>Certification of Chief Executive Officer pursuant to 18 U.S.C. Section 1350, as adopted pursuant to Section</w:t>
            </w: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0"/>
              </w:rPr>
              <w:t>302 of the Sarbanes-Oxley Act of 2002</w:t>
            </w:r>
          </w:p>
        </w:tc>
        <w:tc>
          <w:tcPr>
            <w:tcW w:w="70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31.2</w:t>
            </w:r>
          </w:p>
        </w:tc>
        <w:tc>
          <w:tcPr>
            <w:tcW w:w="200" w:type="dxa"/>
            <w:vAlign w:val="bottom"/>
          </w:tcPr>
          <w:p>
            <w:pPr>
              <w:spacing w:after="0"/>
              <w:rPr>
                <w:sz w:val="17"/>
                <w:szCs w:val="17"/>
                <w:color w:val="auto"/>
              </w:rPr>
            </w:pPr>
          </w:p>
        </w:tc>
        <w:tc>
          <w:tcPr>
            <w:tcW w:w="806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302</w:t>
            </w:r>
          </w:p>
        </w:tc>
        <w:tc>
          <w:tcPr>
            <w:tcW w:w="18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0"/>
              </w:rPr>
              <w:t>of the Sarbanes-Oxley Act of 2002</w:t>
            </w:r>
          </w:p>
        </w:tc>
        <w:tc>
          <w:tcPr>
            <w:tcW w:w="73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32.1</w:t>
            </w:r>
          </w:p>
        </w:tc>
        <w:tc>
          <w:tcPr>
            <w:tcW w:w="200" w:type="dxa"/>
            <w:vAlign w:val="bottom"/>
          </w:tcPr>
          <w:p>
            <w:pPr>
              <w:spacing w:after="0"/>
              <w:rPr>
                <w:sz w:val="17"/>
                <w:szCs w:val="17"/>
                <w:color w:val="auto"/>
              </w:rPr>
            </w:pPr>
          </w:p>
        </w:tc>
        <w:tc>
          <w:tcPr>
            <w:tcW w:w="80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5"/>
              </w:rPr>
              <w:t>Certification of Chief Executive Officer and Chief Financial Officer pursuant to 18 U.S.C. Section 1350, as</w:t>
            </w:r>
          </w:p>
        </w:tc>
        <w:tc>
          <w:tcPr>
            <w:tcW w:w="18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60" w:type="dxa"/>
            <w:vAlign w:val="bottom"/>
            <w:gridSpan w:val="8"/>
          </w:tcPr>
          <w:p>
            <w:pPr>
              <w:spacing w:after="0" w:line="196" w:lineRule="exact"/>
              <w:rPr>
                <w:sz w:val="20"/>
                <w:szCs w:val="20"/>
                <w:color w:val="auto"/>
              </w:rPr>
            </w:pPr>
            <w:r>
              <w:rPr>
                <w:rFonts w:ascii="Arial" w:cs="Arial" w:eastAsia="Arial" w:hAnsi="Arial"/>
                <w:sz w:val="18"/>
                <w:szCs w:val="18"/>
                <w:color w:val="0000EE"/>
              </w:rPr>
              <w:t>adopted pursuant to Section 906 of the Sarbanes-Oxley Act of 2002</w:t>
            </w: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4"/>
            <w:shd w:val="clear" w:color="auto" w:fill="0000EE"/>
          </w:tcPr>
          <w:p>
            <w:pPr>
              <w:spacing w:after="0" w:line="20" w:lineRule="exact"/>
              <w:rPr>
                <w:sz w:val="1"/>
                <w:szCs w:val="1"/>
                <w:color w:val="auto"/>
              </w:rPr>
            </w:pPr>
          </w:p>
        </w:tc>
        <w:tc>
          <w:tcPr>
            <w:tcW w:w="49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36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9860" w:type="dxa"/>
            <w:vAlign w:val="bottom"/>
            <w:gridSpan w:val="8"/>
          </w:tcPr>
          <w:p>
            <w:pPr>
              <w:spacing w:after="0"/>
              <w:rPr>
                <w:sz w:val="20"/>
                <w:szCs w:val="20"/>
                <w:color w:val="auto"/>
              </w:rPr>
            </w:pPr>
            <w:r>
              <w:rPr>
                <w:rFonts w:ascii="Arial" w:cs="Arial" w:eastAsia="Arial" w:hAnsi="Arial"/>
                <w:sz w:val="18"/>
                <w:szCs w:val="18"/>
                <w:color w:val="auto"/>
              </w:rPr>
              <w:t>The following materials from the Company’s Quarterly Report on Form 10-Q for the quarter ended September</w:t>
            </w:r>
          </w:p>
        </w:tc>
        <w:tc>
          <w:tcPr>
            <w:tcW w:w="0" w:type="dxa"/>
            <w:vAlign w:val="bottom"/>
          </w:tcPr>
          <w:p>
            <w:pPr>
              <w:spacing w:after="0"/>
              <w:rPr>
                <w:sz w:val="1"/>
                <w:szCs w:val="1"/>
                <w:color w:val="auto"/>
              </w:rPr>
            </w:pPr>
          </w:p>
        </w:tc>
      </w:tr>
      <w:tr>
        <w:trPr>
          <w:trHeight w:val="230"/>
        </w:trPr>
        <w:tc>
          <w:tcPr>
            <w:tcW w:w="1560" w:type="dxa"/>
            <w:vAlign w:val="bottom"/>
            <w:gridSpan w:val="3"/>
            <w:vMerge w:val="restart"/>
          </w:tcPr>
          <w:p>
            <w:pPr>
              <w:spacing w:after="0"/>
              <w:rPr>
                <w:sz w:val="20"/>
                <w:szCs w:val="20"/>
                <w:color w:val="auto"/>
              </w:rPr>
            </w:pPr>
            <w:r>
              <w:rPr>
                <w:rFonts w:ascii="Arial" w:cs="Arial" w:eastAsia="Arial" w:hAnsi="Arial"/>
                <w:sz w:val="18"/>
                <w:szCs w:val="18"/>
                <w:color w:val="auto"/>
                <w:w w:val="97"/>
              </w:rPr>
              <w:t>**Provided herewith</w:t>
            </w:r>
          </w:p>
        </w:tc>
        <w:tc>
          <w:tcPr>
            <w:tcW w:w="9860" w:type="dxa"/>
            <w:vAlign w:val="bottom"/>
            <w:gridSpan w:val="8"/>
          </w:tcPr>
          <w:p>
            <w:pPr>
              <w:spacing w:after="0"/>
              <w:rPr>
                <w:sz w:val="20"/>
                <w:szCs w:val="20"/>
                <w:color w:val="auto"/>
              </w:rPr>
            </w:pPr>
            <w:r>
              <w:rPr>
                <w:rFonts w:ascii="Arial" w:cs="Arial" w:eastAsia="Arial" w:hAnsi="Arial"/>
                <w:sz w:val="18"/>
                <w:szCs w:val="18"/>
                <w:color w:val="auto"/>
              </w:rPr>
              <w:t>30, 2012 formatted in Extensible Business Reporting Language (XBRL).</w:t>
            </w:r>
          </w:p>
        </w:tc>
        <w:tc>
          <w:tcPr>
            <w:tcW w:w="0" w:type="dxa"/>
            <w:vAlign w:val="bottom"/>
          </w:tcPr>
          <w:p>
            <w:pPr>
              <w:spacing w:after="0"/>
              <w:rPr>
                <w:sz w:val="1"/>
                <w:szCs w:val="1"/>
                <w:color w:val="auto"/>
              </w:rPr>
            </w:pPr>
          </w:p>
        </w:tc>
      </w:tr>
      <w:tr>
        <w:trPr>
          <w:trHeight w:val="216"/>
        </w:trPr>
        <w:tc>
          <w:tcPr>
            <w:tcW w:w="1560" w:type="dxa"/>
            <w:vAlign w:val="bottom"/>
            <w:gridSpan w:val="3"/>
            <w:vMerge w:val="continue"/>
          </w:tcPr>
          <w:p>
            <w:pPr>
              <w:spacing w:after="0"/>
              <w:rPr>
                <w:sz w:val="18"/>
                <w:szCs w:val="18"/>
                <w:color w:val="auto"/>
              </w:rPr>
            </w:pPr>
          </w:p>
        </w:tc>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gridSpan w:val="4"/>
          </w:tcPr>
          <w:p>
            <w:pPr>
              <w:ind w:left="4060"/>
              <w:spacing w:after="0"/>
              <w:rPr>
                <w:sz w:val="20"/>
                <w:szCs w:val="20"/>
                <w:color w:val="auto"/>
              </w:rPr>
            </w:pPr>
            <w:r>
              <w:rPr>
                <w:rFonts w:ascii="Arial" w:cs="Arial" w:eastAsia="Arial" w:hAnsi="Arial"/>
                <w:sz w:val="18"/>
                <w:szCs w:val="18"/>
                <w:color w:val="auto"/>
              </w:rPr>
              <w:t>10</w:t>
            </w:r>
          </w:p>
        </w:tc>
        <w:tc>
          <w:tcPr>
            <w:tcW w:w="3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14, 2012</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By: /s/ David 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830580</wp:posOffset>
            </wp:positionH>
            <wp:positionV relativeFrom="paragraph">
              <wp:posOffset>-10160</wp:posOffset>
            </wp:positionV>
            <wp:extent cx="7588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58825"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David Lester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Chief Financial Officer, and Director</w:t>
      </w:r>
    </w:p>
    <w:p>
      <w:pPr>
        <w:spacing w:after="0" w:line="200" w:lineRule="exact"/>
        <w:rPr>
          <w:sz w:val="20"/>
          <w:szCs w:val="20"/>
          <w:color w:val="auto"/>
        </w:rPr>
      </w:pPr>
    </w:p>
    <w:p>
      <w:pPr>
        <w:spacing w:after="0" w:line="2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33" w:right="439" w:bottom="1440" w:gutter="0" w:footer="0" w:header="0"/>
        </w:sectPr>
      </w:pPr>
    </w:p>
    <w:bookmarkStart w:id="27" w:name="page28"/>
    <w:bookmarkEnd w:id="2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OptimizeRx Corporation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Lester, certify that;</w:t>
      </w:r>
    </w:p>
    <w:p>
      <w:pPr>
        <w:spacing w:after="0" w:line="225"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2012 of OptimizeRx Corporation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14,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Lester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Lester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Corporation (the “Company”) on Form 10-Q for the quarter ended September 30, 2012 filed with the Securities and Exchange Commission (the “Report”), I, David Lester,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53" w:lineRule="exact"/>
        <w:rPr>
          <w:sz w:val="20"/>
          <w:szCs w:val="20"/>
          <w:color w:val="auto"/>
        </w:rPr>
      </w:pPr>
    </w:p>
    <w:tbl>
      <w:tblPr>
        <w:tblLayout w:type="fixed"/>
        <w:tblInd w:w="572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David Lester</w:t>
            </w:r>
          </w:p>
        </w:tc>
        <w:tc>
          <w:tcPr>
            <w:tcW w:w="3780" w:type="dxa"/>
            <w:vAlign w:val="bottom"/>
          </w:tcPr>
          <w:p>
            <w:pPr>
              <w:spacing w:after="0"/>
              <w:rPr>
                <w:sz w:val="17"/>
                <w:szCs w:val="17"/>
                <w:color w:val="auto"/>
              </w:rPr>
            </w:pPr>
          </w:p>
        </w:tc>
      </w:t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gridSpan w:val="2"/>
          </w:tcPr>
          <w:p>
            <w:pPr>
              <w:spacing w:after="0"/>
              <w:rPr>
                <w:sz w:val="20"/>
                <w:szCs w:val="20"/>
                <w:color w:val="auto"/>
              </w:rPr>
            </w:pPr>
            <w:r>
              <w:rPr>
                <w:rFonts w:ascii="Arial" w:cs="Arial" w:eastAsia="Arial" w:hAnsi="Arial"/>
                <w:sz w:val="18"/>
                <w:szCs w:val="18"/>
                <w:color w:val="auto"/>
              </w:rPr>
              <w:t>David Lester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gridSpan w:val="2"/>
          </w:tcPr>
          <w:p>
            <w:pPr>
              <w:spacing w:after="0"/>
              <w:rPr>
                <w:sz w:val="20"/>
                <w:szCs w:val="20"/>
                <w:color w:val="auto"/>
              </w:rPr>
            </w:pPr>
            <w:r>
              <w:rPr>
                <w:rFonts w:ascii="Arial" w:cs="Arial" w:eastAsia="Arial" w:hAnsi="Arial"/>
                <w:sz w:val="18"/>
                <w:szCs w:val="18"/>
                <w:color w:val="auto"/>
                <w:w w:val="93"/>
              </w:rPr>
              <w:t>Principal Executive Officer, Principal Financial Officer and Director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Date:</w:t>
            </w:r>
          </w:p>
        </w:tc>
        <w:tc>
          <w:tcPr>
            <w:tcW w:w="4940" w:type="dxa"/>
            <w:vAlign w:val="bottom"/>
            <w:gridSpan w:val="2"/>
          </w:tcPr>
          <w:p>
            <w:pPr>
              <w:spacing w:after="0"/>
              <w:rPr>
                <w:sz w:val="20"/>
                <w:szCs w:val="20"/>
                <w:color w:val="auto"/>
              </w:rPr>
            </w:pPr>
            <w:r>
              <w:rPr>
                <w:rFonts w:ascii="Arial" w:cs="Arial" w:eastAsia="Arial" w:hAnsi="Arial"/>
                <w:sz w:val="18"/>
                <w:szCs w:val="18"/>
                <w:color w:val="auto"/>
              </w:rPr>
              <w:t>November 14, 2012</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2019-12-09T20:16:02Z</dcterms:created>
  <dcterms:modified xsi:type="dcterms:W3CDTF">2019-12-09T20:16:02Z</dcterms:modified>
</cp:coreProperties>
</file>